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AVALIAÇÃO FUNCIONAL DOS MEMBROS SUPERIORES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PESSOAIS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2977"/>
        <w:gridCol w:w="3798"/>
        <w:tblGridChange w:id="0">
          <w:tblGrid>
            <w:gridCol w:w="3681"/>
            <w:gridCol w:w="2977"/>
            <w:gridCol w:w="379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Nome: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da avaliação: 19/11/2024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de nascimento: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Idade: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Profissão: 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ANAMNESE</w:t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91"/>
        <w:gridCol w:w="4365"/>
        <w:tblGridChange w:id="0">
          <w:tblGrid>
            <w:gridCol w:w="6091"/>
            <w:gridCol w:w="4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Queixa Principal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 da dor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-53339</wp:posOffset>
                  </wp:positionH>
                  <wp:positionV relativeFrom="paragraph">
                    <wp:posOffset>280035</wp:posOffset>
                  </wp:positionV>
                  <wp:extent cx="2705735" cy="2533650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291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735" cy="2533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História da moléstia atual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Exames complementares: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RNM: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ESPECIAIS</w:t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7342"/>
        <w:tblGridChange w:id="0">
          <w:tblGrid>
            <w:gridCol w:w="3114"/>
            <w:gridCol w:w="734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TESTES ESPECIAIS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CKCUEST*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toques (total)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FADIGA**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SERRÁTIL ANTERIOR: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Valores de referência para o retorno ao esporte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overhead: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*CKCUEST: ≥ 21 toques para o retorno aos treinos / ≥ 25 toques para o retorno ao esporte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overhead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(Wilk, 2020)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**Tempo de fadiga: 109,5 segundos (Borstad, 2009)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FORÇA MUSCULAR DO OMBRO (kgF) </w:t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4"/>
        <w:gridCol w:w="2614"/>
        <w:gridCol w:w="2614"/>
        <w:gridCol w:w="2614"/>
        <w:tblGridChange w:id="0">
          <w:tblGrid>
            <w:gridCol w:w="2614"/>
            <w:gridCol w:w="2614"/>
            <w:gridCol w:w="2614"/>
            <w:gridCol w:w="26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TORQUE MUSCULAR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ESQUERDO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DIREITO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ÍNDICE DE SIMETRIA DOMINANTE X NÃO DOMINANTE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Abdução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kxk3lqrm8o6r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Rotadores laterais (RL)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Rotadores mediais (RM)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Relação RL/RM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-------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Referência do déficit de força muscular dominante x não dominante: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0-10% normal / 10-20% déficit muscular leve / 20-30% déficit moderado / &gt; 30% déficit grave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Valores normativos RL/RM: 72-76%</w:t>
            </w:r>
          </w:p>
        </w:tc>
      </w:tr>
    </w:tbl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CINEMÁTICA DO RITMO ESCÁPULO-UMERAL: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restrições capsulares.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Rotação medial do lado direito &gt; esquerdo.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CKCUEST com boa potência e estabilidade dos membros superiores.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Déficit 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endurance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serrátil anterior.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Discrepância entre os membros para abdução e rotação medial, sendo o ombro direito mais fraco.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Relação invertida entre os rotadores laterais/rotadores mediais.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57" w:right="0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PROPOSTA TERAPÊUTICA: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3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Fortalecimento e ganho de resistência dos estabilizadores de ombro, sobretudo serrátil anterior.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3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Fortalecimento dos rotadores mediais, com ênfase para o membro superior direito.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357" w:right="0" w:hanging="357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Manutenção da mobilidade articular do ombro, principalmente para a rotação medial.</w:t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Ribeirão preto, 19 de novembro de 2024.</w:t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2" w:right="112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@kinesisrp</w:t>
      <w:tab/>
      <w:tab/>
      <w:tab/>
      <w:tab/>
      <w:tab/>
      <w:tab/>
      <w:tab/>
      <w:tab/>
      <w:tab/>
      <w:t xml:space="preserve">    </w:t>
      <w:tab/>
      <w:t xml:space="preserve">     Rua Henrique Franco, 190</w:t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2" w:right="112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www.kinesisfisioterapia.com.br</w:t>
      <w:tab/>
      <w:tab/>
      <w:tab/>
      <w:tab/>
      <w:tab/>
      <w:tab/>
      <w:tab/>
      <w:tab/>
      <w:t xml:space="preserve">       Alto da Boa Vista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2" w:right="112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WhatsApp: 16 99250-0326</w:t>
      <w:tab/>
      <w:tab/>
      <w:tab/>
      <w:tab/>
      <w:tab/>
      <w:tab/>
      <w:tab/>
      <w:tab/>
      <w:t xml:space="preserve"> </w:t>
      <w:tab/>
      <w:t xml:space="preserve">    Ribeirão Preto - SP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-466724</wp:posOffset>
              </wp:positionH>
              <wp:positionV relativeFrom="paragraph">
                <wp:posOffset>222885</wp:posOffset>
              </wp:positionV>
              <wp:extent cx="7557770" cy="723900"/>
              <wp:effectExtent b="0" l="0" r="5080" t="0"/>
              <wp:wrapNone/>
              <wp:docPr id="1" name=""/>
              <a:graphic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7770" cy="723900"/>
                      </a:xfrm>
                      <a:prstGeom prst="rect">
                        <a:avLst/>
                      </a:prstGeom>
                      <a:solidFill>
                        <a:srgbClr val="8F1D16"/>
                      </a:solidFill>
                      <a:ln cap="flat" cmpd="sng" w="12700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AA7502" w:rsidDel="00000000" w:rsidP="00AA7502" w:rsidRDefault="00AA7502" w:rsidRPr="00057292" w14:paraId="672CE2E1" w14:textId="77777777">
                          <w:pPr>
                            <w:jc w:val="center"/>
                            <w:rPr>
                              <w14:textOutline w14:cap="rnd" w14:cmpd="sng" w14:w="9525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-466724</wp:posOffset>
              </wp:positionH>
              <wp:positionV relativeFrom="paragraph">
                <wp:posOffset>222885</wp:posOffset>
              </wp:positionV>
              <wp:extent cx="7562850" cy="7239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723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AVALIAÇÃO FUNCIONAL DOS MEMBROS INFERIORES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-154304</wp:posOffset>
          </wp:positionV>
          <wp:extent cx="1278358" cy="78994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9653" l="10085" r="10761" t="12378"/>
                  <a:stretch>
                    <a:fillRect/>
                  </a:stretch>
                </pic:blipFill>
                <pic:spPr>
                  <a:xfrm>
                    <a:off x="0" y="0"/>
                    <a:ext cx="1278358" cy="7899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AVALIAÇÃO PREVENTIVA DAS LESÕES MÚSCULO-ESQUELÉTICAS</w:t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AVALIAÇÃO BIOMECÂNICA DA CORRIDA </w:t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