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TERMO DE USO E ACEITAÇÃO</w:t>
      </w:r>
    </w:p>
    <w:p>
      <w:pPr>
        <w:spacing w:after="300"/>
        <w:jc w:val="center"/>
      </w:pPr>
      <w:r>
        <w:t xml:space="preserve">Plataforma OctoCookie — Bot de Swap Automatizado (DeFi)</w:t>
      </w:r>
    </w:p>
    <w:p>
      <w:pPr>
        <w:pStyle w:val="Heading1"/>
        <w:spacing w:after="140" w:before="280"/>
      </w:pPr>
      <w:r>
        <w:t xml:space="preserve">1. Natureza do serviço e objeto deste termo</w:t>
      </w:r>
    </w:p>
    <w:p>
      <w:pPr>
        <w:spacing w:after="140"/>
        <w:jc w:val="both"/>
      </w:pPr>
      <w:r>
        <w:t xml:space="preserve">Este Termo de Uso e Aceitação ("Termo") regula a utilização da plataforma OctoCookie ("Plataforma"), uma ferramenta de código aberto, de caráter educacional e de apoio à execução de operações de swap em corretoras descentralizadas ("DEX"), disponibilizada por [Nome completo / CPF ou CNPJ do responsável — a preencher] ("Responsável" ou "Desenvolvedor").</w:t>
      </w:r>
    </w:p>
    <w:p>
      <w:pPr>
        <w:spacing w:after="140"/>
        <w:jc w:val="both"/>
      </w:pPr>
      <w:r>
        <w:t xml:space="preserve">Ao utilizar a Plataforma, o usuário ("Usuário") declara ter lido, compreendido e aceitado integralmente as condições aqui descritas, em especial as cláusulas relativas a riscos, à natureza não-custodial da Plataforma e ao modelo de comissão descrito na Seção 4.</w:t>
      </w:r>
    </w:p>
    <w:p>
      <w:pPr>
        <w:pStyle w:val="Heading1"/>
        <w:spacing w:after="140" w:before="280"/>
      </w:pPr>
      <w:r>
        <w:t xml:space="preserve">2. Natureza não-custodial — o que a Plataforma nunca faz</w:t>
      </w:r>
    </w:p>
    <w:p>
      <w:pPr>
        <w:spacing w:after="140"/>
        <w:jc w:val="both"/>
      </w:pPr>
      <w:r>
        <w:t xml:space="preserve">A Plataforma foi desenvolvida para operar em modelo </w:t>
      </w:r>
      <w:r>
        <w:rPr>
          <w:b/>
          <w:bCs/>
        </w:rPr>
        <w:t xml:space="preserve">não-custodial</w:t>
      </w:r>
      <w:r>
        <w:t xml:space="preserve">. Isso significa que:</w:t>
      </w:r>
    </w:p>
    <w:p>
      <w:pPr>
        <w:pStyle w:val="ListParagraph"/>
        <w:numPr>
          <w:ilvl w:val="0"/>
          <w:numId w:val="2"/>
        </w:numPr>
        <w:spacing w:after="80"/>
      </w:pPr>
      <w:r>
        <w:t xml:space="preserve">A Plataforma nunca solicita, recebe, transmite a terceiros ou armazena a chave privada ou seed phrase do Usuário, em nenhuma hipótese.</w:t>
      </w:r>
    </w:p>
    <w:p>
      <w:pPr>
        <w:pStyle w:val="ListParagraph"/>
        <w:numPr>
          <w:ilvl w:val="0"/>
          <w:numId w:val="2"/>
        </w:numPr>
        <w:spacing w:after="80"/>
      </w:pPr>
      <w:r>
        <w:t xml:space="preserve">A conexão com a carteira do Usuário é feita exclusivamente por meio de extensões de terceiros de mercado (ex.: MetaMask ou compatíveis), que permanecem sob controle exclusivo do Usuário.</w:t>
      </w:r>
    </w:p>
    <w:p>
      <w:pPr>
        <w:pStyle w:val="ListParagraph"/>
        <w:numPr>
          <w:ilvl w:val="0"/>
          <w:numId w:val="2"/>
        </w:numPr>
        <w:spacing w:after="80"/>
      </w:pPr>
      <w:r>
        <w:t xml:space="preserve">Toda e qualquer transação — incluindo operações de swap e a cobrança da comissão descrita na Seção 4 — é assinada individualmente pelo Usuário, na sua própria carteira, mediante confirmação explícita exibida antes de cada assinatura.</w:t>
      </w:r>
    </w:p>
    <w:p>
      <w:pPr>
        <w:pStyle w:val="ListParagraph"/>
        <w:numPr>
          <w:ilvl w:val="0"/>
          <w:numId w:val="2"/>
        </w:numPr>
        <w:spacing w:after="80"/>
      </w:pPr>
      <w:r>
        <w:t xml:space="preserve">A Plataforma não possui, em nenhum momento, mecanismo de movimentação automática, irrestrita ou recorrente de fundos do Usuário sem confirmação específica dele para aquela transação em particular.</w:t>
      </w:r>
    </w:p>
    <w:p>
      <w:pPr>
        <w:pStyle w:val="Heading1"/>
        <w:spacing w:after="140" w:before="280"/>
      </w:pPr>
      <w:r>
        <w:t xml:space="preserve">3. Riscos</w:t>
      </w:r>
    </w:p>
    <w:p>
      <w:pPr>
        <w:spacing w:after="140"/>
        <w:jc w:val="both"/>
      </w:pPr>
      <w:r>
        <w:t xml:space="preserve">O Usuário reconhece e aceita que operações em protocolos DeFi envolvem riscos relevantes, incluindo, mas não se limitando a:</w:t>
      </w:r>
    </w:p>
    <w:p>
      <w:pPr>
        <w:pStyle w:val="ListParagraph"/>
        <w:numPr>
          <w:ilvl w:val="0"/>
          <w:numId w:val="2"/>
        </w:numPr>
        <w:spacing w:after="80"/>
      </w:pPr>
      <w:r>
        <w:t xml:space="preserve">Volatilidade extrema de preços e possibilidade de perda total do capital alocado.</w:t>
      </w:r>
    </w:p>
    <w:p>
      <w:pPr>
        <w:pStyle w:val="ListParagraph"/>
        <w:numPr>
          <w:ilvl w:val="0"/>
          <w:numId w:val="2"/>
        </w:numPr>
        <w:spacing w:after="80"/>
      </w:pPr>
      <w:r>
        <w:t xml:space="preserve">Slippage (diferença entre o preço esperado e o preço efetivamente executado).</w:t>
      </w:r>
    </w:p>
    <w:p>
      <w:pPr>
        <w:pStyle w:val="ListParagraph"/>
        <w:numPr>
          <w:ilvl w:val="0"/>
          <w:numId w:val="2"/>
        </w:numPr>
        <w:spacing w:after="80"/>
      </w:pPr>
      <w:r>
        <w:t xml:space="preserve">Custos de rede ("gas"), que variam de acordo com a congestão da blockchain utilizada.</w:t>
      </w:r>
    </w:p>
    <w:p>
      <w:pPr>
        <w:pStyle w:val="ListParagraph"/>
        <w:numPr>
          <w:ilvl w:val="0"/>
          <w:numId w:val="2"/>
        </w:numPr>
        <w:spacing w:after="80"/>
      </w:pPr>
      <w:r>
        <w:t xml:space="preserve">Falhas de liquidez, indisponibilidade de pools ou de roteadores das exchanges descentralizadas utilizadas.</w:t>
      </w:r>
    </w:p>
    <w:p>
      <w:pPr>
        <w:pStyle w:val="ListParagraph"/>
        <w:numPr>
          <w:ilvl w:val="0"/>
          <w:numId w:val="2"/>
        </w:numPr>
        <w:spacing w:after="80"/>
      </w:pPr>
      <w:r>
        <w:t xml:space="preserve">Riscos inerentes a contratos inteligentes de terceiros (DEX, roteadores), sobre os quais o Responsável não possui controle nem responsabilidade.</w:t>
      </w:r>
    </w:p>
    <w:p>
      <w:pPr>
        <w:spacing w:after="140"/>
        <w:jc w:val="both"/>
      </w:pPr>
      <w:r>
        <w:t xml:space="preserve">Rentabilidade obtida no passado, simulada ou projetada pela Plataforma não constitui garantia de resultados futuros. O Usuário é o único responsável pela decisão de operar e pelos parâmetros de risco (stake, stop-loss, take-profit) que configurar.</w:t>
      </w:r>
    </w:p>
    <w:p>
      <w:pPr>
        <w:pStyle w:val="Heading1"/>
        <w:spacing w:after="140" w:before="280"/>
      </w:pPr>
      <w:r>
        <w:t xml:space="preserve">4. Modelo de comissão (taxa de serviço)</w:t>
      </w:r>
    </w:p>
    <w:p>
      <w:pPr>
        <w:spacing w:after="140"/>
        <w:jc w:val="both"/>
      </w:pPr>
      <w:r>
        <w:t xml:space="preserve">A </w:t>
      </w:r>
      <w:r>
        <w:rPr>
          <w:b/>
          <w:bCs/>
        </w:rPr>
        <w:t xml:space="preserve">OctoCookie</w:t>
      </w:r>
      <w:r>
        <w:t xml:space="preserve"> cobra uma taxa de serviço de </w:t>
      </w:r>
      <w:r>
        <w:rPr>
          <w:b/>
          <w:bCs/>
        </w:rPr>
        <w:t xml:space="preserve">2%</w:t>
      </w:r>
      <w:r>
        <w:t xml:space="preserve"> sobre o </w:t>
      </w:r>
      <w:r>
        <w:rPr>
          <w:b/>
          <w:bCs/>
        </w:rPr>
        <w:t xml:space="preserve">lucro líquido</w:t>
      </w:r>
      <w:r>
        <w:t xml:space="preserve"> apurado em cada operação individual executada com sucesso pelo bot, observadas as seguintes regras, que são condição de validade desta cláusula:</w:t>
      </w:r>
    </w:p>
    <w:p>
      <w:pPr>
        <w:pStyle w:val="ListParagraph"/>
        <w:numPr>
          <w:ilvl w:val="0"/>
          <w:numId w:val="2"/>
        </w:numPr>
        <w:spacing w:after="80"/>
      </w:pPr>
      <w:r>
        <w:t xml:space="preserve">A taxa incide exclusivamente sobre o resultado positivo (lucro) de cada operação — nunca sobre o saldo total da carteira, nunca sobre o valor investido (stake), e nunca sobre operações que resultem em perda (P&amp;L negativo).</w:t>
      </w:r>
    </w:p>
    <w:p>
      <w:pPr>
        <w:pStyle w:val="ListParagraph"/>
        <w:numPr>
          <w:ilvl w:val="0"/>
          <w:numId w:val="2"/>
        </w:numPr>
        <w:spacing w:after="80"/>
      </w:pPr>
      <w:r>
        <w:t xml:space="preserve">A cobrança é executada como uma transação distinta e autônoma da operação de swap, exibida individualmente na interface da carteira do Usuário (ex.: MetaMask), com o valor exato em moeda nativa da rede, antes de qualquer assinatura.</w:t>
      </w:r>
    </w:p>
    <w:p>
      <w:pPr>
        <w:pStyle w:val="ListParagraph"/>
        <w:numPr>
          <w:ilvl w:val="0"/>
          <w:numId w:val="2"/>
        </w:numPr>
        <w:spacing w:after="80"/>
      </w:pPr>
      <w:r>
        <w:t xml:space="preserve">A aceitação deste Termo, de forma genérica, não constitui e não pode ser interpretada como autorização prévia, geral ou irrestrita para a movimentação de fundos. Cada cobrança de taxa exige a aprovação específica e individual do Usuário no momento em que ocorre.</w:t>
      </w:r>
    </w:p>
    <w:p>
      <w:pPr>
        <w:pStyle w:val="ListParagraph"/>
        <w:numPr>
          <w:ilvl w:val="0"/>
          <w:numId w:val="2"/>
        </w:numPr>
        <w:spacing w:after="80"/>
      </w:pPr>
      <w:r>
        <w:t xml:space="preserve">O Usuário pode recusar a cobrança de uma taxa específica sem que isso afete o resultado do swap já executado, o funcionamento do bot para as operações seguintes, ou o acesso à Plataforma.</w:t>
      </w:r>
    </w:p>
    <w:p>
      <w:pPr>
        <w:pStyle w:val="ListParagraph"/>
        <w:numPr>
          <w:ilvl w:val="0"/>
          <w:numId w:val="2"/>
        </w:numPr>
        <w:spacing w:after="80"/>
      </w:pPr>
      <w:r>
        <w:t xml:space="preserve">O endereço de destino da taxa de serviço é: 0x25d04A08266aeCf5EfC7653f1fb61098D926AACf, e pode ser consultado a qualquer momento pelo Usuário diretamente no código-fonte aberto da Plataforma ou na interface de conexão da carteira.</w:t>
      </w:r>
    </w:p>
    <w:p>
      <w:pPr>
        <w:pStyle w:val="ListParagraph"/>
        <w:numPr>
          <w:ilvl w:val="0"/>
          <w:numId w:val="2"/>
        </w:numPr>
        <w:spacing w:after="80"/>
      </w:pPr>
      <w:r>
        <w:t xml:space="preserve">O Responsável poderá alterar o percentual da taxa mediante atualização deste Termo e comunicação na Plataforma, não se aplicando a alteração retroativamente a operações já executadas.</w:t>
      </w:r>
    </w:p>
    <w:p>
      <w:pPr>
        <w:pStyle w:val="Heading1"/>
        <w:spacing w:after="140" w:before="280"/>
      </w:pPr>
      <w:r>
        <w:t xml:space="preserve">5. Consentimento informado e revogabilidade</w:t>
      </w:r>
    </w:p>
    <w:p>
      <w:pPr>
        <w:spacing w:after="140"/>
        <w:jc w:val="both"/>
      </w:pPr>
      <w:r>
        <w:t xml:space="preserve">O consentimento do Usuário, para os fins deste Termo, é sempre </w:t>
      </w:r>
      <w:r>
        <w:rPr>
          <w:b/>
          <w:bCs/>
        </w:rPr>
        <w:t xml:space="preserve">específico, informado e revogável</w:t>
      </w:r>
      <w:r>
        <w:t xml:space="preserve">, nos termos aqui descritos. O Usuário pode, a qualquer momento:</w:t>
      </w:r>
    </w:p>
    <w:p>
      <w:pPr>
        <w:pStyle w:val="ListParagraph"/>
        <w:numPr>
          <w:ilvl w:val="0"/>
          <w:numId w:val="2"/>
        </w:numPr>
        <w:spacing w:after="80"/>
      </w:pPr>
      <w:r>
        <w:t xml:space="preserve">Desconectar sua carteira da Plataforma.</w:t>
      </w:r>
    </w:p>
    <w:p>
      <w:pPr>
        <w:pStyle w:val="ListParagraph"/>
        <w:numPr>
          <w:ilvl w:val="0"/>
          <w:numId w:val="2"/>
        </w:numPr>
        <w:spacing w:after="80"/>
      </w:pPr>
      <w:r>
        <w:t xml:space="preserve">Interromper (pausar ou parar) o funcionamento do bot.</w:t>
      </w:r>
    </w:p>
    <w:p>
      <w:pPr>
        <w:pStyle w:val="ListParagraph"/>
        <w:numPr>
          <w:ilvl w:val="0"/>
          <w:numId w:val="2"/>
        </w:numPr>
        <w:spacing w:after="80"/>
      </w:pPr>
      <w:r>
        <w:t xml:space="preserve">Recusar, individualmente, qualquer transação — de swap ou de taxa — apresentada por sua carteira.</w:t>
      </w:r>
    </w:p>
    <w:p>
      <w:pPr>
        <w:pStyle w:val="ListParagraph"/>
        <w:numPr>
          <w:ilvl w:val="0"/>
          <w:numId w:val="2"/>
        </w:numPr>
        <w:spacing w:after="80"/>
      </w:pPr>
      <w:r>
        <w:t xml:space="preserve">Revogar eventuais permissões ("allowances") concedidas a contratos de terceiros (roteadores de DEX) diretamente pela interface da sua carteira ou por ferramentas públicas de revogação (ex.: revoke.cash).</w:t>
      </w:r>
    </w:p>
    <w:p>
      <w:pPr>
        <w:pStyle w:val="Heading1"/>
        <w:spacing w:after="140" w:before="280"/>
      </w:pPr>
      <w:r>
        <w:t xml:space="preserve">6. Isenção de responsabilidade</w:t>
      </w:r>
    </w:p>
    <w:p>
      <w:pPr>
        <w:spacing w:after="140"/>
        <w:jc w:val="both"/>
      </w:pPr>
      <w:r>
        <w:t xml:space="preserve">Na máxima extensão permitida pela legislação aplicável, o Responsável não garante lucros, não se responsabiliza por perdas decorrentes de operações de mercado, falhas de rede, indisponibilidade de exchanges, oscilações de preço, erros de terceiros (carteiras, provedores de RPC, roteadores de DEX) ou uso indevido da Plataforma pelo Usuário.</w:t>
      </w:r>
    </w:p>
    <w:p>
      <w:pPr>
        <w:spacing w:after="140"/>
        <w:jc w:val="both"/>
      </w:pPr>
      <w:r>
        <w:t xml:space="preserve">A Plataforma é fornecida "como está" ("as is"), sem garantias de qualquer natureza, expressas ou implícitas.</w:t>
      </w:r>
    </w:p>
    <w:p>
      <w:pPr>
        <w:pStyle w:val="Heading1"/>
        <w:spacing w:after="140" w:before="280"/>
      </w:pPr>
      <w:r>
        <w:t xml:space="preserve">7. Legislação e foro</w:t>
      </w:r>
    </w:p>
    <w:p>
      <w:pPr>
        <w:spacing w:after="140"/>
        <w:jc w:val="both"/>
      </w:pPr>
      <w:r>
        <w:t xml:space="preserve">Este Termo é regido pelas leis da República Federativa do Brasil. Fica eleito o foro do domicílio do Usuário para dirimir eventuais controvérsias, ressalvada disposição legal em contrário aplicável a relações de consumo, quando cabível.</w:t>
      </w:r>
    </w:p>
    <w:p>
      <w:pPr>
        <w:pStyle w:val="Heading1"/>
        <w:spacing w:after="140" w:before="280"/>
      </w:pPr>
      <w:r>
        <w:t xml:space="preserve">8. Aceitação</w:t>
      </w:r>
    </w:p>
    <w:p>
      <w:pPr>
        <w:spacing w:after="140"/>
        <w:jc w:val="both"/>
      </w:pPr>
      <w:r>
        <w:t xml:space="preserve">Ao clicar em "Concordo" ou equivalente na interface da Plataforma, ou ao dar início ao uso do bot, o Usuário declara ter lido, compreendido e aceitado integralmente este Termo de Uso e Aceitação, em especial as disposições da Seção 4 sobre o modelo de comissão.</w:t>
      </w:r>
    </w:p>
    <w:p>
      <w:pPr>
        <w:spacing w:before="400"/>
      </w:pPr>
    </w:p>
    <w:p>
      <w:pPr>
        <w:spacing w:after="140"/>
        <w:jc w:val="both"/>
      </w:pPr>
      <w:r>
        <w:rPr>
          <w:i/>
          <w:iCs/>
          <w:sz w:val="18"/>
          <w:szCs w:val="18"/>
        </w:rPr>
        <w:t xml:space="preserve">Documento gerado como modelo de referência. Recomenda-se revisão por advogado(a) habilitado(a) antes da publicação em produção, especialmente quanto a: enquadramento regulatório de atividades envolvendo ativos virtuais perante o Banco Central do Brasil e a CVM, adequação à Lei Geral de Proteção de Dados (LGPD) e ao Marco Civil da Internet, e eventual necessidade de registro como Prestador de Serviço de Ativos Virtuais (PSAV).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2026-08-22T15:43:38.760Z</dcterms:created>
  <dcterms:modified xsi:type="dcterms:W3CDTF">2026-08-22T15:43:38.771Z</dcterms:modified>
</cp:coreProperties>
</file>

<file path=docProps/custom.xml><?xml version="1.0" encoding="utf-8"?>
<Properties xmlns="http://schemas.openxmlformats.org/officeDocument/2006/custom-properties" xmlns:vt="http://schemas.openxmlformats.org/officeDocument/2006/docPropsVTypes"/>
</file>