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/>
      </w:pPr>
      <w:r>
        <w:rPr>
          <w:lang w:val="es-ES"/>
        </w:rPr>
        <w:t xml:space="preserve">1. Diseño de Tablas y Cumplimiento de Requisitos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de la base de datos refleja fielmente la estructura organizativa descrita en el enunciado: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EmpresasMedios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Almacena las empresas de medios de comunicación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Atributos clave: NIF, nombre, director y dirección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Representa el nivel más alto de la jerarquía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Emisoras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Contiene la información específica de cada emisora de radio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 banda hertziana es única por provincia (restricción del enunciado)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 vincula con las cadenas tanto como sede como miembro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CadenasRadio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Relaciona emisoras y empresas de medios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Incluye el director específico de la cadena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referencia a la emisora sede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EmisorasCadena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Tabla de relación muchos a muchos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Permite que una emisora pertenezca a múltiples cadenas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Facilita la gestión de la programación conjunta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Programas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Maneja tanto programas de cadena como locales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El CHECK asegura que pertenezca a una cadena o emisora local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Incluye el precio por segundo para publicidad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FranjasHorarias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Gestiona los horarios de emisión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días (1-7) y formato de hora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Vinculación directa con los programas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Patrocinadores y Publicidad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Gestión completa de contratos publicitarios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Control de segundos por semana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Seguimiento de costos y duraciones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Normalización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las formas normales: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1FN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Todos los atributos son atómicos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hay grupos repetitivos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Cada tabla tiene una clave primaria clara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2FN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atributos no clave dependen completamente de la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Por ejemplo, el director de una cadena depende del ID de la cadena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3FN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hay dependencias transitivas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datos de emisoras están separados de los de cadenas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 información de programación está correctamente distribuida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Bibliotecas Utilizadas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#include &lt;iostream&gt;    // Entrada/salida estándar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#include &lt;pqxx/pqxx&gt;  // Conexión y operaciones con PostgreSQL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#include &lt;string&gt;     // Manejo de cadenas de texto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#include &lt;iomanip&gt;    // Formateo de salida (setprecision)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#include &lt;limits&gt;     // Para numeric_limits en limpiarBuffer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4. Flujo del Programa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Inicialización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Conexión a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Verificación de tablas existentes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Presentación del menú principal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Menú Principal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Interfaz basada en caracteres (A-E, X)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Opciones claramente separadas por funcionalidad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Sistema de navegación intuitivo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Operaciones Principales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Registro de emisoras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Gestión de publicidad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Consultas y reportes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5. Lógica de Funciones Principales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registrarEmisora()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NIF y banda hertziana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Verificación de unicidad por provincia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seguro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registrarPublicidad()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Verificación de prerequisitos (programas y patrocinadores)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Cálculo automático de costos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Confirmación antes de registro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eliminarPublicidad()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Visualización completa de datos actuales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Verificación doble antes de eliminar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independientes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consultarPublicidad()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Agrupación por programas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Cálculo de totales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Formato claro de presentación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mostrarEmisoras()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Información completa de cada emisora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Conteo de cadenas asociadas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alfabético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estructura asegura: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Integridad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Facilidad de uso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correcto de errores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lang w:val="es-ES"/>
        </w:rPr>
        <w:t xml:space="preserve">- Retroalimentación clara al usuario</w:t>
      </w:r>
      <w:r/>
    </w:p>
    <w:p>
      <w:pPr>
        <w:pBdr/>
        <w:spacing/>
        <w:ind/>
        <w:jc w:val="left"/>
        <w:rPr>
          <w:lang w:val="es-E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  <w:lang w:val="es-ES"/>
        </w:rPr>
        <w:t xml:space="preserve">CONSULTAS SQL PRESENTES EN EL PROGRAMA, SU PROPÓSITO, ESTRUCTURA Y FUNCIONAMIENTO.</w:t>
      </w:r>
      <w:r>
        <w:rPr>
          <w:b/>
          <w:bCs/>
          <w:sz w:val="32"/>
          <w:szCs w:val="40"/>
          <w:u w:val="single"/>
        </w:rPr>
      </w:r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Creación de Tablas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Empecemos con las consultas CREATE TABLE que establecen la estructura de la base de datos: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IF NOT EXISTS EmpresasMedios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nif VARCHAR(9) PRIMARY KEY,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nombre VARCHAR(100)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director VARCHAR(100)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direccion TEXT NOT NULL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IF NOT EXISTS para evitar errores si la tabla ya existe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Define un NIF de 9 caracteres como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Establece campos obligatorios (NOT NULL) para información esencial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VARCHAR con límites apropiados para cada campo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Emplea TEXT para la dirección, permitiendo entradas más largas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IF NOT EXISTS Emisoras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nif VARCHAR(9) PRIMARY KEY,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nombre VARCHAR(100)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direccion TEXT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director VARCHAR(100)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banda_hz NUMERIC(10,2) UNIQUE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provincia VARCHAR(50) NOT NULL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tabla: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Implementa una restricción UNIQUE en banda_hz para evitar frecuencias duplicadas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NUMERIC(10,2) para almacenar frecuencias con precisión decimal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consistencia en los tipos de datos con otras tablas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Consultas de Verificación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En registrarEmisora(), encontramos: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1 FROM Emisoras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provincia = $1 AND banda_hz = $2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 la unicidad de la banda por provincia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parámetros ($1, $2) para prevenir inyección SQL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Retorna 1 si existe coincidencia, optimizando el rendimiento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necesita seleccionar campos específicos ya que solo interesa la existencia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Consultas de Inserción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Emisoras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(nif, nombre, direccion, director, banda_hz, provincia)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$2, $3, $4, $5, $6)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inserción: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Lista explícitamente las columnas para mayor claridad y mantenibilidad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parámetros numerados para los valores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el orden consistente con la definición de la tabla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 ejecuta dentro de una transacción (work W(c))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4. Consultas Complejas de Lectura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En consultarPublicidad():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p.nombre as programa,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pr.nombre as patrocinador,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pub.segundos_semana,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(pub.segundos_semana * p.precio_segundo) as costo_semanal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Programas p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Publicidad pub ON p.programa_id = pub.programa_id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Patrocinadores pr ON pub.contrato_id = pr.contrato_id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p.programa_id, pr.contrato_id;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aliases (p, pr, pub) para mejorar la legibilidad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Realiza cálculos en línea para el costo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Implementa JOINs para relacionar tres tablas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 resultados para una presentación consistente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5. Consultas con Common Table Expressions (CTE)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En eliminarPublicidad():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WITH PublicidadCompleta AS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SELECT p.programa_id,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  p.nombre as programa,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  pr.contrato_id,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  pr.nombre as patrocinador,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  pub.segundos_semana,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  (pub.segundos_semana * p.precio_segundo) as costo_semanal,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  COALESCE(c.nombre, e.nombre) as emisor,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  p.precio_segundo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FROM Publicidad pub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JOIN Programas p ON pub.programa_id = p.programa_id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JOIN Patrocinadores pr ON pub.contrato_id = pr.contrato_id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LEFT JOIN CadenasRadio c ON p.cadena_id = c.cadena_id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LEFT JOIN Emisoras e ON p.emisora_local_nif = e.nif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ORDER BY p.nombre, pr.nombre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*,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SUM(costo_semanal) OVER (PARTITION BY programa) as total_programa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PublicidadCompleta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avanzada: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WITH para crear una CTE, mejorando la legibilidad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Implementa COALESCE para manejar la dualidad cadena/emisora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Utiliza window functions (OVER PARTITION) para totales por programa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Combina LEFT JOINs para preservar registros cuando no hay coincidencias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 los resultados para una presentación estructurada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6. Consultas de Eliminación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DELETE FROM Publicidad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programa_id = $1 AND contrato_id = $2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Es simple pero efectiva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 ejecuta dentro de una transacción para garantizar atomicidad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la clave compuesta para identificar el registro específico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Retorna el registro eliminado (RETURNING 1) para confirmación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7. Consultas de Agrupación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En mostrarEmisoras():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e.nif, e.nombre, e.director, e.provincia, e.banda_hz,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COUNT(DISTINCT ec.cadena_id) as num_cadenas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Emisoras 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EmisorasCadena ec ON e.nif = ec.emisora_nif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e.nif, e.nombre, e.director, e.provincia, e.banda_hz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e.nombre;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COUNT(DISTINCT) para evitar duplicados en el conteo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Implementa LEFT JOIN para incluir emisoras sin cadenas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 por todos los campos necesarios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 alfabéticamente para mejor presentación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Cada consulta está diseñada considerando: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Rendimiento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Integridad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Claridad del código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Facilidad de mantenimiento</w:t>
      </w:r>
      <w:r/>
    </w:p>
    <w:p>
      <w:pPr>
        <w:pBdr/>
        <w:spacing/>
        <w:ind/>
        <w:jc w:val="left"/>
        <w:rPr>
          <w:lang w:val="es-ES"/>
        </w:rPr>
      </w:pPr>
      <w:r>
        <w:rPr>
          <w:lang w:val="es-ES"/>
        </w:rPr>
        <w:t xml:space="preserve">- Prevención de errores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7</cp:revision>
  <dcterms:created xsi:type="dcterms:W3CDTF">2018-07-11T07:11:00Z</dcterms:created>
  <dcterms:modified xsi:type="dcterms:W3CDTF">2025-02-07T17:52:33Z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