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La otra cara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“Lo que no entendemos no poseemos” - Goethe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Un programa de computadora es un intermediario entre el hombre y la máquina. El programador tiene otra cara, el cual cuenta una historia de usuario, incluso los programas privados requieren una documentación de ser necesario. Sin documentación los programas la cual es vital para mostrar al usuario la operabilidad, muchos de nosotros hemos criticado al autor anónimo de algún programa poco documentado y muchos de nosotros hemos tratado de inculcar en un nuevo programador una actitud acerca de la documentación que lo ayudara para toda la vida útil del desarrollo.</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¿Qué documentación es requerida?</w:t>
      </w:r>
    </w:p>
    <w:p w:rsidR="00000000" w:rsidDel="00000000" w:rsidP="00000000" w:rsidRDefault="00000000" w:rsidRPr="00000000">
      <w:pPr>
        <w:contextualSpacing w:val="0"/>
        <w:jc w:val="both"/>
      </w:pPr>
      <w:r w:rsidDel="00000000" w:rsidR="00000000" w:rsidRPr="00000000">
        <w:rPr>
          <w:sz w:val="24"/>
          <w:szCs w:val="24"/>
          <w:rtl w:val="0"/>
        </w:rPr>
        <w:t xml:space="preserve">Diferentes niveles de documentación son requeridos, para el usuario casual del programa, para el usuario dependiente de un programa y para el usuario quien debe adaptarse a un programa. Cada usuario necesita una descripción del programa, la mayoría de la documentación falla en dar poca visión de los puntos principales que describen al programa.</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