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C535D" w14:textId="11D6AACA" w:rsidR="009211E7" w:rsidRDefault="00F4714B">
      <w:pPr>
        <w:rPr>
          <w:b/>
          <w:bCs/>
        </w:rPr>
      </w:pPr>
      <w:r>
        <w:rPr>
          <w:b/>
          <w:bCs/>
        </w:rPr>
        <w:t xml:space="preserve">Nov 4 – 10 </w:t>
      </w:r>
    </w:p>
    <w:p w14:paraId="2C4B8B3E" w14:textId="3A892892" w:rsidR="00F4714B" w:rsidRDefault="00ED21C6">
      <w:pPr>
        <w:rPr>
          <w:b/>
          <w:bCs/>
        </w:rPr>
      </w:pPr>
      <w:r>
        <w:rPr>
          <w:b/>
          <w:bCs/>
        </w:rPr>
        <w:t>PICRUST</w:t>
      </w:r>
    </w:p>
    <w:p w14:paraId="2CF9F66C" w14:textId="44853698" w:rsidR="00ED21C6" w:rsidRDefault="00D41C63">
      <w:r>
        <w:t xml:space="preserve">I attempted to download </w:t>
      </w:r>
      <w:proofErr w:type="spellStart"/>
      <w:r>
        <w:t>PICRUSt</w:t>
      </w:r>
      <w:proofErr w:type="spellEnd"/>
      <w:r>
        <w:t xml:space="preserve"> on the </w:t>
      </w:r>
      <w:proofErr w:type="spellStart"/>
      <w:r>
        <w:t>Comsol</w:t>
      </w:r>
      <w:proofErr w:type="spellEnd"/>
      <w:r>
        <w:t xml:space="preserve"> computer according to the instructions on the website provided by Kathleen.  - </w:t>
      </w:r>
      <w:r w:rsidRPr="00D41C63">
        <w:br/>
      </w:r>
      <w:hyperlink r:id="rId7" w:history="1">
        <w:r w:rsidRPr="004408A6">
          <w:rPr>
            <w:rStyle w:val="Hyperlink"/>
          </w:rPr>
          <w:t>https://huttenhower.sph.harvard.edu/picrust/</w:t>
        </w:r>
      </w:hyperlink>
    </w:p>
    <w:p w14:paraId="218EA4BB" w14:textId="77777777" w:rsidR="00D41C63" w:rsidRDefault="00D41C63"/>
    <w:p w14:paraId="46889A9A" w14:textId="37EC4368" w:rsidR="00D41C63" w:rsidRDefault="00D41C63">
      <w:r>
        <w:t xml:space="preserve">I was running into a lot of issues using the </w:t>
      </w:r>
      <w:proofErr w:type="spellStart"/>
      <w:r>
        <w:t>conda</w:t>
      </w:r>
      <w:proofErr w:type="spellEnd"/>
      <w:r>
        <w:t xml:space="preserve"> installer, so I followed the ‘from the source’ instructions. The general process was as follows : </w:t>
      </w:r>
    </w:p>
    <w:p w14:paraId="7BFF6091" w14:textId="305629FE" w:rsidR="00D41C63" w:rsidRDefault="00D41C63" w:rsidP="00D41C63">
      <w:pPr>
        <w:pStyle w:val="ListParagraph"/>
        <w:numPr>
          <w:ilvl w:val="0"/>
          <w:numId w:val="1"/>
        </w:numPr>
      </w:pPr>
      <w:r>
        <w:t xml:space="preserve">Download the </w:t>
      </w:r>
      <w:proofErr w:type="spellStart"/>
      <w:r>
        <w:t>miniconda</w:t>
      </w:r>
      <w:proofErr w:type="spellEnd"/>
      <w:r>
        <w:t xml:space="preserve"> installer from the anaconda website.</w:t>
      </w:r>
    </w:p>
    <w:p w14:paraId="3214DEC3" w14:textId="33CCEB52" w:rsidR="00D41C63" w:rsidRDefault="00D41C63" w:rsidP="00D41C63">
      <w:pPr>
        <w:pStyle w:val="ListParagraph"/>
        <w:numPr>
          <w:ilvl w:val="0"/>
          <w:numId w:val="1"/>
        </w:numPr>
      </w:pPr>
      <w:r>
        <w:t xml:space="preserve">Run it to install </w:t>
      </w:r>
      <w:proofErr w:type="spellStart"/>
      <w:r>
        <w:t>conda</w:t>
      </w:r>
      <w:proofErr w:type="spellEnd"/>
      <w:r>
        <w:t>.</w:t>
      </w:r>
    </w:p>
    <w:p w14:paraId="78944F64" w14:textId="7B9F1EAD" w:rsidR="00D41C63" w:rsidRDefault="00D41C63" w:rsidP="00D41C63">
      <w:pPr>
        <w:pStyle w:val="ListParagraph"/>
        <w:numPr>
          <w:ilvl w:val="0"/>
          <w:numId w:val="1"/>
        </w:numPr>
      </w:pPr>
      <w:r>
        <w:t xml:space="preserve">Open quest in PUTTY because the instructions are in </w:t>
      </w:r>
      <w:proofErr w:type="spellStart"/>
      <w:r>
        <w:t>unix</w:t>
      </w:r>
      <w:proofErr w:type="spellEnd"/>
      <w:r>
        <w:t xml:space="preserve"> commands, windows </w:t>
      </w:r>
      <w:proofErr w:type="spellStart"/>
      <w:r>
        <w:t>powershell</w:t>
      </w:r>
      <w:proofErr w:type="spellEnd"/>
      <w:r>
        <w:t xml:space="preserve"> doesn’t speak </w:t>
      </w:r>
      <w:proofErr w:type="spellStart"/>
      <w:r>
        <w:t>unix</w:t>
      </w:r>
      <w:proofErr w:type="spellEnd"/>
      <w:r>
        <w:t xml:space="preserve"> ( I think)</w:t>
      </w:r>
    </w:p>
    <w:p w14:paraId="28396522" w14:textId="62C4EBB7" w:rsidR="00D41C63" w:rsidRDefault="00D41C63" w:rsidP="00D41C63">
      <w:pPr>
        <w:pStyle w:val="ListParagraph"/>
        <w:numPr>
          <w:ilvl w:val="0"/>
          <w:numId w:val="1"/>
        </w:numPr>
      </w:pPr>
      <w:r>
        <w:t xml:space="preserve">Follow the </w:t>
      </w:r>
      <w:proofErr w:type="spellStart"/>
      <w:r>
        <w:t>wget</w:t>
      </w:r>
      <w:proofErr w:type="spellEnd"/>
      <w:r>
        <w:t xml:space="preserve"> command from the </w:t>
      </w:r>
      <w:proofErr w:type="spellStart"/>
      <w:r>
        <w:t>github</w:t>
      </w:r>
      <w:proofErr w:type="spellEnd"/>
      <w:r>
        <w:t xml:space="preserve"> tutorial</w:t>
      </w:r>
    </w:p>
    <w:p w14:paraId="367C407E" w14:textId="3E790965" w:rsidR="00D41C63" w:rsidRDefault="00D41C63" w:rsidP="00D41C63">
      <w:pPr>
        <w:pStyle w:val="ListParagraph"/>
        <w:numPr>
          <w:ilvl w:val="0"/>
          <w:numId w:val="1"/>
        </w:numPr>
      </w:pPr>
      <w:r>
        <w:t>Transfer the file from quest to the computer using WINSCP</w:t>
      </w:r>
    </w:p>
    <w:p w14:paraId="0A85F35B" w14:textId="42187F68" w:rsidR="00CC02D6" w:rsidRDefault="00D41C63" w:rsidP="00CC02D6">
      <w:pPr>
        <w:pStyle w:val="ListParagraph"/>
        <w:numPr>
          <w:ilvl w:val="0"/>
          <w:numId w:val="1"/>
        </w:numPr>
      </w:pPr>
      <w:r>
        <w:t xml:space="preserve">Follow the instruction line to create a </w:t>
      </w:r>
      <w:proofErr w:type="spellStart"/>
      <w:r>
        <w:t>conda</w:t>
      </w:r>
      <w:proofErr w:type="spellEnd"/>
      <w:r>
        <w:t xml:space="preserve"> environment </w:t>
      </w:r>
      <w:r w:rsidR="00CC02D6">
        <w:t>called picrust2. This step only needs to be done once. (I think)</w:t>
      </w:r>
    </w:p>
    <w:p w14:paraId="6B13D6DC" w14:textId="10217CDC" w:rsidR="00CC02D6" w:rsidRDefault="00CC02D6" w:rsidP="00CC02D6">
      <w:pPr>
        <w:pStyle w:val="ListParagraph"/>
        <w:numPr>
          <w:ilvl w:val="0"/>
          <w:numId w:val="1"/>
        </w:numPr>
      </w:pPr>
      <w:r>
        <w:t xml:space="preserve">Activate </w:t>
      </w:r>
      <w:proofErr w:type="spellStart"/>
      <w:r>
        <w:t>picrust</w:t>
      </w:r>
      <w:proofErr w:type="spellEnd"/>
      <w:r>
        <w:t xml:space="preserve"> in this environment using the </w:t>
      </w:r>
      <w:proofErr w:type="spellStart"/>
      <w:r>
        <w:t>unix</w:t>
      </w:r>
      <w:proofErr w:type="spellEnd"/>
      <w:r>
        <w:t xml:space="preserve"> command in the tutorial </w:t>
      </w:r>
    </w:p>
    <w:p w14:paraId="298C8E7C" w14:textId="4787AC34" w:rsidR="00CC02D6" w:rsidRDefault="00CC02D6" w:rsidP="00CC02D6">
      <w:pPr>
        <w:pStyle w:val="ListParagraph"/>
        <w:numPr>
          <w:ilvl w:val="0"/>
          <w:numId w:val="1"/>
        </w:numPr>
      </w:pPr>
      <w:r>
        <w:t xml:space="preserve">Run the final pip- install command. </w:t>
      </w:r>
    </w:p>
    <w:p w14:paraId="2B31A435" w14:textId="100F88A9" w:rsidR="00CC02D6" w:rsidRDefault="00CC02D6" w:rsidP="00CC02D6">
      <w:pPr>
        <w:pStyle w:val="ListParagraph"/>
        <w:numPr>
          <w:ilvl w:val="1"/>
          <w:numId w:val="1"/>
        </w:numPr>
      </w:pPr>
      <w:r>
        <w:t xml:space="preserve">This is the stage where I got stuck. After running the command, I got a number of errors saying that the computer was unable to “build wheels for </w:t>
      </w:r>
      <w:proofErr w:type="spellStart"/>
      <w:r>
        <w:t>biom</w:t>
      </w:r>
      <w:proofErr w:type="spellEnd"/>
      <w:r>
        <w:t xml:space="preserve"> format” I do not know where this error came from, what it means or which or if any of the previous steps were done wrong. </w:t>
      </w:r>
    </w:p>
    <w:p w14:paraId="59AF83C8" w14:textId="77777777" w:rsidR="004357B9" w:rsidRDefault="004357B9" w:rsidP="004357B9"/>
    <w:p w14:paraId="732FFC2A" w14:textId="4010548C" w:rsidR="004357B9" w:rsidRDefault="004357B9" w:rsidP="004357B9">
      <w:pPr>
        <w:rPr>
          <w:b/>
          <w:bCs/>
        </w:rPr>
      </w:pPr>
      <w:r>
        <w:rPr>
          <w:b/>
          <w:bCs/>
        </w:rPr>
        <w:t xml:space="preserve">Classifying unknowns </w:t>
      </w:r>
    </w:p>
    <w:p w14:paraId="012D2ECF" w14:textId="1DF8AE5C" w:rsidR="004357B9" w:rsidRDefault="004357B9" w:rsidP="004357B9">
      <w:r>
        <w:t xml:space="preserve">A large portion of the genera for the community at large (bacteria and archaea together) were either unable to be defined using the MIDAS classifier we fed to QIIME, or were classified as not yet being named or classified. These two groups were </w:t>
      </w:r>
      <w:proofErr w:type="spellStart"/>
      <w:r>
        <w:t>reperesneted</w:t>
      </w:r>
      <w:proofErr w:type="spellEnd"/>
      <w:r>
        <w:t xml:space="preserve"> by NA or </w:t>
      </w:r>
      <w:proofErr w:type="spellStart"/>
      <w:r>
        <w:t>midas</w:t>
      </w:r>
      <w:proofErr w:type="spellEnd"/>
      <w:r>
        <w:t xml:space="preserve">_#### (number used only for identification on MIDAS) I coded a few lines that identified and combined these genera. This code is generalized, meaning it can be used for future data. It helps the charts and tables be less cluttered. </w:t>
      </w:r>
    </w:p>
    <w:p w14:paraId="0142A5D1" w14:textId="36318289" w:rsidR="000F0825" w:rsidRDefault="000F0825" w:rsidP="004357B9"/>
    <w:p w14:paraId="7EC92C47" w14:textId="67166EDA" w:rsidR="000F0825" w:rsidRDefault="000F0825" w:rsidP="004357B9">
      <w:r>
        <w:t xml:space="preserve">This screenshot shows how the code changes the table: </w:t>
      </w:r>
    </w:p>
    <w:p w14:paraId="537A5CA4" w14:textId="5E891970" w:rsidR="000F0825" w:rsidRPr="000F0825" w:rsidRDefault="000F0825" w:rsidP="004357B9">
      <w:pPr>
        <w:rPr>
          <w:b/>
          <w:bCs/>
        </w:rPr>
      </w:pPr>
      <w:r w:rsidRPr="000F0825">
        <w:rPr>
          <w:b/>
          <w:bCs/>
          <w:noProof/>
        </w:rPr>
        <w:drawing>
          <wp:inline distT="0" distB="0" distL="0" distR="0" wp14:anchorId="4CA1C709" wp14:editId="214C1AC5">
            <wp:extent cx="5943600" cy="1235710"/>
            <wp:effectExtent l="0" t="0" r="0" b="2540"/>
            <wp:docPr id="161202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24128" name=""/>
                    <pic:cNvPicPr/>
                  </pic:nvPicPr>
                  <pic:blipFill>
                    <a:blip r:embed="rId8"/>
                    <a:stretch>
                      <a:fillRect/>
                    </a:stretch>
                  </pic:blipFill>
                  <pic:spPr>
                    <a:xfrm>
                      <a:off x="0" y="0"/>
                      <a:ext cx="5943600" cy="1235710"/>
                    </a:xfrm>
                    <a:prstGeom prst="rect">
                      <a:avLst/>
                    </a:prstGeom>
                  </pic:spPr>
                </pic:pic>
              </a:graphicData>
            </a:graphic>
          </wp:inline>
        </w:drawing>
      </w:r>
    </w:p>
    <w:p w14:paraId="75063988" w14:textId="13CEF948" w:rsidR="004357B9" w:rsidRPr="004357B9" w:rsidRDefault="000F0825" w:rsidP="004357B9">
      <w:r>
        <w:lastRenderedPageBreak/>
        <w:t xml:space="preserve">And here is a screenshot of the commented code. </w:t>
      </w:r>
      <w:r w:rsidRPr="000F0825">
        <w:rPr>
          <w:noProof/>
        </w:rPr>
        <w:drawing>
          <wp:inline distT="0" distB="0" distL="0" distR="0" wp14:anchorId="063E0093" wp14:editId="4B8A02B4">
            <wp:extent cx="5943600" cy="1489075"/>
            <wp:effectExtent l="0" t="0" r="0" b="0"/>
            <wp:docPr id="20070072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0722" name="Picture 1" descr="A close-up of a computer screen&#10;&#10;Description automatically generated"/>
                    <pic:cNvPicPr/>
                  </pic:nvPicPr>
                  <pic:blipFill>
                    <a:blip r:embed="rId9"/>
                    <a:stretch>
                      <a:fillRect/>
                    </a:stretch>
                  </pic:blipFill>
                  <pic:spPr>
                    <a:xfrm>
                      <a:off x="0" y="0"/>
                      <a:ext cx="5943600" cy="1489075"/>
                    </a:xfrm>
                    <a:prstGeom prst="rect">
                      <a:avLst/>
                    </a:prstGeom>
                  </pic:spPr>
                </pic:pic>
              </a:graphicData>
            </a:graphic>
          </wp:inline>
        </w:drawing>
      </w:r>
    </w:p>
    <w:p w14:paraId="00F76BF1" w14:textId="162EE3F0" w:rsidR="00D41C63" w:rsidRDefault="000F0825">
      <w:r>
        <w:t xml:space="preserve">This code uses the </w:t>
      </w:r>
      <w:proofErr w:type="spellStart"/>
      <w:r>
        <w:t>dplyr</w:t>
      </w:r>
      <w:proofErr w:type="spellEnd"/>
      <w:r>
        <w:t xml:space="preserve"> package to perform vector operations, or operations that affect every row in the data frame. </w:t>
      </w:r>
      <w:proofErr w:type="spellStart"/>
      <w:r>
        <w:t>Ifelse</w:t>
      </w:r>
      <w:proofErr w:type="spellEnd"/>
      <w:r>
        <w:t xml:space="preserve">() is used within the mutate() function to replace </w:t>
      </w:r>
    </w:p>
    <w:p w14:paraId="097B6C05" w14:textId="77777777" w:rsidR="00D4561A" w:rsidRDefault="00D4561A"/>
    <w:p w14:paraId="1185AF5F" w14:textId="51191C72" w:rsidR="00D4561A" w:rsidRDefault="00024744">
      <w:pPr>
        <w:rPr>
          <w:b/>
          <w:bCs/>
        </w:rPr>
      </w:pPr>
      <w:r>
        <w:rPr>
          <w:b/>
          <w:bCs/>
        </w:rPr>
        <w:t>Genes of Interest for qPCR</w:t>
      </w:r>
    </w:p>
    <w:p w14:paraId="0DAB60B3" w14:textId="77777777" w:rsidR="00B73EB8" w:rsidRDefault="00B73EB8" w:rsidP="00B73EB8">
      <w:pPr>
        <w:tabs>
          <w:tab w:val="left" w:pos="3187"/>
        </w:tabs>
      </w:pPr>
      <w:r>
        <w:rPr>
          <w:b/>
          <w:bCs/>
        </w:rPr>
        <w:t xml:space="preserve">For Acetogens: </w:t>
      </w:r>
    </w:p>
    <w:p w14:paraId="02A96CE0" w14:textId="77777777" w:rsidR="00B73EB8" w:rsidRDefault="00B73EB8" w:rsidP="00B73EB8">
      <w:pPr>
        <w:pStyle w:val="ListParagraph"/>
        <w:numPr>
          <w:ilvl w:val="0"/>
          <w:numId w:val="2"/>
        </w:numPr>
        <w:tabs>
          <w:tab w:val="left" w:pos="3187"/>
        </w:tabs>
      </w:pPr>
      <w:r>
        <w:t>Acetogenesis in anaerobic digestors is a result of the Wood-</w:t>
      </w:r>
      <w:proofErr w:type="spellStart"/>
      <w:r>
        <w:t>Ljungdall</w:t>
      </w:r>
      <w:proofErr w:type="spellEnd"/>
      <w:r>
        <w:t xml:space="preserve"> pathway. There are multiple enzymes involved in this pathway that could be used as gene markers to detect acetogens. </w:t>
      </w:r>
    </w:p>
    <w:p w14:paraId="38C2898B" w14:textId="77777777" w:rsidR="00B73EB8" w:rsidRPr="00636E9B" w:rsidRDefault="00B73EB8" w:rsidP="00B73EB8">
      <w:pPr>
        <w:pStyle w:val="ListParagraph"/>
        <w:numPr>
          <w:ilvl w:val="0"/>
          <w:numId w:val="2"/>
        </w:numPr>
        <w:tabs>
          <w:tab w:val="left" w:pos="3187"/>
        </w:tabs>
        <w:rPr>
          <w:b/>
          <w:bCs/>
        </w:rPr>
      </w:pPr>
      <w:r>
        <w:t xml:space="preserve">George suggested a paper that developed primers for </w:t>
      </w:r>
      <w:r w:rsidRPr="00CF0A40">
        <w:rPr>
          <w:b/>
          <w:bCs/>
        </w:rPr>
        <w:t>formyltetrahydrofolate synthetase</w:t>
      </w:r>
      <w:r>
        <w:rPr>
          <w:b/>
          <w:bCs/>
        </w:rPr>
        <w:t xml:space="preserve">, </w:t>
      </w:r>
      <w:r>
        <w:t xml:space="preserve">and I found another paper that corroborates. </w:t>
      </w:r>
    </w:p>
    <w:p w14:paraId="1A236DDF" w14:textId="77777777" w:rsidR="00B73EB8" w:rsidRDefault="00B73EB8" w:rsidP="00B73EB8">
      <w:pPr>
        <w:pStyle w:val="ListParagraph"/>
        <w:numPr>
          <w:ilvl w:val="1"/>
          <w:numId w:val="2"/>
        </w:numPr>
        <w:tabs>
          <w:tab w:val="left" w:pos="3187"/>
        </w:tabs>
      </w:pPr>
      <w:hyperlink r:id="rId10" w:anchor="sec1" w:history="1">
        <w:r w:rsidRPr="004408A6">
          <w:rPr>
            <w:rStyle w:val="Hyperlink"/>
          </w:rPr>
          <w:t>https://www.sciencedirect.com/science/article/pii/S1075996409000559?via%3Dihub#sec1</w:t>
        </w:r>
      </w:hyperlink>
    </w:p>
    <w:p w14:paraId="5C3ABC5B" w14:textId="77777777" w:rsidR="00B73EB8" w:rsidRDefault="00B73EB8" w:rsidP="00B73EB8">
      <w:pPr>
        <w:pStyle w:val="ListParagraph"/>
        <w:numPr>
          <w:ilvl w:val="1"/>
          <w:numId w:val="2"/>
        </w:numPr>
        <w:tabs>
          <w:tab w:val="left" w:pos="3187"/>
        </w:tabs>
        <w:rPr>
          <w:b/>
          <w:bCs/>
        </w:rPr>
      </w:pPr>
      <w:hyperlink r:id="rId11" w:history="1">
        <w:r w:rsidRPr="004408A6">
          <w:rPr>
            <w:rStyle w:val="Hyperlink"/>
            <w:b/>
            <w:bCs/>
          </w:rPr>
          <w:t>https://www.jstage.jst.go.jp/article/jsme2/26/4/26_ME11123/_pdf</w:t>
        </w:r>
      </w:hyperlink>
    </w:p>
    <w:p w14:paraId="5458DFAD" w14:textId="77777777" w:rsidR="00B73EB8" w:rsidRPr="00B4112D" w:rsidRDefault="00B73EB8" w:rsidP="00B73EB8">
      <w:pPr>
        <w:pStyle w:val="ListParagraph"/>
        <w:numPr>
          <w:ilvl w:val="1"/>
          <w:numId w:val="2"/>
        </w:numPr>
        <w:tabs>
          <w:tab w:val="left" w:pos="3187"/>
        </w:tabs>
        <w:rPr>
          <w:b/>
          <w:bCs/>
        </w:rPr>
      </w:pPr>
      <w:r>
        <w:t>However, this paper also talks about the same gene potentially being exhibited in syntrophic acetate oxidizing bacteria; I do not yet know what this means o</w:t>
      </w:r>
    </w:p>
    <w:p w14:paraId="7089C9E9" w14:textId="77777777" w:rsidR="00B73EB8" w:rsidRDefault="00B73EB8" w:rsidP="00B73EB8">
      <w:pPr>
        <w:pStyle w:val="ListParagraph"/>
        <w:numPr>
          <w:ilvl w:val="2"/>
          <w:numId w:val="2"/>
        </w:numPr>
        <w:tabs>
          <w:tab w:val="left" w:pos="3187"/>
        </w:tabs>
        <w:rPr>
          <w:b/>
          <w:bCs/>
        </w:rPr>
      </w:pPr>
      <w:hyperlink r:id="rId12" w:anchor="bi005" w:history="1">
        <w:r w:rsidRPr="004408A6">
          <w:rPr>
            <w:rStyle w:val="Hyperlink"/>
            <w:b/>
            <w:bCs/>
          </w:rPr>
          <w:t>https://www.sciencedirect.com/science/article/pii/S0306261916308364#bi005</w:t>
        </w:r>
      </w:hyperlink>
      <w:r>
        <w:rPr>
          <w:b/>
          <w:bCs/>
        </w:rPr>
        <w:t xml:space="preserve"> </w:t>
      </w:r>
    </w:p>
    <w:p w14:paraId="7113D638" w14:textId="77777777" w:rsidR="00B73EB8" w:rsidRPr="004379F3" w:rsidRDefault="00B73EB8" w:rsidP="00B73EB8">
      <w:pPr>
        <w:pStyle w:val="ListParagraph"/>
        <w:numPr>
          <w:ilvl w:val="0"/>
          <w:numId w:val="2"/>
        </w:numPr>
        <w:tabs>
          <w:tab w:val="left" w:pos="3187"/>
        </w:tabs>
        <w:rPr>
          <w:b/>
          <w:bCs/>
        </w:rPr>
      </w:pPr>
      <w:r>
        <w:t>There are doubtless other enzymes unique to this pathway or other genes that could be used, but this has been done before and has been shown to work</w:t>
      </w:r>
    </w:p>
    <w:p w14:paraId="210E15CF" w14:textId="77777777" w:rsidR="00B73EB8" w:rsidRDefault="00B73EB8" w:rsidP="00B73EB8">
      <w:pPr>
        <w:tabs>
          <w:tab w:val="left" w:pos="3187"/>
        </w:tabs>
        <w:rPr>
          <w:b/>
          <w:bCs/>
        </w:rPr>
      </w:pPr>
    </w:p>
    <w:p w14:paraId="34677C98" w14:textId="77777777" w:rsidR="00B73EB8" w:rsidRPr="004379F3" w:rsidRDefault="00B73EB8" w:rsidP="00B73EB8">
      <w:pPr>
        <w:tabs>
          <w:tab w:val="left" w:pos="3187"/>
        </w:tabs>
        <w:rPr>
          <w:b/>
          <w:bCs/>
        </w:rPr>
      </w:pPr>
    </w:p>
    <w:p w14:paraId="01239742" w14:textId="77777777" w:rsidR="00B73EB8" w:rsidRDefault="00B73EB8" w:rsidP="00B73EB8">
      <w:pPr>
        <w:tabs>
          <w:tab w:val="left" w:pos="3187"/>
        </w:tabs>
      </w:pPr>
      <w:proofErr w:type="spellStart"/>
      <w:r>
        <w:rPr>
          <w:b/>
          <w:bCs/>
        </w:rPr>
        <w:t>Acetoclastic</w:t>
      </w:r>
      <w:proofErr w:type="spellEnd"/>
      <w:r>
        <w:rPr>
          <w:b/>
          <w:bCs/>
        </w:rPr>
        <w:t xml:space="preserve"> Methanogens</w:t>
      </w:r>
    </w:p>
    <w:p w14:paraId="4D6E6FC1" w14:textId="77777777" w:rsidR="00B73EB8" w:rsidRDefault="00B73EB8" w:rsidP="00B73EB8">
      <w:pPr>
        <w:pStyle w:val="ListParagraph"/>
        <w:numPr>
          <w:ilvl w:val="0"/>
          <w:numId w:val="2"/>
        </w:numPr>
        <w:tabs>
          <w:tab w:val="left" w:pos="3187"/>
        </w:tabs>
      </w:pPr>
      <w:r>
        <w:t xml:space="preserve">Chat GPT said that acetate kinase is a gene of interest. Acetate Kinase is a significant component of the </w:t>
      </w:r>
      <w:proofErr w:type="spellStart"/>
      <w:r>
        <w:t>acetoclastic</w:t>
      </w:r>
      <w:proofErr w:type="spellEnd"/>
      <w:r>
        <w:t xml:space="preserve"> enzyme pathway </w:t>
      </w:r>
    </w:p>
    <w:p w14:paraId="20C22279" w14:textId="77777777" w:rsidR="00B73EB8" w:rsidRDefault="00B73EB8" w:rsidP="00B73EB8">
      <w:pPr>
        <w:pStyle w:val="ListParagraph"/>
        <w:numPr>
          <w:ilvl w:val="1"/>
          <w:numId w:val="2"/>
        </w:numPr>
        <w:tabs>
          <w:tab w:val="left" w:pos="3187"/>
        </w:tabs>
      </w:pPr>
      <w:r w:rsidRPr="00CD6A9D">
        <w:t>Ferry, J. G. (1992). </w:t>
      </w:r>
      <w:r w:rsidRPr="00CD6A9D">
        <w:rPr>
          <w:i/>
          <w:iCs/>
        </w:rPr>
        <w:t>Biochemistry of Methanogenesis. Critical Reviews in Biochemistry and Molecular Biology, 27(6), 473–503.</w:t>
      </w:r>
      <w:r w:rsidRPr="00CD6A9D">
        <w:t> doi:10.3109/10409239209082570 </w:t>
      </w:r>
    </w:p>
    <w:p w14:paraId="52B1355A" w14:textId="77777777" w:rsidR="00B73EB8" w:rsidRDefault="00B73EB8" w:rsidP="00B73EB8">
      <w:pPr>
        <w:pStyle w:val="ListParagraph"/>
        <w:numPr>
          <w:ilvl w:val="1"/>
          <w:numId w:val="2"/>
        </w:numPr>
        <w:tabs>
          <w:tab w:val="left" w:pos="3187"/>
        </w:tabs>
      </w:pPr>
      <w:hyperlink r:id="rId13" w:anchor="sec2" w:history="1">
        <w:r w:rsidRPr="004408A6">
          <w:rPr>
            <w:rStyle w:val="Hyperlink"/>
          </w:rPr>
          <w:t>https://www.sciencedirect.com/science/article/pii/S0959652622033352#sec2</w:t>
        </w:r>
      </w:hyperlink>
    </w:p>
    <w:p w14:paraId="73589CC7" w14:textId="77777777" w:rsidR="00B73EB8" w:rsidRDefault="00B73EB8" w:rsidP="00B73EB8">
      <w:pPr>
        <w:pStyle w:val="ListParagraph"/>
        <w:numPr>
          <w:ilvl w:val="0"/>
          <w:numId w:val="2"/>
        </w:numPr>
        <w:tabs>
          <w:tab w:val="left" w:pos="3187"/>
        </w:tabs>
      </w:pPr>
      <w:r>
        <w:t>Primers for this gene are reported/used in the following</w:t>
      </w:r>
    </w:p>
    <w:p w14:paraId="29836B64" w14:textId="77777777" w:rsidR="00B73EB8" w:rsidRDefault="00B73EB8" w:rsidP="00B73EB8">
      <w:pPr>
        <w:pStyle w:val="ListParagraph"/>
        <w:numPr>
          <w:ilvl w:val="1"/>
          <w:numId w:val="2"/>
        </w:numPr>
        <w:tabs>
          <w:tab w:val="left" w:pos="3187"/>
        </w:tabs>
      </w:pPr>
      <w:hyperlink r:id="rId14" w:history="1">
        <w:r w:rsidRPr="004408A6">
          <w:rPr>
            <w:rStyle w:val="Hyperlink"/>
          </w:rPr>
          <w:t>https://link.springer.com/article/10.1007/s00253-020-10494-2</w:t>
        </w:r>
      </w:hyperlink>
      <w:r>
        <w:t xml:space="preserve"> </w:t>
      </w:r>
    </w:p>
    <w:p w14:paraId="31BBA0CA" w14:textId="77777777" w:rsidR="00B73EB8" w:rsidRDefault="00B73EB8" w:rsidP="00B73EB8">
      <w:pPr>
        <w:pStyle w:val="ListParagraph"/>
        <w:numPr>
          <w:ilvl w:val="1"/>
          <w:numId w:val="2"/>
        </w:numPr>
        <w:tabs>
          <w:tab w:val="left" w:pos="3187"/>
        </w:tabs>
      </w:pPr>
      <w:r>
        <w:lastRenderedPageBreak/>
        <w:t xml:space="preserve">This study also reports a variety of other genes involved in the </w:t>
      </w:r>
      <w:proofErr w:type="spellStart"/>
      <w:r>
        <w:t>acetoclastic</w:t>
      </w:r>
      <w:proofErr w:type="spellEnd"/>
      <w:r>
        <w:t xml:space="preserve"> pathway, including </w:t>
      </w:r>
    </w:p>
    <w:p w14:paraId="06142779" w14:textId="77777777" w:rsidR="00B73EB8" w:rsidRDefault="00B73EB8" w:rsidP="00B73EB8">
      <w:pPr>
        <w:pStyle w:val="ListParagraph"/>
        <w:numPr>
          <w:ilvl w:val="2"/>
          <w:numId w:val="2"/>
        </w:numPr>
        <w:tabs>
          <w:tab w:val="left" w:pos="3187"/>
        </w:tabs>
      </w:pPr>
      <w:r w:rsidRPr="004F6996">
        <w:rPr>
          <w:i/>
          <w:iCs/>
        </w:rPr>
        <w:t>cs</w:t>
      </w:r>
      <w:r w:rsidRPr="004F6996">
        <w:t> (acetyl-CoA synthase subunit δ), </w:t>
      </w:r>
      <w:proofErr w:type="spellStart"/>
      <w:r w:rsidRPr="004F6996">
        <w:rPr>
          <w:i/>
          <w:iCs/>
        </w:rPr>
        <w:t>mtrH</w:t>
      </w:r>
      <w:proofErr w:type="spellEnd"/>
      <w:r w:rsidRPr="004F6996">
        <w:t> (methyl-H</w:t>
      </w:r>
      <w:r w:rsidRPr="004F6996">
        <w:rPr>
          <w:vertAlign w:val="subscript"/>
        </w:rPr>
        <w:t>4</w:t>
      </w:r>
      <w:r w:rsidRPr="004F6996">
        <w:t>SPT/</w:t>
      </w:r>
      <w:proofErr w:type="spellStart"/>
      <w:r w:rsidRPr="004F6996">
        <w:t>CoM</w:t>
      </w:r>
      <w:proofErr w:type="spellEnd"/>
      <w:r w:rsidRPr="004F6996">
        <w:t xml:space="preserve"> methyltransferase subunit H), </w:t>
      </w:r>
      <w:proofErr w:type="spellStart"/>
      <w:r w:rsidRPr="004F6996">
        <w:rPr>
          <w:i/>
          <w:iCs/>
        </w:rPr>
        <w:t>cdhA</w:t>
      </w:r>
      <w:proofErr w:type="spellEnd"/>
      <w:r w:rsidRPr="004F6996">
        <w:t> (CO dehydrogenase/acetyl-CoA synthase complex subunit α), </w:t>
      </w:r>
      <w:proofErr w:type="spellStart"/>
      <w:r w:rsidRPr="004F6996">
        <w:rPr>
          <w:i/>
          <w:iCs/>
        </w:rPr>
        <w:t>mtaA</w:t>
      </w:r>
      <w:proofErr w:type="spellEnd"/>
      <w:r w:rsidRPr="004F6996">
        <w:t> (methyl-</w:t>
      </w:r>
      <w:proofErr w:type="spellStart"/>
      <w:r w:rsidRPr="004F6996">
        <w:t>CoM</w:t>
      </w:r>
      <w:proofErr w:type="spellEnd"/>
      <w:r w:rsidRPr="004F6996">
        <w:t xml:space="preserve"> reductase subunit α), </w:t>
      </w:r>
      <w:proofErr w:type="spellStart"/>
      <w:r w:rsidRPr="004F6996">
        <w:rPr>
          <w:i/>
          <w:iCs/>
        </w:rPr>
        <w:t>fwdB</w:t>
      </w:r>
      <w:proofErr w:type="spellEnd"/>
      <w:r w:rsidRPr="004F6996">
        <w:t> (formylmethanofuran dehydrogenase subunit β), </w:t>
      </w:r>
      <w:proofErr w:type="spellStart"/>
      <w:r w:rsidRPr="004F6996">
        <w:rPr>
          <w:i/>
          <w:iCs/>
        </w:rPr>
        <w:t>fdhB</w:t>
      </w:r>
      <w:proofErr w:type="spellEnd"/>
      <w:r w:rsidRPr="004F6996">
        <w:t> (</w:t>
      </w:r>
      <w:proofErr w:type="spellStart"/>
      <w:r w:rsidRPr="004F6996">
        <w:t>formate</w:t>
      </w:r>
      <w:proofErr w:type="spellEnd"/>
      <w:r w:rsidRPr="004F6996">
        <w:t xml:space="preserve"> dehydrogenase subunit β), </w:t>
      </w:r>
      <w:proofErr w:type="spellStart"/>
      <w:r w:rsidRPr="004F6996">
        <w:rPr>
          <w:i/>
          <w:iCs/>
        </w:rPr>
        <w:t>gapdh</w:t>
      </w:r>
      <w:proofErr w:type="spellEnd"/>
      <w:r w:rsidRPr="004F6996">
        <w:t> (glyceraldehyde-3-phosphate dehydrogenase), and </w:t>
      </w:r>
      <w:proofErr w:type="spellStart"/>
      <w:r w:rsidRPr="004F6996">
        <w:rPr>
          <w:i/>
          <w:iCs/>
        </w:rPr>
        <w:t>gyrB</w:t>
      </w:r>
      <w:proofErr w:type="spellEnd"/>
      <w:r w:rsidRPr="004F6996">
        <w:t> (DNA gyrase subunit β)</w:t>
      </w:r>
    </w:p>
    <w:p w14:paraId="4E3B0860" w14:textId="77777777" w:rsidR="00B73EB8" w:rsidRDefault="00B73EB8" w:rsidP="00B73EB8">
      <w:pPr>
        <w:pStyle w:val="ListParagraph"/>
        <w:numPr>
          <w:ilvl w:val="0"/>
          <w:numId w:val="2"/>
        </w:numPr>
        <w:tabs>
          <w:tab w:val="left" w:pos="3187"/>
        </w:tabs>
      </w:pPr>
      <w:r>
        <w:t xml:space="preserve">I need determine what makes a gene of interest a good candidate for an RNA primer; all of these genes along with many others are involved in the process, so it is important to learn why some are commonly used as primers and some are not. </w:t>
      </w:r>
    </w:p>
    <w:p w14:paraId="49BD264A" w14:textId="77777777" w:rsidR="00B73EB8" w:rsidRDefault="00B73EB8" w:rsidP="00B73EB8">
      <w:pPr>
        <w:tabs>
          <w:tab w:val="left" w:pos="3187"/>
        </w:tabs>
      </w:pPr>
    </w:p>
    <w:p w14:paraId="7872AF6F" w14:textId="77777777" w:rsidR="00B73EB8" w:rsidRDefault="00B73EB8" w:rsidP="00B73EB8">
      <w:pPr>
        <w:tabs>
          <w:tab w:val="left" w:pos="3187"/>
        </w:tabs>
      </w:pPr>
      <w:proofErr w:type="spellStart"/>
      <w:r>
        <w:rPr>
          <w:b/>
          <w:bCs/>
        </w:rPr>
        <w:t>Formate</w:t>
      </w:r>
      <w:proofErr w:type="spellEnd"/>
      <w:r>
        <w:rPr>
          <w:b/>
          <w:bCs/>
        </w:rPr>
        <w:t xml:space="preserve"> Reducers </w:t>
      </w:r>
    </w:p>
    <w:p w14:paraId="62C12B42" w14:textId="77777777" w:rsidR="00B73EB8" w:rsidRDefault="00B73EB8" w:rsidP="00B73EB8">
      <w:pPr>
        <w:pStyle w:val="ListParagraph"/>
        <w:numPr>
          <w:ilvl w:val="0"/>
          <w:numId w:val="2"/>
        </w:numPr>
        <w:tabs>
          <w:tab w:val="left" w:pos="3187"/>
        </w:tabs>
      </w:pPr>
      <w:r>
        <w:t xml:space="preserve">As I have learned, there are a third category of methanogens: Those that use hydrogen and </w:t>
      </w:r>
      <w:proofErr w:type="spellStart"/>
      <w:r>
        <w:t>formate</w:t>
      </w:r>
      <w:proofErr w:type="spellEnd"/>
      <w:r>
        <w:t xml:space="preserve"> as electron donors but cannot use acetic acid. </w:t>
      </w:r>
    </w:p>
    <w:p w14:paraId="27A57F96" w14:textId="77777777" w:rsidR="00B73EB8" w:rsidRPr="0003046F" w:rsidRDefault="00B73EB8" w:rsidP="00B73EB8">
      <w:pPr>
        <w:pStyle w:val="ListParagraph"/>
        <w:numPr>
          <w:ilvl w:val="0"/>
          <w:numId w:val="2"/>
        </w:numPr>
        <w:tabs>
          <w:tab w:val="left" w:pos="3187"/>
        </w:tabs>
      </w:pPr>
      <w:proofErr w:type="spellStart"/>
      <w:r>
        <w:t>Formate</w:t>
      </w:r>
      <w:proofErr w:type="spellEnd"/>
      <w:r>
        <w:t xml:space="preserve"> dehydrogenase is used for this process; although I do not know if this is specific to this kind of microbe. </w:t>
      </w:r>
    </w:p>
    <w:p w14:paraId="7F5ACF39" w14:textId="77777777" w:rsidR="00024744" w:rsidRDefault="00024744"/>
    <w:p w14:paraId="518E560A" w14:textId="77777777" w:rsidR="00FA6E8F" w:rsidRDefault="00FA6E8F"/>
    <w:p w14:paraId="5B93AE8E" w14:textId="77777777" w:rsidR="00FA6E8F" w:rsidRDefault="00FA6E8F"/>
    <w:p w14:paraId="49D26B40" w14:textId="77777777" w:rsidR="00FA6E8F" w:rsidRDefault="00FA6E8F"/>
    <w:p w14:paraId="6A6EDCD2" w14:textId="77777777" w:rsidR="00FA6E8F" w:rsidRDefault="00FA6E8F"/>
    <w:p w14:paraId="1D7D7644" w14:textId="77777777" w:rsidR="00FA6E8F" w:rsidRDefault="00FA6E8F"/>
    <w:p w14:paraId="292438A9" w14:textId="77777777" w:rsidR="00FA6E8F" w:rsidRDefault="00FA6E8F"/>
    <w:p w14:paraId="7848E142" w14:textId="77777777" w:rsidR="00551D34" w:rsidRDefault="00551D34"/>
    <w:p w14:paraId="75CBDC74" w14:textId="77777777" w:rsidR="00551D34" w:rsidRDefault="00551D34"/>
    <w:p w14:paraId="18CF8771" w14:textId="77777777" w:rsidR="00551D34" w:rsidRDefault="00551D34"/>
    <w:p w14:paraId="478F6E91" w14:textId="77777777" w:rsidR="00551D34" w:rsidRDefault="00551D34"/>
    <w:p w14:paraId="3D1D0B67" w14:textId="77777777" w:rsidR="00551D34" w:rsidRDefault="00551D34"/>
    <w:p w14:paraId="49A9D771" w14:textId="77777777" w:rsidR="00551D34" w:rsidRDefault="00551D34"/>
    <w:p w14:paraId="02CE3EA0" w14:textId="77777777" w:rsidR="00551D34" w:rsidRDefault="00551D34"/>
    <w:p w14:paraId="2426DD9F" w14:textId="77777777" w:rsidR="00551D34" w:rsidRDefault="00551D34"/>
    <w:p w14:paraId="5ACC5D6D" w14:textId="77777777" w:rsidR="00551D34" w:rsidRDefault="00551D34"/>
    <w:p w14:paraId="74A6A943" w14:textId="0CB86E65" w:rsidR="00FA6E8F" w:rsidRDefault="00FA6E8F">
      <w:r>
        <w:rPr>
          <w:b/>
          <w:bCs/>
        </w:rPr>
        <w:lastRenderedPageBreak/>
        <w:t xml:space="preserve">Week 8 </w:t>
      </w:r>
    </w:p>
    <w:p w14:paraId="4ED89534" w14:textId="24084792" w:rsidR="00FA6E8F" w:rsidRPr="00260077" w:rsidRDefault="00260077">
      <w:r>
        <w:t xml:space="preserve">10 </w:t>
      </w:r>
      <w:proofErr w:type="spellStart"/>
      <w:r>
        <w:t>hrs</w:t>
      </w:r>
      <w:proofErr w:type="spellEnd"/>
      <w:r>
        <w:t xml:space="preserve"> 20 mins</w:t>
      </w:r>
    </w:p>
    <w:p w14:paraId="68C4410C" w14:textId="682E04EE" w:rsidR="00FD634C" w:rsidRDefault="00FD634C">
      <w:r>
        <w:rPr>
          <w:b/>
          <w:bCs/>
        </w:rPr>
        <w:t>Identifying Acetogens</w:t>
      </w:r>
    </w:p>
    <w:p w14:paraId="72B878DF" w14:textId="550950DB" w:rsidR="00FD634C" w:rsidRPr="00FD634C" w:rsidRDefault="00FD634C">
      <w:r>
        <w:tab/>
      </w:r>
      <w:r w:rsidR="00DA179E">
        <w:t>All sources indicate that the Wood-Ljungdahl pathway is the only relevant mechanism for acetate production in anaerobic environments. This pathway is well studied and well characterized.</w:t>
      </w:r>
      <w:r w:rsidR="005B35D2">
        <w:t xml:space="preserve"> I have started to try and </w:t>
      </w:r>
      <w:r w:rsidR="004241D1">
        <w:t xml:space="preserve">find a study that lists taxonomic groups that possess this pathway or to compile a list myself. </w:t>
      </w:r>
      <w:r w:rsidR="004241D1">
        <w:tab/>
      </w:r>
    </w:p>
    <w:p w14:paraId="63E223F2" w14:textId="66EDB2B6" w:rsidR="00C22CDC" w:rsidRDefault="00C22CDC" w:rsidP="004241D1">
      <w:pPr>
        <w:pStyle w:val="ListParagraph"/>
        <w:numPr>
          <w:ilvl w:val="0"/>
          <w:numId w:val="3"/>
        </w:numPr>
        <w:rPr>
          <w:rStyle w:val="Hyperlink"/>
        </w:rPr>
      </w:pPr>
      <w:proofErr w:type="spellStart"/>
      <w:r>
        <w:t>Acetobacterium</w:t>
      </w:r>
      <w:proofErr w:type="spellEnd"/>
      <w:r>
        <w:t xml:space="preserve">, Clostridium, Morella, Eubacterium, </w:t>
      </w:r>
      <w:proofErr w:type="spellStart"/>
      <w:r>
        <w:t>Spor</w:t>
      </w:r>
      <w:r w:rsidR="00502674">
        <w:t>omusa</w:t>
      </w:r>
      <w:proofErr w:type="spellEnd"/>
      <w:r w:rsidR="00502674">
        <w:t xml:space="preserve"> – acetogenic genera - </w:t>
      </w:r>
      <w:hyperlink r:id="rId15" w:history="1">
        <w:r w:rsidR="004241D1" w:rsidRPr="00646B90">
          <w:rPr>
            <w:rStyle w:val="Hyperlink"/>
          </w:rPr>
          <w:t>https://www.mdpi.com/2076-2607/10/2/397</w:t>
        </w:r>
      </w:hyperlink>
    </w:p>
    <w:p w14:paraId="7DD46019" w14:textId="49CD3C6E" w:rsidR="00260077" w:rsidRDefault="00260077" w:rsidP="004241D1">
      <w:pPr>
        <w:rPr>
          <w:rStyle w:val="Hyperlink"/>
        </w:rPr>
      </w:pPr>
    </w:p>
    <w:p w14:paraId="66B754A8" w14:textId="13BE70DD" w:rsidR="00260077" w:rsidRDefault="00540503" w:rsidP="004241D1">
      <w:pPr>
        <w:rPr>
          <w:rStyle w:val="Hyperlink"/>
          <w:b/>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Hyperlink"/>
          <w:b/>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PICRUSt</w:t>
      </w:r>
      <w:proofErr w:type="spellEnd"/>
      <w:r>
        <w:rPr>
          <w:rStyle w:val="Hyperlink"/>
          <w:bC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1D1352FF" w14:textId="1BFBF7DF" w:rsidR="00AB784E" w:rsidRDefault="00540503" w:rsidP="00AB784E">
      <w:pPr>
        <w:rPr>
          <w:rStyle w:val="Hyperlink"/>
          <w:bC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b/>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94CCC">
        <w:t xml:space="preserve">I spent some time trying to </w:t>
      </w:r>
      <w:r w:rsidR="00757F4E" w:rsidRPr="00294CCC">
        <w:t xml:space="preserve">determine the issue with the </w:t>
      </w:r>
      <w:proofErr w:type="spellStart"/>
      <w:r w:rsidR="00757F4E" w:rsidRPr="00294CCC">
        <w:t>PICRUSt</w:t>
      </w:r>
      <w:proofErr w:type="spellEnd"/>
      <w:r w:rsidR="00757F4E" w:rsidRPr="00294CCC">
        <w:t xml:space="preserve"> download. I tried again a few times after moving some files around, but still got the same error. Today (11/18) </w:t>
      </w:r>
      <w:r w:rsidR="00AB784E" w:rsidRPr="00294CCC">
        <w:t xml:space="preserve">I have an appointment with </w:t>
      </w:r>
      <w:proofErr w:type="spellStart"/>
      <w:r w:rsidR="00AB784E" w:rsidRPr="00294CCC">
        <w:t>McKormick</w:t>
      </w:r>
      <w:proofErr w:type="spellEnd"/>
      <w:r w:rsidR="00AB784E" w:rsidRPr="00294CCC">
        <w:t xml:space="preserve"> IT to help figure out what’s wrong</w:t>
      </w:r>
      <w:r w:rsidR="00AB784E">
        <w:rPr>
          <w:rStyle w:val="Hyperlink"/>
          <w:bC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802F3C" w14:textId="77777777" w:rsidR="00AB784E" w:rsidRDefault="00AB784E" w:rsidP="00AB784E">
      <w:pPr>
        <w:rPr>
          <w:rStyle w:val="Hyperlink"/>
          <w:bC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0C894F" w14:textId="2F3901EF" w:rsidR="00AB784E" w:rsidRPr="00AB784E" w:rsidRDefault="00AB784E" w:rsidP="00AB784E">
      <w:pPr>
        <w:rPr>
          <w:rStyle w:val="Hyperlink"/>
          <w:bC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b/>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Coding </w:t>
      </w:r>
    </w:p>
    <w:p w14:paraId="4D8490F7" w14:textId="77777777" w:rsidR="005D1505" w:rsidRDefault="00AB784E" w:rsidP="00294CCC">
      <w:p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 the meantime, I continued to analyze the data based on the functional</w:t>
      </w:r>
      <w:r w:rsidR="0019285C">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ity groupings created from the </w:t>
      </w:r>
      <w:proofErr w:type="spellStart"/>
      <w:r w:rsidR="0019285C">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Bergley’s</w:t>
      </w:r>
      <w:proofErr w:type="spellEnd"/>
      <w:r w:rsidR="0019285C">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manual. </w:t>
      </w:r>
      <w:r w:rsidR="00E32BBE">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previous weeks I compiled </w:t>
      </w:r>
      <w:r w:rsidR="00980383">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chart of all archaea</w:t>
      </w:r>
      <w:r w:rsidR="00D1480A">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present in the reactor that identified if each was </w:t>
      </w:r>
      <w:r w:rsidR="00783016">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hydrogenotrophic, </w:t>
      </w:r>
      <w:r w:rsidR="00952FB4">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acetolactic, </w:t>
      </w:r>
      <w:proofErr w:type="spellStart"/>
      <w:r w:rsidR="00952FB4">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formate</w:t>
      </w:r>
      <w:proofErr w:type="spellEnd"/>
      <w:r w:rsidR="00952FB4">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reducing, or a combination of hydrogenotrophic and acetolactic.</w:t>
      </w:r>
      <w:r w:rsidR="00CE016A">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week I coded a </w:t>
      </w:r>
      <w:r w:rsidR="008F2F95">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portion that imported this as an excel file and combined it with the existing charts in the R file. </w:t>
      </w:r>
      <w:r w:rsidR="00D82959">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091D7D">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information was converted into a single column that contained a string value which identified the metabolic characteristic of the </w:t>
      </w:r>
      <w:r w:rsidR="00AA504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taxonomic group of interest. This code is generalizable</w:t>
      </w:r>
      <w:r w:rsidR="006237E9">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any functionality metadata chart you could upload as long as its in the same format as the one I made. </w:t>
      </w:r>
    </w:p>
    <w:p w14:paraId="0C95E12F" w14:textId="77777777" w:rsidR="005D1505" w:rsidRDefault="005D1505" w:rsidP="00294CCC">
      <w:p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DB5BD0" w14:textId="0674337F" w:rsidR="004241D1" w:rsidRDefault="005D1505" w:rsidP="00294CCC">
      <w:p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These functional groups were then plotted in the same way as the </w:t>
      </w:r>
      <w:r w:rsidR="00B32477">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previous </w:t>
      </w:r>
      <w:proofErr w:type="spellStart"/>
      <w:r w:rsidR="00D941E1">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taxnommic</w:t>
      </w:r>
      <w:proofErr w:type="spellEnd"/>
      <w:r w:rsidR="00D941E1">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groups, with the relative abundance in the y axis and either time or sample number in the y axis, with each functional group stacked in different colors. </w:t>
      </w:r>
    </w:p>
    <w:p w14:paraId="259E4FAA" w14:textId="6DFEEA70" w:rsidR="00FD634C" w:rsidRDefault="00F401D5">
      <w:r w:rsidRPr="00F401D5">
        <w:lastRenderedPageBreak/>
        <w:drawing>
          <wp:inline distT="0" distB="0" distL="0" distR="0" wp14:anchorId="6774B23D" wp14:editId="6FF62EDF">
            <wp:extent cx="3215640" cy="1944157"/>
            <wp:effectExtent l="0" t="0" r="3810" b="0"/>
            <wp:docPr id="405118640"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18640" name="Picture 1" descr="A graph with different colored squares&#10;&#10;Description automatically generated"/>
                    <pic:cNvPicPr/>
                  </pic:nvPicPr>
                  <pic:blipFill>
                    <a:blip r:embed="rId16"/>
                    <a:stretch>
                      <a:fillRect/>
                    </a:stretch>
                  </pic:blipFill>
                  <pic:spPr>
                    <a:xfrm>
                      <a:off x="0" y="0"/>
                      <a:ext cx="3216815" cy="1944867"/>
                    </a:xfrm>
                    <a:prstGeom prst="rect">
                      <a:avLst/>
                    </a:prstGeom>
                  </pic:spPr>
                </pic:pic>
              </a:graphicData>
            </a:graphic>
          </wp:inline>
        </w:drawing>
      </w:r>
    </w:p>
    <w:p w14:paraId="20DEE22C" w14:textId="77777777" w:rsidR="00E23B66" w:rsidRDefault="00E23B66"/>
    <w:p w14:paraId="4AF090F3" w14:textId="06D0D781" w:rsidR="00E23B66" w:rsidRDefault="00E23B66">
      <w:r w:rsidRPr="00E23B66">
        <w:drawing>
          <wp:inline distT="0" distB="0" distL="0" distR="0" wp14:anchorId="14E83686" wp14:editId="1828536F">
            <wp:extent cx="5943600" cy="1600835"/>
            <wp:effectExtent l="0" t="0" r="0" b="0"/>
            <wp:docPr id="811512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12615" name="Picture 1" descr="A screenshot of a computer&#10;&#10;Description automatically generated"/>
                    <pic:cNvPicPr/>
                  </pic:nvPicPr>
                  <pic:blipFill>
                    <a:blip r:embed="rId17"/>
                    <a:stretch>
                      <a:fillRect/>
                    </a:stretch>
                  </pic:blipFill>
                  <pic:spPr>
                    <a:xfrm>
                      <a:off x="0" y="0"/>
                      <a:ext cx="5943600" cy="1600835"/>
                    </a:xfrm>
                    <a:prstGeom prst="rect">
                      <a:avLst/>
                    </a:prstGeom>
                  </pic:spPr>
                </pic:pic>
              </a:graphicData>
            </a:graphic>
          </wp:inline>
        </w:drawing>
      </w:r>
    </w:p>
    <w:p w14:paraId="54A1A932" w14:textId="77777777" w:rsidR="00502674" w:rsidRDefault="00502674"/>
    <w:p w14:paraId="32FE8D48" w14:textId="7A3D4FF0" w:rsidR="00502674" w:rsidRDefault="005835E3">
      <w:r>
        <w:rPr>
          <w:b/>
          <w:bCs/>
        </w:rPr>
        <w:t xml:space="preserve">PCR </w:t>
      </w:r>
    </w:p>
    <w:p w14:paraId="6F7E4AA4" w14:textId="53FBD1A6" w:rsidR="005835E3" w:rsidRPr="005835E3" w:rsidRDefault="005835E3" w:rsidP="00084B8B">
      <w:pPr>
        <w:ind w:firstLine="720"/>
      </w:pPr>
      <w:r>
        <w:t>I followed Emily’s instructions to do the PCR</w:t>
      </w:r>
      <w:r w:rsidR="00084B8B">
        <w:t xml:space="preserve">; I created a new thermocycle method and saved it in the machine. Later today (11/18) I’ll run the samples on a gel to see if it </w:t>
      </w:r>
      <w:r w:rsidR="00AE21A6">
        <w:t xml:space="preserve">worked. </w:t>
      </w:r>
    </w:p>
    <w:sectPr w:rsidR="005835E3" w:rsidRPr="005835E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DCF0C" w14:textId="77777777" w:rsidR="00B95858" w:rsidRDefault="00B95858" w:rsidP="00F4714B">
      <w:pPr>
        <w:spacing w:after="0" w:line="240" w:lineRule="auto"/>
      </w:pPr>
      <w:r>
        <w:separator/>
      </w:r>
    </w:p>
  </w:endnote>
  <w:endnote w:type="continuationSeparator" w:id="0">
    <w:p w14:paraId="3E3721C2" w14:textId="77777777" w:rsidR="00B95858" w:rsidRDefault="00B95858" w:rsidP="00F4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B65F2" w14:textId="77777777" w:rsidR="00B95858" w:rsidRDefault="00B95858" w:rsidP="00F4714B">
      <w:pPr>
        <w:spacing w:after="0" w:line="240" w:lineRule="auto"/>
      </w:pPr>
      <w:r>
        <w:separator/>
      </w:r>
    </w:p>
  </w:footnote>
  <w:footnote w:type="continuationSeparator" w:id="0">
    <w:p w14:paraId="37E2D41A" w14:textId="77777777" w:rsidR="00B95858" w:rsidRDefault="00B95858" w:rsidP="00F47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FA7B2" w14:textId="77777777" w:rsidR="00F4714B" w:rsidRDefault="00F4714B">
    <w:pPr>
      <w:pStyle w:val="Header"/>
    </w:pPr>
  </w:p>
  <w:p w14:paraId="4403B2D4" w14:textId="77777777" w:rsidR="00F4714B" w:rsidRDefault="00F4714B">
    <w:pPr>
      <w:pStyle w:val="Header"/>
    </w:pPr>
  </w:p>
  <w:p w14:paraId="09220B7E" w14:textId="77777777" w:rsidR="00F4714B" w:rsidRDefault="00F47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139B4"/>
    <w:multiLevelType w:val="hybridMultilevel"/>
    <w:tmpl w:val="DE6C6F4E"/>
    <w:lvl w:ilvl="0" w:tplc="CB8689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440A7"/>
    <w:multiLevelType w:val="hybridMultilevel"/>
    <w:tmpl w:val="0642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769FD"/>
    <w:multiLevelType w:val="hybridMultilevel"/>
    <w:tmpl w:val="A8CE5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516556">
    <w:abstractNumId w:val="2"/>
  </w:num>
  <w:num w:numId="2" w16cid:durableId="563444159">
    <w:abstractNumId w:val="0"/>
  </w:num>
  <w:num w:numId="3" w16cid:durableId="2137023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4B"/>
    <w:rsid w:val="00024744"/>
    <w:rsid w:val="00080C8A"/>
    <w:rsid w:val="00084B8B"/>
    <w:rsid w:val="00091D7D"/>
    <w:rsid w:val="000F0825"/>
    <w:rsid w:val="0019285C"/>
    <w:rsid w:val="00193163"/>
    <w:rsid w:val="00260077"/>
    <w:rsid w:val="00294CCC"/>
    <w:rsid w:val="004241D1"/>
    <w:rsid w:val="004357B9"/>
    <w:rsid w:val="00502674"/>
    <w:rsid w:val="00540503"/>
    <w:rsid w:val="00551D34"/>
    <w:rsid w:val="00573D18"/>
    <w:rsid w:val="005835E3"/>
    <w:rsid w:val="005B35D2"/>
    <w:rsid w:val="005D1505"/>
    <w:rsid w:val="006237E9"/>
    <w:rsid w:val="00672EE1"/>
    <w:rsid w:val="006746D3"/>
    <w:rsid w:val="00757F4E"/>
    <w:rsid w:val="00783016"/>
    <w:rsid w:val="008F2F95"/>
    <w:rsid w:val="009211E7"/>
    <w:rsid w:val="00952FB4"/>
    <w:rsid w:val="00980383"/>
    <w:rsid w:val="00AA504B"/>
    <w:rsid w:val="00AB784E"/>
    <w:rsid w:val="00AE21A6"/>
    <w:rsid w:val="00B32477"/>
    <w:rsid w:val="00B73EB8"/>
    <w:rsid w:val="00B95858"/>
    <w:rsid w:val="00C22CDC"/>
    <w:rsid w:val="00CC02D6"/>
    <w:rsid w:val="00CE016A"/>
    <w:rsid w:val="00D1480A"/>
    <w:rsid w:val="00D34B69"/>
    <w:rsid w:val="00D41C63"/>
    <w:rsid w:val="00D4561A"/>
    <w:rsid w:val="00D82959"/>
    <w:rsid w:val="00D941E1"/>
    <w:rsid w:val="00DA179E"/>
    <w:rsid w:val="00E23B66"/>
    <w:rsid w:val="00E32BBE"/>
    <w:rsid w:val="00ED21C6"/>
    <w:rsid w:val="00F401D5"/>
    <w:rsid w:val="00F4714B"/>
    <w:rsid w:val="00FA6E8F"/>
    <w:rsid w:val="00FA7BC4"/>
    <w:rsid w:val="00FD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8C9D"/>
  <w15:chartTrackingRefBased/>
  <w15:docId w15:val="{A56417FF-E1B1-4601-B50F-0F497203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1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71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71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71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71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7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71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71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71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71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7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14B"/>
    <w:rPr>
      <w:rFonts w:eastAsiaTheme="majorEastAsia" w:cstheme="majorBidi"/>
      <w:color w:val="272727" w:themeColor="text1" w:themeTint="D8"/>
    </w:rPr>
  </w:style>
  <w:style w:type="paragraph" w:styleId="Title">
    <w:name w:val="Title"/>
    <w:basedOn w:val="Normal"/>
    <w:next w:val="Normal"/>
    <w:link w:val="TitleChar"/>
    <w:uiPriority w:val="10"/>
    <w:qFormat/>
    <w:rsid w:val="00F47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14B"/>
    <w:pPr>
      <w:spacing w:before="160"/>
      <w:jc w:val="center"/>
    </w:pPr>
    <w:rPr>
      <w:i/>
      <w:iCs/>
      <w:color w:val="404040" w:themeColor="text1" w:themeTint="BF"/>
    </w:rPr>
  </w:style>
  <w:style w:type="character" w:customStyle="1" w:styleId="QuoteChar">
    <w:name w:val="Quote Char"/>
    <w:basedOn w:val="DefaultParagraphFont"/>
    <w:link w:val="Quote"/>
    <w:uiPriority w:val="29"/>
    <w:rsid w:val="00F4714B"/>
    <w:rPr>
      <w:i/>
      <w:iCs/>
      <w:color w:val="404040" w:themeColor="text1" w:themeTint="BF"/>
    </w:rPr>
  </w:style>
  <w:style w:type="paragraph" w:styleId="ListParagraph">
    <w:name w:val="List Paragraph"/>
    <w:basedOn w:val="Normal"/>
    <w:uiPriority w:val="34"/>
    <w:qFormat/>
    <w:rsid w:val="00F4714B"/>
    <w:pPr>
      <w:ind w:left="720"/>
      <w:contextualSpacing/>
    </w:pPr>
  </w:style>
  <w:style w:type="character" w:styleId="IntenseEmphasis">
    <w:name w:val="Intense Emphasis"/>
    <w:basedOn w:val="DefaultParagraphFont"/>
    <w:uiPriority w:val="21"/>
    <w:qFormat/>
    <w:rsid w:val="00F4714B"/>
    <w:rPr>
      <w:i/>
      <w:iCs/>
      <w:color w:val="2F5496" w:themeColor="accent1" w:themeShade="BF"/>
    </w:rPr>
  </w:style>
  <w:style w:type="paragraph" w:styleId="IntenseQuote">
    <w:name w:val="Intense Quote"/>
    <w:basedOn w:val="Normal"/>
    <w:next w:val="Normal"/>
    <w:link w:val="IntenseQuoteChar"/>
    <w:uiPriority w:val="30"/>
    <w:qFormat/>
    <w:rsid w:val="00F471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714B"/>
    <w:rPr>
      <w:i/>
      <w:iCs/>
      <w:color w:val="2F5496" w:themeColor="accent1" w:themeShade="BF"/>
    </w:rPr>
  </w:style>
  <w:style w:type="character" w:styleId="IntenseReference">
    <w:name w:val="Intense Reference"/>
    <w:basedOn w:val="DefaultParagraphFont"/>
    <w:uiPriority w:val="32"/>
    <w:qFormat/>
    <w:rsid w:val="00F4714B"/>
    <w:rPr>
      <w:b/>
      <w:bCs/>
      <w:smallCaps/>
      <w:color w:val="2F5496" w:themeColor="accent1" w:themeShade="BF"/>
      <w:spacing w:val="5"/>
    </w:rPr>
  </w:style>
  <w:style w:type="paragraph" w:styleId="Header">
    <w:name w:val="header"/>
    <w:basedOn w:val="Normal"/>
    <w:link w:val="HeaderChar"/>
    <w:uiPriority w:val="99"/>
    <w:unhideWhenUsed/>
    <w:rsid w:val="00F47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14B"/>
  </w:style>
  <w:style w:type="paragraph" w:styleId="Footer">
    <w:name w:val="footer"/>
    <w:basedOn w:val="Normal"/>
    <w:link w:val="FooterChar"/>
    <w:uiPriority w:val="99"/>
    <w:unhideWhenUsed/>
    <w:rsid w:val="00F47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14B"/>
  </w:style>
  <w:style w:type="character" w:styleId="Hyperlink">
    <w:name w:val="Hyperlink"/>
    <w:basedOn w:val="DefaultParagraphFont"/>
    <w:uiPriority w:val="99"/>
    <w:unhideWhenUsed/>
    <w:rsid w:val="00D41C63"/>
    <w:rPr>
      <w:color w:val="0563C1" w:themeColor="hyperlink"/>
      <w:u w:val="single"/>
    </w:rPr>
  </w:style>
  <w:style w:type="character" w:styleId="UnresolvedMention">
    <w:name w:val="Unresolved Mention"/>
    <w:basedOn w:val="DefaultParagraphFont"/>
    <w:uiPriority w:val="99"/>
    <w:semiHidden/>
    <w:unhideWhenUsed/>
    <w:rsid w:val="00D41C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470383">
      <w:bodyDiv w:val="1"/>
      <w:marLeft w:val="0"/>
      <w:marRight w:val="0"/>
      <w:marTop w:val="0"/>
      <w:marBottom w:val="0"/>
      <w:divBdr>
        <w:top w:val="none" w:sz="0" w:space="0" w:color="auto"/>
        <w:left w:val="none" w:sz="0" w:space="0" w:color="auto"/>
        <w:bottom w:val="none" w:sz="0" w:space="0" w:color="auto"/>
        <w:right w:val="none" w:sz="0" w:space="0" w:color="auto"/>
      </w:divBdr>
    </w:div>
    <w:div w:id="119099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0959652622033352"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uttenhower.sph.harvard.edu/picrust/" TargetMode="External"/><Relationship Id="rId12" Type="http://schemas.openxmlformats.org/officeDocument/2006/relationships/hyperlink" Target="https://www.sciencedirect.com/science/article/pii/S0306261916308364"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stage.jst.go.jp/article/jsme2/26/4/26_ME11123/_pdf" TargetMode="External"/><Relationship Id="rId5" Type="http://schemas.openxmlformats.org/officeDocument/2006/relationships/footnotes" Target="footnotes.xml"/><Relationship Id="rId15" Type="http://schemas.openxmlformats.org/officeDocument/2006/relationships/hyperlink" Target="https://www.mdpi.com/2076-2607/10/2/397" TargetMode="External"/><Relationship Id="rId10" Type="http://schemas.openxmlformats.org/officeDocument/2006/relationships/hyperlink" Target="https://www.sciencedirect.com/science/article/pii/S1075996409000559?via%3Dihu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ink.springer.com/article/10.1007/s00253-020-1049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Morrow</dc:creator>
  <cp:keywords/>
  <dc:description/>
  <cp:lastModifiedBy>Dan Morrow</cp:lastModifiedBy>
  <cp:revision>35</cp:revision>
  <dcterms:created xsi:type="dcterms:W3CDTF">2024-11-13T17:16:00Z</dcterms:created>
  <dcterms:modified xsi:type="dcterms:W3CDTF">2024-11-18T19:27:00Z</dcterms:modified>
</cp:coreProperties>
</file>