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DOSSIER</w:t>
      </w:r>
    </w:p>
    <w:p>
      <w:pPr>
        <w:pStyle w:val="Subtitle"/>
      </w:pPr>
      <w:r>
        <w:t xml:space="preserve">Debate question September - Oktober:</w:t>
      </w:r>
    </w:p>
    <w:p>
      <w:pPr>
        <w:pStyle w:val="Motion"/>
      </w:pPr>
      <w:r>
        <w:t xml:space="preserve">Resolved: The United States federal government should enact a moratorium on hyperscale data center construction.</w:t>
      </w:r>
    </w:p>
    <w:p>
      <w:pPr>
        <w:pStyle w:val="Meta"/>
      </w:pPr>
      <w:r>
        <w:t xml:space="preserve">Für: mich (Daniel Müller)</w:t>
      </w:r>
    </w:p>
    <w:p>
      <w:pPr>
        <w:pStyle w:val="Meta"/>
      </w:pPr>
      <w:r>
        <w:t xml:space="preserve">Sprecher: 1 → (Constructive, Crossfire 1, Summary, Grand Crossfire)</w:t>
      </w:r>
    </w:p>
    <w:p>
      <w:pPr>
        <w:pStyle w:val="TOCHeading"/>
        <w:pageBreakBefore/>
      </w:pPr>
      <w:r>
        <w:t xml:space="preserve">Inhaltsverzeichnis</w:t>
      </w:r>
    </w:p>
    <w:sdt>
      <w:sdtPr>
        <w:docPartObj>
          <w:docPartGallery w:val="Table of Contents"/>
          <w:docPartUnique/>
        </w:docPartObj>
      </w:sdtPr>
      <w:sdtContent>
        <w:p>
          <w:pPr>
            <w:pStyle w:val="TOC1"/>
          </w:pPr>
          <w:r>
            <w:fldChar w:fldCharType="begin"/>
          </w:r>
          <w:r>
            <w:instrText xml:space="preserve"> TOC \o "1-3" \h \z \u </w:instrText>
          </w:r>
          <w:r>
            <w:fldChar w:fldCharType="separate"/>
          </w:r>
          <w:hyperlink w:anchor="part-a" w:history="1">
            <w:r>
              <w:t xml:space="preserve">Part A – Basics</w:t>
            </w:r>
            <w:r>
              <w:tab/>
            </w:r>
            <w:r>
              <w:fldChar w:fldCharType="begin"/>
            </w:r>
            <w:r>
              <w:instrText xml:space="preserve"> PAGEREF part-a \h </w:instrText>
            </w:r>
            <w:r>
              <w:fldChar w:fldCharType="separate"/>
            </w:r>
            <w:r>
              <w:t>6</w:t>
            </w:r>
            <w:r>
              <w:fldChar w:fldCharType="end"/>
            </w:r>
          </w:hyperlink>
        </w:p>
        <w:p>
          <w:pPr>
            <w:pStyle w:val="TOC2"/>
          </w:pPr>
          <w:hyperlink w:anchor="a0" w:history="1">
            <w:r>
              <w:t xml:space="preserve">A0 Debate structure</w:t>
            </w:r>
            <w:r>
              <w:tab/>
            </w:r>
            <w:r>
              <w:fldChar w:fldCharType="begin"/>
            </w:r>
            <w:r>
              <w:instrText xml:space="preserve"> PAGEREF a0 \h </w:instrText>
            </w:r>
            <w:r>
              <w:fldChar w:fldCharType="separate"/>
            </w:r>
            <w:r>
              <w:t>6</w:t>
            </w:r>
            <w:r>
              <w:fldChar w:fldCharType="end"/>
            </w:r>
          </w:hyperlink>
        </w:p>
        <w:p>
          <w:pPr>
            <w:pStyle w:val="TOC2"/>
          </w:pPr>
          <w:hyperlink w:anchor="a1" w:history="1">
            <w:r>
              <w:t xml:space="preserve">A1 Definition: Hyperscale data center</w:t>
            </w:r>
            <w:r>
              <w:tab/>
            </w:r>
            <w:r>
              <w:fldChar w:fldCharType="begin"/>
            </w:r>
            <w:r>
              <w:instrText xml:space="preserve"> PAGEREF a1 \h </w:instrText>
            </w:r>
            <w:r>
              <w:fldChar w:fldCharType="separate"/>
            </w:r>
            <w:r>
              <w:t>6</w:t>
            </w:r>
            <w:r>
              <w:fldChar w:fldCharType="end"/>
            </w:r>
          </w:hyperlink>
        </w:p>
        <w:p>
          <w:pPr>
            <w:pStyle w:val="TOC2"/>
          </w:pPr>
          <w:hyperlink w:anchor="a2" w:history="1">
            <w:r>
              <w:t xml:space="preserve">A2 Definition: Moratorium</w:t>
            </w:r>
            <w:r>
              <w:tab/>
            </w:r>
            <w:r>
              <w:fldChar w:fldCharType="begin"/>
            </w:r>
            <w:r>
              <w:instrText xml:space="preserve"> PAGEREF a2 \h </w:instrText>
            </w:r>
            <w:r>
              <w:fldChar w:fldCharType="separate"/>
            </w:r>
            <w:r>
              <w:t>6</w:t>
            </w:r>
            <w:r>
              <w:fldChar w:fldCharType="end"/>
            </w:r>
          </w:hyperlink>
        </w:p>
        <w:p>
          <w:pPr>
            <w:pStyle w:val="TOC2"/>
          </w:pPr>
          <w:hyperlink w:anchor="a3" w:history="1">
            <w:r>
              <w:t xml:space="preserve">A3 What are data centers used for?</w:t>
            </w:r>
            <w:r>
              <w:tab/>
            </w:r>
            <w:r>
              <w:fldChar w:fldCharType="begin"/>
            </w:r>
            <w:r>
              <w:instrText xml:space="preserve"> PAGEREF a3 \h </w:instrText>
            </w:r>
            <w:r>
              <w:fldChar w:fldCharType="separate"/>
            </w:r>
            <w:r>
              <w:t>6</w:t>
            </w:r>
            <w:r>
              <w:fldChar w:fldCharType="end"/>
            </w:r>
          </w:hyperlink>
        </w:p>
        <w:p>
          <w:pPr>
            <w:pStyle w:val="TOC2"/>
          </w:pPr>
          <w:hyperlink w:anchor="a4" w:history="1">
            <w:r>
              <w:t xml:space="preserve">A4 Key figures at a glance</w:t>
            </w:r>
            <w:r>
              <w:tab/>
            </w:r>
            <w:r>
              <w:fldChar w:fldCharType="begin"/>
            </w:r>
            <w:r>
              <w:instrText xml:space="preserve"> PAGEREF a4 \h </w:instrText>
            </w:r>
            <w:r>
              <w:fldChar w:fldCharType="separate"/>
            </w:r>
            <w:r>
              <w:t>7</w:t>
            </w:r>
            <w:r>
              <w:fldChar w:fldCharType="end"/>
            </w:r>
          </w:hyperlink>
        </w:p>
        <w:p>
          <w:pPr>
            <w:pStyle w:val="TOC2"/>
          </w:pPr>
          <w:hyperlink w:anchor="a5" w:history="1">
            <w:r>
              <w:t xml:space="preserve">A5 Political status (October 2026)</w:t>
            </w:r>
            <w:r>
              <w:tab/>
            </w:r>
            <w:r>
              <w:fldChar w:fldCharType="begin"/>
            </w:r>
            <w:r>
              <w:instrText xml:space="preserve"> PAGEREF a5 \h </w:instrText>
            </w:r>
            <w:r>
              <w:fldChar w:fldCharType="separate"/>
            </w:r>
            <w:r>
              <w:t>7</w:t>
            </w:r>
            <w:r>
              <w:fldChar w:fldCharType="end"/>
            </w:r>
          </w:hyperlink>
        </w:p>
        <w:p>
          <w:pPr>
            <w:pStyle w:val="TOC3"/>
          </w:pPr>
          <w:hyperlink w:anchor="a5-contra" w:history="1">
            <w:r>
              <w:t xml:space="preserve">Possible Contra rebuttal: local moratoria already exist</w:t>
            </w:r>
            <w:r>
              <w:tab/>
            </w:r>
            <w:r>
              <w:fldChar w:fldCharType="begin"/>
            </w:r>
            <w:r>
              <w:instrText xml:space="preserve"> PAGEREF a5-contra \h </w:instrText>
            </w:r>
            <w:r>
              <w:fldChar w:fldCharType="separate"/>
            </w:r>
            <w:r>
              <w:t>8</w:t>
            </w:r>
            <w:r>
              <w:fldChar w:fldCharType="end"/>
            </w:r>
          </w:hyperlink>
        </w:p>
        <w:p>
          <w:pPr>
            <w:pStyle w:val="TOC2"/>
          </w:pPr>
          <w:hyperlink w:anchor="a6" w:history="1">
            <w:r>
              <w:t xml:space="preserve">A6 Other countries: Singapore, Malaysia, Ireland, China</w:t>
            </w:r>
            <w:r>
              <w:tab/>
            </w:r>
            <w:r>
              <w:fldChar w:fldCharType="begin"/>
            </w:r>
            <w:r>
              <w:instrText xml:space="preserve"> PAGEREF a6 \h </w:instrText>
            </w:r>
            <w:r>
              <w:fldChar w:fldCharType="separate"/>
            </w:r>
            <w:r>
              <w:t>8</w:t>
            </w:r>
            <w:r>
              <w:fldChar w:fldCharType="end"/>
            </w:r>
          </w:hyperlink>
        </w:p>
        <w:p>
          <w:pPr>
            <w:pStyle w:val="TOC2"/>
          </w:pPr>
          <w:hyperlink w:anchor="a7" w:history="1">
            <w:r>
              <w:t xml:space="preserve">A7 Glossary – Key Terms</w:t>
            </w:r>
            <w:r>
              <w:tab/>
            </w:r>
            <w:r>
              <w:fldChar w:fldCharType="begin"/>
            </w:r>
            <w:r>
              <w:instrText xml:space="preserve"> PAGEREF a7 \h </w:instrText>
            </w:r>
            <w:r>
              <w:fldChar w:fldCharType="separate"/>
            </w:r>
            <w:r>
              <w:t>9</w:t>
            </w:r>
            <w:r>
              <w:fldChar w:fldCharType="end"/>
            </w:r>
          </w:hyperlink>
        </w:p>
        <w:p>
          <w:pPr>
            <w:pStyle w:val="TOC1"/>
          </w:pPr>
          <w:hyperlink w:anchor="part-b" w:history="1">
            <w:r>
              <w:t xml:space="preserve">Part B – Constructives</w:t>
            </w:r>
            <w:r>
              <w:tab/>
            </w:r>
            <w:r>
              <w:fldChar w:fldCharType="begin"/>
            </w:r>
            <w:r>
              <w:instrText xml:space="preserve"> PAGEREF part-b \h </w:instrText>
            </w:r>
            <w:r>
              <w:fldChar w:fldCharType="separate"/>
            </w:r>
            <w:r>
              <w:t>12</w:t>
            </w:r>
            <w:r>
              <w:fldChar w:fldCharType="end"/>
            </w:r>
          </w:hyperlink>
        </w:p>
        <w:p>
          <w:pPr>
            <w:pStyle w:val="TOC2"/>
          </w:pPr>
          <w:hyperlink w:anchor="b1" w:history="1">
            <w:r>
              <w:t xml:space="preserve">B1 Constructive PRO</w:t>
            </w:r>
            <w:r>
              <w:tab/>
            </w:r>
            <w:r>
              <w:fldChar w:fldCharType="begin"/>
            </w:r>
            <w:r>
              <w:instrText xml:space="preserve"> PAGEREF b1 \h </w:instrText>
            </w:r>
            <w:r>
              <w:fldChar w:fldCharType="separate"/>
            </w:r>
            <w:r>
              <w:t>12</w:t>
            </w:r>
            <w:r>
              <w:fldChar w:fldCharType="end"/>
            </w:r>
          </w:hyperlink>
        </w:p>
        <w:p>
          <w:pPr>
            <w:pStyle w:val="TOC2"/>
          </w:pPr>
          <w:hyperlink w:anchor="b2" w:history="1">
            <w:r>
              <w:t xml:space="preserve">B2 Constructive CONTRA</w:t>
            </w:r>
            <w:r>
              <w:tab/>
            </w:r>
            <w:r>
              <w:fldChar w:fldCharType="begin"/>
            </w:r>
            <w:r>
              <w:instrText xml:space="preserve"> PAGEREF b2 \h </w:instrText>
            </w:r>
            <w:r>
              <w:fldChar w:fldCharType="separate"/>
            </w:r>
            <w:r>
              <w:t>14</w:t>
            </w:r>
            <w:r>
              <w:fldChar w:fldCharType="end"/>
            </w:r>
          </w:hyperlink>
        </w:p>
        <w:p>
          <w:pPr>
            <w:pStyle w:val="TOC1"/>
          </w:pPr>
          <w:hyperlink w:anchor="part-c" w:history="1">
            <w:r>
              <w:t xml:space="preserve">Part C – Pro-Arguments → Contra-Rebuttals → Pro-Frontline</w:t>
            </w:r>
            <w:r>
              <w:tab/>
            </w:r>
            <w:r>
              <w:fldChar w:fldCharType="begin"/>
            </w:r>
            <w:r>
              <w:instrText xml:space="preserve"> PAGEREF part-c \h </w:instrText>
            </w:r>
            <w:r>
              <w:fldChar w:fldCharType="separate"/>
            </w:r>
            <w:r>
              <w:t>16</w:t>
            </w:r>
            <w:r>
              <w:fldChar w:fldCharType="end"/>
            </w:r>
          </w:hyperlink>
        </w:p>
        <w:p>
          <w:pPr>
            <w:pStyle w:val="TOC2"/>
          </w:pPr>
          <w:hyperlink w:anchor="p1" w:history="1">
            <w:r>
              <w:t xml:space="preserve">P1 Electricity Prices: Households Pay the Bill</w:t>
            </w:r>
            <w:r>
              <w:tab/>
            </w:r>
            <w:r>
              <w:fldChar w:fldCharType="begin"/>
            </w:r>
            <w:r>
              <w:instrText xml:space="preserve"> PAGEREF p1 \h </w:instrText>
            </w:r>
            <w:r>
              <w:fldChar w:fldCharType="separate"/>
            </w:r>
            <w:r>
              <w:t>16</w:t>
            </w:r>
            <w:r>
              <w:fldChar w:fldCharType="end"/>
            </w:r>
          </w:hyperlink>
        </w:p>
        <w:p>
          <w:pPr>
            <w:pStyle w:val="TOC3"/>
          </w:pPr>
          <w:hyperlink w:anchor="p1-speech" w:history="1">
            <w:r>
              <w:t xml:space="preserve">Speech version</w:t>
            </w:r>
            <w:r>
              <w:tab/>
            </w:r>
            <w:r>
              <w:fldChar w:fldCharType="begin"/>
            </w:r>
            <w:r>
              <w:instrText xml:space="preserve"> PAGEREF p1-speech \h </w:instrText>
            </w:r>
            <w:r>
              <w:fldChar w:fldCharType="separate"/>
            </w:r>
            <w:r>
              <w:t>16</w:t>
            </w:r>
            <w:r>
              <w:fldChar w:fldCharType="end"/>
            </w:r>
          </w:hyperlink>
        </w:p>
        <w:p>
          <w:pPr>
            <w:pStyle w:val="TOC3"/>
          </w:pPr>
          <w:hyperlink w:anchor="p1-rebuttal" w:history="1">
            <w:r>
              <w:t xml:space="preserve">Rebuttal (Contra)</w:t>
            </w:r>
            <w:r>
              <w:tab/>
            </w:r>
            <w:r>
              <w:fldChar w:fldCharType="begin"/>
            </w:r>
            <w:r>
              <w:instrText xml:space="preserve"> PAGEREF p1-rebuttal \h </w:instrText>
            </w:r>
            <w:r>
              <w:fldChar w:fldCharType="separate"/>
            </w:r>
            <w:r>
              <w:t>16</w:t>
            </w:r>
            <w:r>
              <w:fldChar w:fldCharType="end"/>
            </w:r>
          </w:hyperlink>
        </w:p>
        <w:p>
          <w:pPr>
            <w:pStyle w:val="TOC3"/>
          </w:pPr>
          <w:hyperlink w:anchor="p1-frontline" w:history="1">
            <w:r>
              <w:t xml:space="preserve">Frontline (Pro)</w:t>
            </w:r>
            <w:r>
              <w:tab/>
            </w:r>
            <w:r>
              <w:fldChar w:fldCharType="begin"/>
            </w:r>
            <w:r>
              <w:instrText xml:space="preserve"> PAGEREF p1-frontline \h </w:instrText>
            </w:r>
            <w:r>
              <w:fldChar w:fldCharType="separate"/>
            </w:r>
            <w:r>
              <w:t>16</w:t>
            </w:r>
            <w:r>
              <w:fldChar w:fldCharType="end"/>
            </w:r>
          </w:hyperlink>
        </w:p>
        <w:p>
          <w:pPr>
            <w:pStyle w:val="TOC3"/>
          </w:pPr>
          <w:hyperlink w:anchor="p1-chain" w:history="1">
            <w:r>
              <w:t xml:space="preserve">Chain of Reasoning (Backup)</w:t>
            </w:r>
            <w:r>
              <w:tab/>
            </w:r>
            <w:r>
              <w:fldChar w:fldCharType="begin"/>
            </w:r>
            <w:r>
              <w:instrText xml:space="preserve"> PAGEREF p1-chain \h </w:instrText>
            </w:r>
            <w:r>
              <w:fldChar w:fldCharType="separate"/>
            </w:r>
            <w:r>
              <w:t>17</w:t>
            </w:r>
            <w:r>
              <w:fldChar w:fldCharType="end"/>
            </w:r>
          </w:hyperlink>
        </w:p>
        <w:p>
          <w:pPr>
            <w:pStyle w:val="TOC2"/>
          </w:pPr>
          <w:hyperlink w:anchor="p2" w:history="1">
            <w:r>
              <w:t xml:space="preserve">P2 Security of Supply: The Grid Can't Keep Up</w:t>
            </w:r>
            <w:r>
              <w:tab/>
            </w:r>
            <w:r>
              <w:fldChar w:fldCharType="begin"/>
            </w:r>
            <w:r>
              <w:instrText xml:space="preserve"> PAGEREF p2 \h </w:instrText>
            </w:r>
            <w:r>
              <w:fldChar w:fldCharType="separate"/>
            </w:r>
            <w:r>
              <w:t>20</w:t>
            </w:r>
            <w:r>
              <w:fldChar w:fldCharType="end"/>
            </w:r>
          </w:hyperlink>
        </w:p>
        <w:p>
          <w:pPr>
            <w:pStyle w:val="TOC3"/>
          </w:pPr>
          <w:hyperlink w:anchor="p2-contra" w:history="1">
            <w:r>
              <w:t xml:space="preserve">For Contra</w:t>
            </w:r>
            <w:r>
              <w:tab/>
            </w:r>
            <w:r>
              <w:fldChar w:fldCharType="begin"/>
            </w:r>
            <w:r>
              <w:instrText xml:space="preserve"> PAGEREF p2-contra \h </w:instrText>
            </w:r>
            <w:r>
              <w:fldChar w:fldCharType="separate"/>
            </w:r>
            <w:r>
              <w:t>20</w:t>
            </w:r>
            <w:r>
              <w:fldChar w:fldCharType="end"/>
            </w:r>
          </w:hyperlink>
        </w:p>
        <w:p>
          <w:pPr>
            <w:pStyle w:val="TOC2"/>
          </w:pPr>
          <w:hyperlink w:anchor="p3" w:history="1">
            <w:r>
              <w:t xml:space="preserve">P3 Climate &amp; Health: Gas Lock-in and Air Pollution</w:t>
            </w:r>
            <w:r>
              <w:tab/>
            </w:r>
            <w:r>
              <w:fldChar w:fldCharType="begin"/>
            </w:r>
            <w:r>
              <w:instrText xml:space="preserve"> PAGEREF p3 \h </w:instrText>
            </w:r>
            <w:r>
              <w:fldChar w:fldCharType="separate"/>
            </w:r>
            <w:r>
              <w:t>21</w:t>
            </w:r>
            <w:r>
              <w:fldChar w:fldCharType="end"/>
            </w:r>
          </w:hyperlink>
        </w:p>
        <w:p>
          <w:pPr>
            <w:pStyle w:val="TOC3"/>
          </w:pPr>
          <w:hyperlink w:anchor="p3-speech" w:history="1">
            <w:r>
              <w:t xml:space="preserve">Speech version</w:t>
            </w:r>
            <w:r>
              <w:tab/>
            </w:r>
            <w:r>
              <w:fldChar w:fldCharType="begin"/>
            </w:r>
            <w:r>
              <w:instrText xml:space="preserve"> PAGEREF p3-speech \h </w:instrText>
            </w:r>
            <w:r>
              <w:fldChar w:fldCharType="separate"/>
            </w:r>
            <w:r>
              <w:t>21</w:t>
            </w:r>
            <w:r>
              <w:fldChar w:fldCharType="end"/>
            </w:r>
          </w:hyperlink>
        </w:p>
        <w:p>
          <w:pPr>
            <w:pStyle w:val="TOC3"/>
          </w:pPr>
          <w:hyperlink w:anchor="p3-rebuttal" w:history="1">
            <w:r>
              <w:t xml:space="preserve">Rebuttal (Contra)</w:t>
            </w:r>
            <w:r>
              <w:tab/>
            </w:r>
            <w:r>
              <w:fldChar w:fldCharType="begin"/>
            </w:r>
            <w:r>
              <w:instrText xml:space="preserve"> PAGEREF p3-rebuttal \h </w:instrText>
            </w:r>
            <w:r>
              <w:fldChar w:fldCharType="separate"/>
            </w:r>
            <w:r>
              <w:t>21</w:t>
            </w:r>
            <w:r>
              <w:fldChar w:fldCharType="end"/>
            </w:r>
          </w:hyperlink>
        </w:p>
        <w:p>
          <w:pPr>
            <w:pStyle w:val="TOC3"/>
          </w:pPr>
          <w:hyperlink w:anchor="p3-frontline" w:history="1">
            <w:r>
              <w:t xml:space="preserve">Frontline (Pro)</w:t>
            </w:r>
            <w:r>
              <w:tab/>
            </w:r>
            <w:r>
              <w:fldChar w:fldCharType="begin"/>
            </w:r>
            <w:r>
              <w:instrText xml:space="preserve"> PAGEREF p3-frontline \h </w:instrText>
            </w:r>
            <w:r>
              <w:fldChar w:fldCharType="separate"/>
            </w:r>
            <w:r>
              <w:t>22</w:t>
            </w:r>
            <w:r>
              <w:fldChar w:fldCharType="end"/>
            </w:r>
          </w:hyperlink>
        </w:p>
        <w:p>
          <w:pPr>
            <w:pStyle w:val="TOC3"/>
          </w:pPr>
          <w:hyperlink w:anchor="p3-further" w:history="1">
            <w:r>
              <w:t xml:space="preserve">Further explanation (Warrant)</w:t>
            </w:r>
            <w:r>
              <w:tab/>
            </w:r>
            <w:r>
              <w:fldChar w:fldCharType="begin"/>
            </w:r>
            <w:r>
              <w:instrText xml:space="preserve"> PAGEREF p3-further \h </w:instrText>
            </w:r>
            <w:r>
              <w:fldChar w:fldCharType="separate"/>
            </w:r>
            <w:r>
              <w:t>23</w:t>
            </w:r>
            <w:r>
              <w:fldChar w:fldCharType="end"/>
            </w:r>
          </w:hyperlink>
        </w:p>
        <w:p>
          <w:pPr>
            <w:pStyle w:val="TOC3"/>
          </w:pPr>
          <w:hyperlink w:anchor="p3-chain" w:history="1">
            <w:r>
              <w:t xml:space="preserve">Chain of Reasoning (Backup)</w:t>
            </w:r>
            <w:r>
              <w:tab/>
            </w:r>
            <w:r>
              <w:fldChar w:fldCharType="begin"/>
            </w:r>
            <w:r>
              <w:instrText xml:space="preserve"> PAGEREF p3-chain \h </w:instrText>
            </w:r>
            <w:r>
              <w:fldChar w:fldCharType="separate"/>
            </w:r>
            <w:r>
              <w:t>23</w:t>
            </w:r>
            <w:r>
              <w:fldChar w:fldCharType="end"/>
            </w:r>
          </w:hyperlink>
        </w:p>
        <w:p>
          <w:pPr>
            <w:pStyle w:val="TOC2"/>
          </w:pPr>
          <w:hyperlink w:anchor="p4" w:history="1">
            <w:r>
              <w:t xml:space="preserve">P4 Water in Drought-Prone Areas</w:t>
            </w:r>
            <w:r>
              <w:tab/>
            </w:r>
            <w:r>
              <w:fldChar w:fldCharType="begin"/>
            </w:r>
            <w:r>
              <w:instrText xml:space="preserve"> PAGEREF p4 \h </w:instrText>
            </w:r>
            <w:r>
              <w:fldChar w:fldCharType="separate"/>
            </w:r>
            <w:r>
              <w:t>25</w:t>
            </w:r>
            <w:r>
              <w:fldChar w:fldCharType="end"/>
            </w:r>
          </w:hyperlink>
        </w:p>
        <w:p>
          <w:pPr>
            <w:pStyle w:val="TOC3"/>
          </w:pPr>
          <w:hyperlink w:anchor="p4-speech" w:history="1">
            <w:r>
              <w:t xml:space="preserve">Speech version</w:t>
            </w:r>
            <w:r>
              <w:tab/>
            </w:r>
            <w:r>
              <w:fldChar w:fldCharType="begin"/>
            </w:r>
            <w:r>
              <w:instrText xml:space="preserve"> PAGEREF p4-speech \h </w:instrText>
            </w:r>
            <w:r>
              <w:fldChar w:fldCharType="separate"/>
            </w:r>
            <w:r>
              <w:t>25</w:t>
            </w:r>
            <w:r>
              <w:fldChar w:fldCharType="end"/>
            </w:r>
          </w:hyperlink>
        </w:p>
        <w:p>
          <w:pPr>
            <w:pStyle w:val="TOC3"/>
          </w:pPr>
          <w:hyperlink w:anchor="p4-rebuttal" w:history="1">
            <w:r>
              <w:t xml:space="preserve">Rebuttal (Contra)</w:t>
            </w:r>
            <w:r>
              <w:tab/>
            </w:r>
            <w:r>
              <w:fldChar w:fldCharType="begin"/>
            </w:r>
            <w:r>
              <w:instrText xml:space="preserve"> PAGEREF p4-rebuttal \h </w:instrText>
            </w:r>
            <w:r>
              <w:fldChar w:fldCharType="separate"/>
            </w:r>
            <w:r>
              <w:t>25</w:t>
            </w:r>
            <w:r>
              <w:fldChar w:fldCharType="end"/>
            </w:r>
          </w:hyperlink>
        </w:p>
        <w:p>
          <w:pPr>
            <w:pStyle w:val="TOC3"/>
          </w:pPr>
          <w:hyperlink w:anchor="p4-frontline" w:history="1">
            <w:r>
              <w:t xml:space="preserve">Frontline (Pro)</w:t>
            </w:r>
            <w:r>
              <w:tab/>
            </w:r>
            <w:r>
              <w:fldChar w:fldCharType="begin"/>
            </w:r>
            <w:r>
              <w:instrText xml:space="preserve"> PAGEREF p4-frontline \h </w:instrText>
            </w:r>
            <w:r>
              <w:fldChar w:fldCharType="separate"/>
            </w:r>
            <w:r>
              <w:t>26</w:t>
            </w:r>
            <w:r>
              <w:fldChar w:fldCharType="end"/>
            </w:r>
          </w:hyperlink>
        </w:p>
        <w:p>
          <w:pPr>
            <w:pStyle w:val="TOC3"/>
          </w:pPr>
          <w:hyperlink w:anchor="p4-chain" w:history="1">
            <w:r>
              <w:t xml:space="preserve">Chain of Reasoning (Backup)</w:t>
            </w:r>
            <w:r>
              <w:tab/>
            </w:r>
            <w:r>
              <w:fldChar w:fldCharType="begin"/>
            </w:r>
            <w:r>
              <w:instrText xml:space="preserve"> PAGEREF p4-chain \h </w:instrText>
            </w:r>
            <w:r>
              <w:fldChar w:fldCharType="separate"/>
            </w:r>
            <w:r>
              <w:t>26</w:t>
            </w:r>
            <w:r>
              <w:fldChar w:fldCharType="end"/>
            </w:r>
          </w:hyperlink>
        </w:p>
        <w:p>
          <w:pPr>
            <w:pStyle w:val="TOC2"/>
          </w:pPr>
          <w:hyperlink w:anchor="p5" w:history="1">
            <w:r>
              <w:t xml:space="preserve">P5 Rules First, Then Concrete: The Moratorium as a Planning Tool</w:t>
            </w:r>
            <w:r>
              <w:tab/>
            </w:r>
            <w:r>
              <w:fldChar w:fldCharType="begin"/>
            </w:r>
            <w:r>
              <w:instrText xml:space="preserve"> PAGEREF p5 \h </w:instrText>
            </w:r>
            <w:r>
              <w:fldChar w:fldCharType="separate"/>
            </w:r>
            <w:r>
              <w:t>29</w:t>
            </w:r>
            <w:r>
              <w:fldChar w:fldCharType="end"/>
            </w:r>
          </w:hyperlink>
        </w:p>
        <w:p>
          <w:pPr>
            <w:pStyle w:val="TOC3"/>
          </w:pPr>
          <w:hyperlink w:anchor="p5-speech" w:history="1">
            <w:r>
              <w:t xml:space="preserve">Speech version</w:t>
            </w:r>
            <w:r>
              <w:tab/>
            </w:r>
            <w:r>
              <w:fldChar w:fldCharType="begin"/>
            </w:r>
            <w:r>
              <w:instrText xml:space="preserve"> PAGEREF p5-speech \h </w:instrText>
            </w:r>
            <w:r>
              <w:fldChar w:fldCharType="separate"/>
            </w:r>
            <w:r>
              <w:t>29</w:t>
            </w:r>
            <w:r>
              <w:fldChar w:fldCharType="end"/>
            </w:r>
          </w:hyperlink>
        </w:p>
        <w:p>
          <w:pPr>
            <w:pStyle w:val="TOC3"/>
          </w:pPr>
          <w:hyperlink w:anchor="p5-rebuttal" w:history="1">
            <w:r>
              <w:t xml:space="preserve">Rebuttal (Contra)</w:t>
            </w:r>
            <w:r>
              <w:tab/>
            </w:r>
            <w:r>
              <w:fldChar w:fldCharType="begin"/>
            </w:r>
            <w:r>
              <w:instrText xml:space="preserve"> PAGEREF p5-rebuttal \h </w:instrText>
            </w:r>
            <w:r>
              <w:fldChar w:fldCharType="separate"/>
            </w:r>
            <w:r>
              <w:t>29</w:t>
            </w:r>
            <w:r>
              <w:fldChar w:fldCharType="end"/>
            </w:r>
          </w:hyperlink>
        </w:p>
        <w:p>
          <w:pPr>
            <w:pStyle w:val="TOC3"/>
          </w:pPr>
          <w:hyperlink w:anchor="p5-frontline" w:history="1">
            <w:r>
              <w:t xml:space="preserve">Frontline (Pro)</w:t>
            </w:r>
            <w:r>
              <w:tab/>
            </w:r>
            <w:r>
              <w:fldChar w:fldCharType="begin"/>
            </w:r>
            <w:r>
              <w:instrText xml:space="preserve"> PAGEREF p5-frontline \h </w:instrText>
            </w:r>
            <w:r>
              <w:fldChar w:fldCharType="separate"/>
            </w:r>
            <w:r>
              <w:t>30</w:t>
            </w:r>
            <w:r>
              <w:fldChar w:fldCharType="end"/>
            </w:r>
          </w:hyperlink>
        </w:p>
        <w:p>
          <w:pPr>
            <w:pStyle w:val="TOC3"/>
          </w:pPr>
          <w:hyperlink w:anchor="p5-chain" w:history="1">
            <w:r>
              <w:t xml:space="preserve">Chain of Reasoning (Backup)</w:t>
            </w:r>
            <w:r>
              <w:tab/>
            </w:r>
            <w:r>
              <w:fldChar w:fldCharType="begin"/>
            </w:r>
            <w:r>
              <w:instrText xml:space="preserve"> PAGEREF p5-chain \h </w:instrText>
            </w:r>
            <w:r>
              <w:fldChar w:fldCharType="separate"/>
            </w:r>
            <w:r>
              <w:t>31</w:t>
            </w:r>
            <w:r>
              <w:fldChar w:fldCharType="end"/>
            </w:r>
          </w:hyperlink>
        </w:p>
        <w:p>
          <w:pPr>
            <w:pStyle w:val="TOC2"/>
          </w:pPr>
          <w:hyperlink w:anchor="p6" w:history="1">
            <w:r>
              <w:t xml:space="preserve">P6 Bubble Risk: The Public Is Liable for Bad Investments</w:t>
            </w:r>
            <w:r>
              <w:tab/>
            </w:r>
            <w:r>
              <w:fldChar w:fldCharType="begin"/>
            </w:r>
            <w:r>
              <w:instrText xml:space="preserve"> PAGEREF p6 \h </w:instrText>
            </w:r>
            <w:r>
              <w:fldChar w:fldCharType="separate"/>
            </w:r>
            <w:r>
              <w:t>36</w:t>
            </w:r>
            <w:r>
              <w:fldChar w:fldCharType="end"/>
            </w:r>
          </w:hyperlink>
        </w:p>
        <w:p>
          <w:pPr>
            <w:pStyle w:val="TOC2"/>
          </w:pPr>
          <w:hyperlink w:anchor="p7" w:history="1">
            <w:r>
              <w:t xml:space="preserve">P7 Public Costs, Little Return: Subsidies and Jobs</w:t>
            </w:r>
            <w:r>
              <w:tab/>
            </w:r>
            <w:r>
              <w:fldChar w:fldCharType="begin"/>
            </w:r>
            <w:r>
              <w:instrText xml:space="preserve"> PAGEREF p7 \h </w:instrText>
            </w:r>
            <w:r>
              <w:fldChar w:fldCharType="separate"/>
            </w:r>
            <w:r>
              <w:t>38</w:t>
            </w:r>
            <w:r>
              <w:fldChar w:fldCharType="end"/>
            </w:r>
          </w:hyperlink>
        </w:p>
        <w:p>
          <w:pPr>
            <w:pStyle w:val="TOC3"/>
          </w:pPr>
          <w:hyperlink w:anchor="p7-speech" w:history="1">
            <w:r>
              <w:t xml:space="preserve">Speech version</w:t>
            </w:r>
            <w:r>
              <w:tab/>
            </w:r>
            <w:r>
              <w:fldChar w:fldCharType="begin"/>
            </w:r>
            <w:r>
              <w:instrText xml:space="preserve"> PAGEREF p7-speech \h </w:instrText>
            </w:r>
            <w:r>
              <w:fldChar w:fldCharType="separate"/>
            </w:r>
            <w:r>
              <w:t>38</w:t>
            </w:r>
            <w:r>
              <w:fldChar w:fldCharType="end"/>
            </w:r>
          </w:hyperlink>
        </w:p>
        <w:p>
          <w:pPr>
            <w:pStyle w:val="TOC3"/>
          </w:pPr>
          <w:hyperlink w:anchor="p7-rebuttal" w:history="1">
            <w:r>
              <w:t xml:space="preserve">Rebuttal (Contra)</w:t>
            </w:r>
            <w:r>
              <w:tab/>
            </w:r>
            <w:r>
              <w:fldChar w:fldCharType="begin"/>
            </w:r>
            <w:r>
              <w:instrText xml:space="preserve"> PAGEREF p7-rebuttal \h </w:instrText>
            </w:r>
            <w:r>
              <w:fldChar w:fldCharType="separate"/>
            </w:r>
            <w:r>
              <w:t>38</w:t>
            </w:r>
            <w:r>
              <w:fldChar w:fldCharType="end"/>
            </w:r>
          </w:hyperlink>
        </w:p>
        <w:p>
          <w:pPr>
            <w:pStyle w:val="TOC3"/>
          </w:pPr>
          <w:hyperlink w:anchor="p7-frontline" w:history="1">
            <w:r>
              <w:t xml:space="preserve">Frontline (Pro)</w:t>
            </w:r>
            <w:r>
              <w:tab/>
            </w:r>
            <w:r>
              <w:fldChar w:fldCharType="begin"/>
            </w:r>
            <w:r>
              <w:instrText xml:space="preserve"> PAGEREF p7-frontline \h </w:instrText>
            </w:r>
            <w:r>
              <w:fldChar w:fldCharType="separate"/>
            </w:r>
            <w:r>
              <w:t>39</w:t>
            </w:r>
            <w:r>
              <w:fldChar w:fldCharType="end"/>
            </w:r>
          </w:hyperlink>
        </w:p>
        <w:p>
          <w:pPr>
            <w:pStyle w:val="TOC3"/>
          </w:pPr>
          <w:hyperlink w:anchor="p7-chain" w:history="1">
            <w:r>
              <w:t xml:space="preserve">Chain of Reasoning (Backup)</w:t>
            </w:r>
            <w:r>
              <w:tab/>
            </w:r>
            <w:r>
              <w:fldChar w:fldCharType="begin"/>
            </w:r>
            <w:r>
              <w:instrText xml:space="preserve"> PAGEREF p7-chain \h </w:instrText>
            </w:r>
            <w:r>
              <w:fldChar w:fldCharType="separate"/>
            </w:r>
            <w:r>
              <w:t>39</w:t>
            </w:r>
            <w:r>
              <w:fldChar w:fldCharType="end"/>
            </w:r>
          </w:hyperlink>
        </w:p>
        <w:p>
          <w:pPr>
            <w:pStyle w:val="TOC1"/>
          </w:pPr>
          <w:hyperlink w:anchor="part-d" w:history="1">
            <w:r>
              <w:t xml:space="preserve">Part D – Contra-Arguments → Pro-Rebuttal → Contra-Frontline</w:t>
            </w:r>
            <w:r>
              <w:tab/>
            </w:r>
            <w:r>
              <w:fldChar w:fldCharType="begin"/>
            </w:r>
            <w:r>
              <w:instrText xml:space="preserve"> PAGEREF part-d \h </w:instrText>
            </w:r>
            <w:r>
              <w:fldChar w:fldCharType="separate"/>
            </w:r>
            <w:r>
              <w:t>43</w:t>
            </w:r>
            <w:r>
              <w:fldChar w:fldCharType="end"/>
            </w:r>
          </w:hyperlink>
        </w:p>
        <w:p>
          <w:pPr>
            <w:pStyle w:val="TOC1"/>
          </w:pPr>
          <w:hyperlink w:anchor="part-e" w:history="1">
            <w:r>
              <w:t xml:space="preserve">Part E – Sources</w:t>
            </w:r>
            <w:r>
              <w:tab/>
            </w:r>
            <w:r>
              <w:fldChar w:fldCharType="begin"/>
            </w:r>
            <w:r>
              <w:instrText xml:space="preserve"> PAGEREF part-e \h </w:instrText>
            </w:r>
            <w:r>
              <w:fldChar w:fldCharType="separate"/>
            </w:r>
            <w:r>
              <w:t>44</w:t>
            </w:r>
            <w:r>
              <w:fldChar w:fldCharType="end"/>
            </w:r>
          </w:hyperlink>
        </w:p>
        <w:p>
          <w:pPr>
            <w:pStyle w:val="TOC2"/>
          </w:pPr>
          <w:hyperlink w:anchor="src-S1" w:history="1">
            <w:r>
              <w:t xml:space="preserve">S1 – Legal Information Institute (Cornell Law School): “moratorium”</w:t>
            </w:r>
            <w:r>
              <w:tab/>
            </w:r>
            <w:r>
              <w:fldChar w:fldCharType="begin"/>
            </w:r>
            <w:r>
              <w:instrText xml:space="preserve"> PAGEREF src-S1 \h </w:instrText>
            </w:r>
            <w:r>
              <w:fldChar w:fldCharType="separate"/>
            </w:r>
            <w:r>
              <w:t>44</w:t>
            </w:r>
            <w:r>
              <w:fldChar w:fldCharType="end"/>
            </w:r>
          </w:hyperlink>
        </w:p>
        <w:p>
          <w:pPr>
            <w:pStyle w:val="TOC2"/>
          </w:pPr>
          <w:hyperlink w:anchor="src-S2" w:history="1">
            <w:r>
              <w:t xml:space="preserve">S2 – IDC Definition</w:t>
            </w:r>
            <w:r>
              <w:tab/>
            </w:r>
            <w:r>
              <w:fldChar w:fldCharType="begin"/>
            </w:r>
            <w:r>
              <w:instrText xml:space="preserve"> PAGEREF src-S2 \h </w:instrText>
            </w:r>
            <w:r>
              <w:fldChar w:fldCharType="separate"/>
            </w:r>
            <w:r>
              <w:t>44</w:t>
            </w:r>
            <w:r>
              <w:fldChar w:fldCharType="end"/>
            </w:r>
          </w:hyperlink>
        </w:p>
        <w:p>
          <w:pPr>
            <w:pStyle w:val="TOC2"/>
          </w:pPr>
          <w:hyperlink w:anchor="src-S3" w:history="1">
            <w:r>
              <w:t xml:space="preserve">S3 – Stargate UAE: G42 press release, OpenAI announcement, The National</w:t>
            </w:r>
            <w:r>
              <w:tab/>
            </w:r>
            <w:r>
              <w:fldChar w:fldCharType="begin"/>
            </w:r>
            <w:r>
              <w:instrText xml:space="preserve"> PAGEREF src-S3 \h </w:instrText>
            </w:r>
            <w:r>
              <w:fldChar w:fldCharType="separate"/>
            </w:r>
            <w:r>
              <w:t>44</w:t>
            </w:r>
            <w:r>
              <w:fldChar w:fldCharType="end"/>
            </w:r>
          </w:hyperlink>
        </w:p>
        <w:p>
          <w:pPr>
            <w:pStyle w:val="TOC2"/>
          </w:pPr>
          <w:hyperlink w:anchor="src-S4" w:history="1">
            <w:r>
              <w:t xml:space="preserve">S4 – Johor (Malaysia): w.media (2024) and Data Center Dynamics (2025)</w:t>
            </w:r>
            <w:r>
              <w:tab/>
            </w:r>
            <w:r>
              <w:fldChar w:fldCharType="begin"/>
            </w:r>
            <w:r>
              <w:instrText xml:space="preserve"> PAGEREF src-S4 \h </w:instrText>
            </w:r>
            <w:r>
              <w:fldChar w:fldCharType="separate"/>
            </w:r>
            <w:r>
              <w:t>45</w:t>
            </w:r>
            <w:r>
              <w:fldChar w:fldCharType="end"/>
            </w:r>
          </w:hyperlink>
        </w:p>
        <w:p>
          <w:pPr>
            <w:pStyle w:val="TOC2"/>
          </w:pPr>
          <w:hyperlink w:anchor="src-S5" w:history="1">
            <w:r>
              <w:t xml:space="preserve">S5 – Share of electricity generated by fossil fuels</w:t>
            </w:r>
            <w:r>
              <w:tab/>
            </w:r>
            <w:r>
              <w:fldChar w:fldCharType="begin"/>
            </w:r>
            <w:r>
              <w:instrText xml:space="preserve"> PAGEREF src-S5 \h </w:instrText>
            </w:r>
            <w:r>
              <w:fldChar w:fldCharType="separate"/>
            </w:r>
            <w:r>
              <w:t>45</w:t>
            </w:r>
            <w:r>
              <w:fldChar w:fldCharType="end"/>
            </w:r>
          </w:hyperlink>
        </w:p>
        <w:p>
          <w:pPr>
            <w:pStyle w:val="TOC2"/>
          </w:pPr>
          <w:hyperlink w:anchor="src-S6" w:history="1">
            <w:r>
              <w:t xml:space="preserve">S6 – TechCrunch: "OpenAI CEO Sam Altman says the company is out of GPUs"</w:t>
            </w:r>
            <w:r>
              <w:tab/>
            </w:r>
            <w:r>
              <w:fldChar w:fldCharType="begin"/>
            </w:r>
            <w:r>
              <w:instrText xml:space="preserve"> PAGEREF src-S6 \h </w:instrText>
            </w:r>
            <w:r>
              <w:fldChar w:fldCharType="separate"/>
            </w:r>
            <w:r>
              <w:t>45</w:t>
            </w:r>
            <w:r>
              <w:fldChar w:fldCharType="end"/>
            </w:r>
          </w:hyperlink>
        </w:p>
        <w:p>
          <w:pPr>
            <w:pStyle w:val="TOC2"/>
          </w:pPr>
          <w:hyperlink w:anchor="src-S7" w:history="1">
            <w:r>
              <w:t xml:space="preserve">S7 – Stärkstes KI-Modell</w:t>
            </w:r>
            <w:r>
              <w:tab/>
            </w:r>
            <w:r>
              <w:fldChar w:fldCharType="begin"/>
            </w:r>
            <w:r>
              <w:instrText xml:space="preserve"> PAGEREF src-S7 \h </w:instrText>
            </w:r>
            <w:r>
              <w:fldChar w:fldCharType="separate"/>
            </w:r>
            <w:r>
              <w:t>46</w:t>
            </w:r>
            <w:r>
              <w:fldChar w:fldCharType="end"/>
            </w:r>
          </w:hyperlink>
        </w:p>
        <w:p>
          <w:pPr>
            <w:pStyle w:val="TOC2"/>
          </w:pPr>
          <w:hyperlink w:anchor="src-S8" w:history="1">
            <w:r>
              <w:t xml:space="preserve">S8 – NIST / CAISI: Evaluation of DeepSeek Models</w:t>
            </w:r>
            <w:r>
              <w:tab/>
            </w:r>
            <w:r>
              <w:fldChar w:fldCharType="begin"/>
            </w:r>
            <w:r>
              <w:instrText xml:space="preserve"> PAGEREF src-S8 \h </w:instrText>
            </w:r>
            <w:r>
              <w:fldChar w:fldCharType="separate"/>
            </w:r>
            <w:r>
              <w:t>47</w:t>
            </w:r>
            <w:r>
              <w:fldChar w:fldCharType="end"/>
            </w:r>
          </w:hyperlink>
        </w:p>
        <w:p>
          <w:pPr>
            <w:pStyle w:val="TOC2"/>
          </w:pPr>
          <w:hyperlink w:anchor="src-S9" w:history="1">
            <w:r>
              <w:t xml:space="preserve">S9 – International Energy Agency (IEA): "Key Questions on Energy and AI – Executive summary"</w:t>
            </w:r>
            <w:r>
              <w:tab/>
            </w:r>
            <w:r>
              <w:fldChar w:fldCharType="begin"/>
            </w:r>
            <w:r>
              <w:instrText xml:space="preserve"> PAGEREF src-S9 \h </w:instrText>
            </w:r>
            <w:r>
              <w:fldChar w:fldCharType="separate"/>
            </w:r>
            <w:r>
              <w:t>47</w:t>
            </w:r>
            <w:r>
              <w:fldChar w:fldCharType="end"/>
            </w:r>
          </w:hyperlink>
        </w:p>
        <w:p>
          <w:pPr>
            <w:pStyle w:val="TOC2"/>
          </w:pPr>
          <w:hyperlink w:anchor="src-S10" w:history="1">
            <w:r>
              <w:t xml:space="preserve">S10 – Digital Edge Indonesia (Alissa Shebila): „What is a Hyperscale Data Center? Exploring Its Advantages"</w:t>
            </w:r>
            <w:r>
              <w:tab/>
            </w:r>
            <w:r>
              <w:fldChar w:fldCharType="begin"/>
            </w:r>
            <w:r>
              <w:instrText xml:space="preserve"> PAGEREF src-S10 \h </w:instrText>
            </w:r>
            <w:r>
              <w:fldChar w:fldCharType="separate"/>
            </w:r>
            <w:r>
              <w:t>48</w:t>
            </w:r>
            <w:r>
              <w:fldChar w:fldCharType="end"/>
            </w:r>
          </w:hyperlink>
        </w:p>
        <w:p>
          <w:pPr>
            <w:pStyle w:val="TOC2"/>
          </w:pPr>
          <w:hyperlink w:anchor="src-S11" w:history="1">
            <w:r>
              <w:t xml:space="preserve">S11 – Stanford AI Index 2026, Chapter 4 "Economy"</w:t>
            </w:r>
            <w:r>
              <w:tab/>
            </w:r>
            <w:r>
              <w:fldChar w:fldCharType="begin"/>
            </w:r>
            <w:r>
              <w:instrText xml:space="preserve"> PAGEREF src-S11 \h </w:instrText>
            </w:r>
            <w:r>
              <w:fldChar w:fldCharType="separate"/>
            </w:r>
            <w:r>
              <w:t>48</w:t>
            </w:r>
            <w:r>
              <w:fldChar w:fldCharType="end"/>
            </w:r>
          </w:hyperlink>
        </w:p>
        <w:p>
          <w:pPr>
            <w:pStyle w:val="TOC2"/>
          </w:pPr>
          <w:hyperlink w:anchor="src-S12" w:history="1">
            <w:r>
              <w:t xml:space="preserve">S12 – Lawrence Berkeley National Laboratory: Data Center Energy Usage Report – 2025 Update</w:t>
            </w:r>
            <w:r>
              <w:tab/>
            </w:r>
            <w:r>
              <w:fldChar w:fldCharType="begin"/>
            </w:r>
            <w:r>
              <w:instrText xml:space="preserve"> PAGEREF src-S12 \h </w:instrText>
            </w:r>
            <w:r>
              <w:fldChar w:fldCharType="separate"/>
            </w:r>
            <w:r>
              <w:t>49</w:t>
            </w:r>
            <w:r>
              <w:fldChar w:fldCharType="end"/>
            </w:r>
          </w:hyperlink>
        </w:p>
        <w:p>
          <w:pPr>
            <w:pStyle w:val="TOC2"/>
          </w:pPr>
          <w:hyperlink w:anchor="src-S13" w:history="1">
            <w:r>
              <w:t xml:space="preserve">S13 – International Energy Agency (IEA): “Energy and AI” (Special Report)</w:t>
            </w:r>
            <w:r>
              <w:tab/>
            </w:r>
            <w:r>
              <w:fldChar w:fldCharType="begin"/>
            </w:r>
            <w:r>
              <w:instrText xml:space="preserve"> PAGEREF src-S13 \h </w:instrText>
            </w:r>
            <w:r>
              <w:fldChar w:fldCharType="separate"/>
            </w:r>
            <w:r>
              <w:t>49</w:t>
            </w:r>
            <w:r>
              <w:fldChar w:fldCharType="end"/>
            </w:r>
          </w:hyperlink>
        </w:p>
        <w:p>
          <w:pPr>
            <w:pStyle w:val="TOC2"/>
          </w:pPr>
          <w:hyperlink w:anchor="src-S14" w:history="1">
            <w:r>
              <w:t xml:space="preserve">S14 – PJM: Results of the 2028/29 Capacity Auction (Inside Lines)</w:t>
            </w:r>
            <w:r>
              <w:tab/>
            </w:r>
            <w:r>
              <w:fldChar w:fldCharType="begin"/>
            </w:r>
            <w:r>
              <w:instrText xml:space="preserve"> PAGEREF src-S14 \h </w:instrText>
            </w:r>
            <w:r>
              <w:fldChar w:fldCharType="separate"/>
            </w:r>
            <w:r>
              <w:t>49</w:t>
            </w:r>
            <w:r>
              <w:fldChar w:fldCharType="end"/>
            </w:r>
          </w:hyperlink>
        </w:p>
        <w:p>
          <w:pPr>
            <w:pStyle w:val="TOC2"/>
          </w:pPr>
          <w:hyperlink w:anchor="src-S15" w:history="1">
            <w:r>
              <w:t xml:space="preserve">S15 – Pew Research Center: "What we know about energy use at U.S. data centers amid the AI boom"</w:t>
            </w:r>
            <w:r>
              <w:tab/>
            </w:r>
            <w:r>
              <w:fldChar w:fldCharType="begin"/>
            </w:r>
            <w:r>
              <w:instrText xml:space="preserve"> PAGEREF src-S15 \h </w:instrText>
            </w:r>
            <w:r>
              <w:fldChar w:fldCharType="separate"/>
            </w:r>
            <w:r>
              <w:t>50</w:t>
            </w:r>
            <w:r>
              <w:fldChar w:fldCharType="end"/>
            </w:r>
          </w:hyperlink>
        </w:p>
        <w:p>
          <w:pPr>
            <w:pStyle w:val="TOC2"/>
          </w:pPr>
          <w:hyperlink w:anchor="src-S16" w:history="1">
            <w:r>
              <w:t xml:space="preserve">S16 – Monitoring Analytics (PJM’s market monitor) regarding the 2027/28 auction – via Utility Dive</w:t>
            </w:r>
            <w:r>
              <w:tab/>
            </w:r>
            <w:r>
              <w:fldChar w:fldCharType="begin"/>
            </w:r>
            <w:r>
              <w:instrText xml:space="preserve"> PAGEREF src-S16 \h </w:instrText>
            </w:r>
            <w:r>
              <w:fldChar w:fldCharType="separate"/>
            </w:r>
            <w:r>
              <w:t>50</w:t>
            </w:r>
            <w:r>
              <w:fldChar w:fldCharType="end"/>
            </w:r>
          </w:hyperlink>
        </w:p>
        <w:p>
          <w:pPr>
            <w:pStyle w:val="TOC2"/>
          </w:pPr>
          <w:hyperlink w:anchor="src-S17" w:history="1">
            <w:r>
              <w:t xml:space="preserve">S17 – Harvard Law School (Electricity Law Initiative): “Extracting Profits from the Public”</w:t>
            </w:r>
            <w:r>
              <w:tab/>
            </w:r>
            <w:r>
              <w:fldChar w:fldCharType="begin"/>
            </w:r>
            <w:r>
              <w:instrText xml:space="preserve"> PAGEREF src-S17 \h </w:instrText>
            </w:r>
            <w:r>
              <w:fldChar w:fldCharType="separate"/>
            </w:r>
            <w:r>
              <w:t>51</w:t>
            </w:r>
            <w:r>
              <w:fldChar w:fldCharType="end"/>
            </w:r>
          </w:hyperlink>
        </w:p>
        <w:p>
          <w:pPr>
            <w:pStyle w:val="TOC2"/>
          </w:pPr>
          <w:hyperlink w:anchor="src-S18" w:history="1">
            <w:r>
              <w:t xml:space="preserve">S18 – The New York Times: “Their Water Taps Ran Dry When Meta Built Next Door”</w:t>
            </w:r>
            <w:r>
              <w:tab/>
            </w:r>
            <w:r>
              <w:fldChar w:fldCharType="begin"/>
            </w:r>
            <w:r>
              <w:instrText xml:space="preserve"> PAGEREF src-S18 \h </w:instrText>
            </w:r>
            <w:r>
              <w:fldChar w:fldCharType="separate"/>
            </w:r>
            <w:r>
              <w:t>51</w:t>
            </w:r>
            <w:r>
              <w:fldChar w:fldCharType="end"/>
            </w:r>
          </w:hyperlink>
        </w:p>
        <w:p>
          <w:pPr>
            <w:pStyle w:val="TOC2"/>
          </w:pPr>
          <w:hyperlink w:anchor="src-S19" w:history="1">
            <w:r>
              <w:t xml:space="preserve">S19 – Atlanta Journal-Constitution: “Georgia families sue Meta, accuse its data center of tainting their water”</w:t>
            </w:r>
            <w:r>
              <w:tab/>
            </w:r>
            <w:r>
              <w:fldChar w:fldCharType="begin"/>
            </w:r>
            <w:r>
              <w:instrText xml:space="preserve"> PAGEREF src-S19 \h </w:instrText>
            </w:r>
            <w:r>
              <w:fldChar w:fldCharType="separate"/>
            </w:r>
            <w:r>
              <w:t>52</w:t>
            </w:r>
            <w:r>
              <w:fldChar w:fldCharType="end"/>
            </w:r>
          </w:hyperlink>
        </w:p>
        <w:p>
          <w:pPr>
            <w:pStyle w:val="TOC2"/>
          </w:pPr>
          <w:hyperlink w:anchor="src-S20" w:history="1">
            <w:r>
              <w:t xml:space="preserve">S20 – E&amp;E News (POLITICO): “‘How come I can’t breathe?’: Musk’s data company draws a backlash in Memphis”</w:t>
            </w:r>
            <w:r>
              <w:tab/>
            </w:r>
            <w:r>
              <w:fldChar w:fldCharType="begin"/>
            </w:r>
            <w:r>
              <w:instrText xml:space="preserve"> PAGEREF src-S20 \h </w:instrText>
            </w:r>
            <w:r>
              <w:fldChar w:fldCharType="separate"/>
            </w:r>
            <w:r>
              <w:t>52</w:t>
            </w:r>
            <w:r>
              <w:fldChar w:fldCharType="end"/>
            </w:r>
          </w:hyperlink>
        </w:p>
        <w:p>
          <w:pPr>
            <w:pStyle w:val="TOC2"/>
          </w:pPr>
          <w:hyperlink w:anchor="src-S21" w:history="1">
            <w:r>
              <w:t xml:space="preserve">S21 – NPR: “How Memphis became a battleground over Elon Musk’s xAI supercomputer”</w:t>
            </w:r>
            <w:r>
              <w:tab/>
            </w:r>
            <w:r>
              <w:fldChar w:fldCharType="begin"/>
            </w:r>
            <w:r>
              <w:instrText xml:space="preserve"> PAGEREF src-S21 \h </w:instrText>
            </w:r>
            <w:r>
              <w:fldChar w:fldCharType="separate"/>
            </w:r>
            <w:r>
              <w:t>53</w:t>
            </w:r>
            <w:r>
              <w:fldChar w:fldCharType="end"/>
            </w:r>
          </w:hyperlink>
        </w:p>
        <w:p>
          <w:pPr>
            <w:pStyle w:val="TOC2"/>
          </w:pPr>
          <w:hyperlink w:anchor="src-S22" w:history="1">
            <w:r>
              <w:t xml:space="preserve">S22 – CNN: “Elon Musk is building ‘the world’s biggest supercomputer.’ It’s powered with dozens of gas-powered turbines”</w:t>
            </w:r>
            <w:r>
              <w:tab/>
            </w:r>
            <w:r>
              <w:fldChar w:fldCharType="begin"/>
            </w:r>
            <w:r>
              <w:instrText xml:space="preserve"> PAGEREF src-S22 \h </w:instrText>
            </w:r>
            <w:r>
              <w:fldChar w:fldCharType="separate"/>
            </w:r>
            <w:r>
              <w:t>53</w:t>
            </w:r>
            <w:r>
              <w:fldChar w:fldCharType="end"/>
            </w:r>
          </w:hyperlink>
        </w:p>
        <w:p>
          <w:pPr>
            <w:pStyle w:val="TOC2"/>
          </w:pPr>
          <w:hyperlink w:anchor="src-S23" w:history="1">
            <w:r>
              <w:t xml:space="preserve">S23 – Bloomberg / E&amp;E News: “Data Centers Drive 76% Rise in Power Bills on Largest US Grid”</w:t>
            </w:r>
            <w:r>
              <w:tab/>
            </w:r>
            <w:r>
              <w:fldChar w:fldCharType="begin"/>
            </w:r>
            <w:r>
              <w:instrText xml:space="preserve"> PAGEREF src-S23 \h </w:instrText>
            </w:r>
            <w:r>
              <w:fldChar w:fldCharType="separate"/>
            </w:r>
            <w:r>
              <w:t>53</w:t>
            </w:r>
            <w:r>
              <w:fldChar w:fldCharType="end"/>
            </w:r>
          </w:hyperlink>
        </w:p>
        <w:p>
          <w:pPr>
            <w:pStyle w:val="TOC2"/>
          </w:pPr>
          <w:hyperlink w:anchor="src-S24" w:history="1">
            <w:r>
              <w:t xml:space="preserve">S24 – Gallup: “Americans Oppose AI Data Centers in Their Area”</w:t>
            </w:r>
            <w:r>
              <w:tab/>
            </w:r>
            <w:r>
              <w:fldChar w:fldCharType="begin"/>
            </w:r>
            <w:r>
              <w:instrText xml:space="preserve"> PAGEREF src-S24 \h </w:instrText>
            </w:r>
            <w:r>
              <w:fldChar w:fldCharType="separate"/>
            </w:r>
            <w:r>
              <w:t>54</w:t>
            </w:r>
            <w:r>
              <w:fldChar w:fldCharType="end"/>
            </w:r>
          </w:hyperlink>
        </w:p>
        <w:p>
          <w:pPr>
            <w:pStyle w:val="TOC2"/>
          </w:pPr>
          <w:hyperlink w:anchor="src-S25" w:history="1">
            <w:r>
              <w:t xml:space="preserve">S25 – Data Center Watch (10a Labs): Q1 2026 Report</w:t>
            </w:r>
            <w:r>
              <w:tab/>
            </w:r>
            <w:r>
              <w:fldChar w:fldCharType="begin"/>
            </w:r>
            <w:r>
              <w:instrText xml:space="preserve"> PAGEREF src-S25 \h </w:instrText>
            </w:r>
            <w:r>
              <w:fldChar w:fldCharType="separate"/>
            </w:r>
            <w:r>
              <w:t>54</w:t>
            </w:r>
            <w:r>
              <w:fldChar w:fldCharType="end"/>
            </w:r>
          </w:hyperlink>
        </w:p>
        <w:p>
          <w:pPr>
            <w:pStyle w:val="TOC2"/>
          </w:pPr>
          <w:hyperlink w:anchor="src-S26" w:history="1">
            <w:r>
              <w:t xml:space="preserve">S26 – The White House: “Ratepayer Protection Pledge”</w:t>
            </w:r>
            <w:r>
              <w:tab/>
            </w:r>
            <w:r>
              <w:fldChar w:fldCharType="begin"/>
            </w:r>
            <w:r>
              <w:instrText xml:space="preserve"> PAGEREF src-S26 \h </w:instrText>
            </w:r>
            <w:r>
              <w:fldChar w:fldCharType="separate"/>
            </w:r>
            <w:r>
              <w:t>54</w:t>
            </w:r>
            <w:r>
              <w:fldChar w:fldCharType="end"/>
            </w:r>
          </w:hyperlink>
        </w:p>
        <w:p>
          <w:pPr>
            <w:pStyle w:val="TOC2"/>
          </w:pPr>
          <w:hyperlink w:anchor="src-S27" w:history="1">
            <w:r>
              <w:t xml:space="preserve">S27 – Edison Electric Institute (EEI): “Large Load Projects and Tariffs (September 2026)”</w:t>
            </w:r>
            <w:r>
              <w:tab/>
            </w:r>
            <w:r>
              <w:fldChar w:fldCharType="begin"/>
            </w:r>
            <w:r>
              <w:instrText xml:space="preserve"> PAGEREF src-S27 \h </w:instrText>
            </w:r>
            <w:r>
              <w:fldChar w:fldCharType="separate"/>
            </w:r>
            <w:r>
              <w:t>55</w:t>
            </w:r>
            <w:r>
              <w:fldChar w:fldCharType="end"/>
            </w:r>
          </w:hyperlink>
        </w:p>
        <w:p>
          <w:pPr>
            <w:pStyle w:val="TOC2"/>
          </w:pPr>
          <w:hyperlink w:anchor="src-S28" w:history="1">
            <w:r>
              <w:t xml:space="preserve">S28 – FERC: Show-cause orders on large-load interconnection (June 18, 2026)</w:t>
            </w:r>
            <w:r>
              <w:tab/>
            </w:r>
            <w:r>
              <w:fldChar w:fldCharType="begin"/>
            </w:r>
            <w:r>
              <w:instrText xml:space="preserve"> PAGEREF src-S28 \h </w:instrText>
            </w:r>
            <w:r>
              <w:fldChar w:fldCharType="separate"/>
            </w:r>
            <w:r>
              <w:t>55</w:t>
            </w:r>
            <w:r>
              <w:fldChar w:fldCharType="end"/>
            </w:r>
          </w:hyperlink>
        </w:p>
        <w:p>
          <w:pPr>
            <w:pStyle w:val="TOC2"/>
          </w:pPr>
          <w:hyperlink w:anchor="src-S29" w:history="1">
            <w:r>
              <w:t xml:space="preserve">S29 – EPA rule of January 15, 2026 (via CNBC and SELC)</w:t>
            </w:r>
            <w:r>
              <w:tab/>
            </w:r>
            <w:r>
              <w:fldChar w:fldCharType="begin"/>
            </w:r>
            <w:r>
              <w:instrText xml:space="preserve"> PAGEREF src-S29 \h </w:instrText>
            </w:r>
            <w:r>
              <w:fldChar w:fldCharType="separate"/>
            </w:r>
            <w:r>
              <w:t>56</w:t>
            </w:r>
            <w:r>
              <w:fldChar w:fldCharType="end"/>
            </w:r>
          </w:hyperlink>
        </w:p>
        <w:p>
          <w:pPr>
            <w:pStyle w:val="TOC2"/>
          </w:pPr>
          <w:hyperlink w:anchor="src-S30" w:history="1">
            <w:r>
              <w:t xml:space="preserve">S30 – NPR: NDAs and data center deals</w:t>
            </w:r>
            <w:r>
              <w:tab/>
            </w:r>
            <w:r>
              <w:fldChar w:fldCharType="begin"/>
            </w:r>
            <w:r>
              <w:instrText xml:space="preserve"> PAGEREF src-S30 \h </w:instrText>
            </w:r>
            <w:r>
              <w:fldChar w:fldCharType="separate"/>
            </w:r>
            <w:r>
              <w:t>56</w:t>
            </w:r>
            <w:r>
              <w:fldChar w:fldCharType="end"/>
            </w:r>
          </w:hyperlink>
        </w:p>
        <w:p>
          <w:pPr>
            <w:pStyle w:val="TOC2"/>
          </w:pPr>
          <w:hyperlink w:anchor="src-S31" w:history="1">
            <w:r>
              <w:t xml:space="preserve">S31 – No federal reporting requirement: S. 4213 and the state patchwork</w:t>
            </w:r>
            <w:r>
              <w:tab/>
            </w:r>
            <w:r>
              <w:fldChar w:fldCharType="begin"/>
            </w:r>
            <w:r>
              <w:instrText xml:space="preserve"> PAGEREF src-S31 \h </w:instrText>
            </w:r>
            <w:r>
              <w:fldChar w:fldCharType="separate"/>
            </w:r>
            <w:r>
              <w:t>56</w:t>
            </w:r>
            <w:r>
              <w:fldChar w:fldCharType="end"/>
            </w:r>
          </w:hyperlink>
        </w:p>
        <w:p>
          <w:pPr>
            <w:pStyle w:val="TOC2"/>
          </w:pPr>
          <w:hyperlink w:anchor="src-S32" w:history="1">
            <w:r>
              <w:t xml:space="preserve">S32 – U.S. Supreme Court: Tahoe-Sierra Preservation Council v. Tahoe Regional Planning Agency, 535 U.S. 302 (2002)</w:t>
            </w:r>
            <w:r>
              <w:tab/>
            </w:r>
            <w:r>
              <w:fldChar w:fldCharType="begin"/>
            </w:r>
            <w:r>
              <w:instrText xml:space="preserve"> PAGEREF src-S32 \h </w:instrText>
            </w:r>
            <w:r>
              <w:fldChar w:fldCharType="separate"/>
            </w:r>
            <w:r>
              <w:t>57</w:t>
            </w:r>
            <w:r>
              <w:fldChar w:fldCharType="end"/>
            </w:r>
          </w:hyperlink>
        </w:p>
        <w:p>
          <w:pPr>
            <w:pStyle w:val="TOC2"/>
          </w:pPr>
          <w:hyperlink w:anchor="src-S33" w:history="1">
            <w:r>
              <w:t xml:space="preserve">S33 – Singapore: from moratorium to rules (2019 → 2022 → 2025)</w:t>
            </w:r>
            <w:r>
              <w:tab/>
            </w:r>
            <w:r>
              <w:fldChar w:fldCharType="begin"/>
            </w:r>
            <w:r>
              <w:instrText xml:space="preserve"> PAGEREF src-S33 \h </w:instrText>
            </w:r>
            <w:r>
              <w:fldChar w:fldCharType="separate"/>
            </w:r>
            <w:r>
              <w:t>57</w:t>
            </w:r>
            <w:r>
              <w:fldChar w:fldCharType="end"/>
            </w:r>
          </w:hyperlink>
        </w:p>
        <w:p>
          <w:pPr>
            <w:pStyle w:val="TOC2"/>
          </w:pPr>
          <w:hyperlink w:anchor="src-S34" w:history="1">
            <w:r>
              <w:t xml:space="preserve">S34 – WFYI: “Indy council advances pause on data centers, sends to commission for final approval”</w:t>
            </w:r>
            <w:r>
              <w:tab/>
            </w:r>
            <w:r>
              <w:fldChar w:fldCharType="begin"/>
            </w:r>
            <w:r>
              <w:instrText xml:space="preserve"> PAGEREF src-S34 \h </w:instrText>
            </w:r>
            <w:r>
              <w:fldChar w:fldCharType="separate"/>
            </w:r>
            <w:r>
              <w:t>58</w:t>
            </w:r>
            <w:r>
              <w:fldChar w:fldCharType="end"/>
            </w:r>
          </w:hyperlink>
        </w:p>
        <w:p>
          <w:pPr>
            <w:pStyle w:val="TOC2"/>
          </w:pPr>
          <w:hyperlink w:anchor="src-S35" w:history="1">
            <w:r>
              <w:t xml:space="preserve">S35 – SemiAnalysis: “Everyone Says Datacenter Moratoriums Are Killing the US Buildout. We Mapped All 300 of Them”</w:t>
            </w:r>
            <w:r>
              <w:tab/>
            </w:r>
            <w:r>
              <w:fldChar w:fldCharType="begin"/>
            </w:r>
            <w:r>
              <w:instrText xml:space="preserve"> PAGEREF src-S35 \h </w:instrText>
            </w:r>
            <w:r>
              <w:fldChar w:fldCharType="separate"/>
            </w:r>
            <w:r>
              <w:t>58</w:t>
            </w:r>
            <w:r>
              <w:fldChar w:fldCharType="end"/>
            </w:r>
          </w:hyperlink>
        </w:p>
        <w:p>
          <w:pPr>
            <w:pStyle w:val="TOC2"/>
          </w:pPr>
          <w:hyperlink w:anchor="src-S36" w:history="1">
            <w:r>
              <w:t xml:space="preserve">S36 – Sanders/Ocasio-Cortez: “Artificial Intelligence Data Center Moratorium Act” (background card)</w:t>
            </w:r>
            <w:r>
              <w:tab/>
            </w:r>
            <w:r>
              <w:fldChar w:fldCharType="begin"/>
            </w:r>
            <w:r>
              <w:instrText xml:space="preserve"> PAGEREF src-S36 \h </w:instrText>
            </w:r>
            <w:r>
              <w:fldChar w:fldCharType="separate"/>
            </w:r>
            <w:r>
              <w:t>58</w:t>
            </w:r>
            <w:r>
              <w:fldChar w:fldCharType="end"/>
            </w:r>
          </w:hyperlink>
        </w:p>
        <w:p>
          <w:pPr>
            <w:pStyle w:val="TOC2"/>
          </w:pPr>
          <w:hyperlink w:anchor="src-S37" w:history="1">
            <w:r>
              <w:t xml:space="preserve">S37 – Fayette County, Georgia: QTS "Project Excalibur" – water not billed</w:t>
            </w:r>
            <w:r>
              <w:tab/>
            </w:r>
            <w:r>
              <w:fldChar w:fldCharType="begin"/>
            </w:r>
            <w:r>
              <w:instrText xml:space="preserve"> PAGEREF src-S37 \h </w:instrText>
            </w:r>
            <w:r>
              <w:fldChar w:fldCharType="separate"/>
            </w:r>
            <w:r>
              <w:t>59</w:t>
            </w:r>
            <w:r>
              <w:fldChar w:fldCharType="end"/>
            </w:r>
          </w:hyperlink>
        </w:p>
        <w:p>
          <w:pPr>
            <w:pStyle w:val="TOC2"/>
          </w:pPr>
          <w:hyperlink w:anchor="src-S38" w:history="1">
            <w:r>
              <w:t xml:space="preserve">S38 – Southaven, Mississippi: class action against xAI over turbine noise</w:t>
            </w:r>
            <w:r>
              <w:tab/>
            </w:r>
            <w:r>
              <w:fldChar w:fldCharType="begin"/>
            </w:r>
            <w:r>
              <w:instrText xml:space="preserve"> PAGEREF src-S38 \h </w:instrText>
            </w:r>
            <w:r>
              <w:fldChar w:fldCharType="separate"/>
            </w:r>
            <w:r>
              <w:t>59</w:t>
            </w:r>
            <w:r>
              <w:fldChar w:fldCharType="end"/>
            </w:r>
          </w:hyperlink>
        </w:p>
        <w:p>
          <w:pPr>
            <w:pStyle w:val="TOC2"/>
          </w:pPr>
          <w:hyperlink w:anchor="src-S39" w:history="1">
            <w:r>
              <w:t xml:space="preserve">S39 – CBS News: the Polk family in Southaven</w:t>
            </w:r>
            <w:r>
              <w:tab/>
            </w:r>
            <w:r>
              <w:fldChar w:fldCharType="begin"/>
            </w:r>
            <w:r>
              <w:instrText xml:space="preserve"> PAGEREF src-S39 \h </w:instrText>
            </w:r>
            <w:r>
              <w:fldChar w:fldCharType="separate"/>
            </w:r>
            <w:r>
              <w:t>60</w:t>
            </w:r>
            <w:r>
              <w:fldChar w:fldCharType="end"/>
            </w:r>
          </w:hyperlink>
        </w:p>
        <w:p>
          <w:pPr>
            <w:pStyle w:val="TOC2"/>
          </w:pPr>
          <w:hyperlink w:anchor="src-S40" w:history="1">
            <w:r>
              <w:t xml:space="preserve">S40 – xAI Colossus, Memphis: size and power (TVA approval)</w:t>
            </w:r>
            <w:r>
              <w:tab/>
            </w:r>
            <w:r>
              <w:fldChar w:fldCharType="begin"/>
            </w:r>
            <w:r>
              <w:instrText xml:space="preserve"> PAGEREF src-S40 \h </w:instrText>
            </w:r>
            <w:r>
              <w:fldChar w:fldCharType="separate"/>
            </w:r>
            <w:r>
              <w:t>60</w:t>
            </w:r>
            <w:r>
              <w:fldChar w:fldCharType="end"/>
            </w:r>
          </w:hyperlink>
        </w:p>
        <w:p>
          <w:pPr>
            <w:pStyle w:val="TOC2"/>
          </w:pPr>
          <w:hyperlink w:anchor="src-S41" w:history="1">
            <w:r>
              <w:t xml:space="preserve">S41 – Executive Order 14318: “Accelerating Federal Permitting of Data Center Infrastructure”</w:t>
            </w:r>
            <w:r>
              <w:tab/>
            </w:r>
            <w:r>
              <w:fldChar w:fldCharType="begin"/>
            </w:r>
            <w:r>
              <w:instrText xml:space="preserve"> PAGEREF src-S41 \h </w:instrText>
            </w:r>
            <w:r>
              <w:fldChar w:fldCharType="separate"/>
            </w:r>
            <w:r>
              <w:t>61</w:t>
            </w:r>
            <w:r>
              <w:fldChar w:fldCharType="end"/>
            </w:r>
          </w:hyperlink>
        </w:p>
        <w:p>
          <w:pPr>
            <w:pStyle w:val="TOC2"/>
          </w:pPr>
          <w:hyperlink w:anchor="src-S42" w:history="1">
            <w:r>
              <w:t xml:space="preserve">S42 – Monitoring Analytics: 2025 State of the Market Report for PJM (Vol. 1)</w:t>
            </w:r>
            <w:r>
              <w:tab/>
            </w:r>
            <w:r>
              <w:fldChar w:fldCharType="begin"/>
            </w:r>
            <w:r>
              <w:instrText xml:space="preserve"> PAGEREF src-S42 \h </w:instrText>
            </w:r>
            <w:r>
              <w:fldChar w:fldCharType="separate"/>
            </w:r>
            <w:r>
              <w:t>61</w:t>
            </w:r>
            <w:r>
              <w:fldChar w:fldCharType="end"/>
            </w:r>
          </w:hyperlink>
        </w:p>
        <w:p>
          <w:pPr>
            <w:pStyle w:val="TOC2"/>
          </w:pPr>
          <w:hyperlink w:anchor="src-S43" w:history="1">
            <w:r>
              <w:t xml:space="preserve">S43 – Monitoring Analytics: 2026 Quarterly State of the Market Report for PJM, January–March</w:t>
            </w:r>
            <w:r>
              <w:tab/>
            </w:r>
            <w:r>
              <w:fldChar w:fldCharType="begin"/>
            </w:r>
            <w:r>
              <w:instrText xml:space="preserve"> PAGEREF src-S43 \h </w:instrText>
            </w:r>
            <w:r>
              <w:fldChar w:fldCharType="separate"/>
            </w:r>
            <w:r>
              <w:t>62</w:t>
            </w:r>
            <w:r>
              <w:fldChar w:fldCharType="end"/>
            </w:r>
          </w:hyperlink>
        </w:p>
        <w:p>
          <w:pPr>
            <w:pStyle w:val="TOC2"/>
          </w:pPr>
          <w:hyperlink w:anchor="src-S44" w:history="1">
            <w:r>
              <w:t xml:space="preserve">S44 – NERC: Incident Review "Large Load Loss" (Virginia, July 10, 2024)</w:t>
            </w:r>
            <w:r>
              <w:tab/>
            </w:r>
            <w:r>
              <w:fldChar w:fldCharType="begin"/>
            </w:r>
            <w:r>
              <w:instrText xml:space="preserve"> PAGEREF src-S44 \h </w:instrText>
            </w:r>
            <w:r>
              <w:fldChar w:fldCharType="separate"/>
            </w:r>
            <w:r>
              <w:t>62</w:t>
            </w:r>
            <w:r>
              <w:fldChar w:fldCharType="end"/>
            </w:r>
          </w:hyperlink>
        </w:p>
        <w:p>
          <w:pPr>
            <w:pStyle w:val="TOC2"/>
          </w:pPr>
          <w:hyperlink w:anchor="src-S45" w:history="1">
            <w:r>
              <w:t xml:space="preserve">S45 – NERC: 2025 Long-Term Reliability Assessment (released January 29, 2026)</w:t>
            </w:r>
            <w:r>
              <w:tab/>
            </w:r>
            <w:r>
              <w:fldChar w:fldCharType="begin"/>
            </w:r>
            <w:r>
              <w:instrText xml:space="preserve"> PAGEREF src-S45 \h </w:instrText>
            </w:r>
            <w:r>
              <w:fldChar w:fldCharType="separate"/>
            </w:r>
            <w:r>
              <w:t>63</w:t>
            </w:r>
            <w:r>
              <w:fldChar w:fldCharType="end"/>
            </w:r>
          </w:hyperlink>
        </w:p>
        <w:p>
          <w:pPr>
            <w:pStyle w:val="TOC2"/>
          </w:pPr>
          <w:hyperlink w:anchor="src-S46" w:history="1">
            <w:r>
              <w:t xml:space="preserve">S46 – Monitoring Analytics: complaint to FERC (November 25, 2025, docket EL26-30)</w:t>
            </w:r>
            <w:r>
              <w:tab/>
            </w:r>
            <w:r>
              <w:fldChar w:fldCharType="begin"/>
            </w:r>
            <w:r>
              <w:instrText xml:space="preserve"> PAGEREF src-S46 \h </w:instrText>
            </w:r>
            <w:r>
              <w:fldChar w:fldCharType="separate"/>
            </w:r>
            <w:r>
              <w:t>63</w:t>
            </w:r>
            <w:r>
              <w:fldChar w:fldCharType="end"/>
            </w:r>
          </w:hyperlink>
        </w:p>
        <w:p>
          <w:pPr>
            <w:pStyle w:val="TOC2"/>
          </w:pPr>
          <w:hyperlink w:anchor="src-S47" w:history="1">
            <w:r>
              <w:t xml:space="preserve">S47 – Duke University, Nicholas Institute: "Rethinking Load Growth" (February 2025)</w:t>
            </w:r>
            <w:r>
              <w:tab/>
            </w:r>
            <w:r>
              <w:fldChar w:fldCharType="begin"/>
            </w:r>
            <w:r>
              <w:instrText xml:space="preserve"> PAGEREF src-S47 \h </w:instrText>
            </w:r>
            <w:r>
              <w:fldChar w:fldCharType="separate"/>
            </w:r>
            <w:r>
              <w:t>64</w:t>
            </w:r>
            <w:r>
              <w:fldChar w:fldCharType="end"/>
            </w:r>
          </w:hyperlink>
        </w:p>
        <w:p>
          <w:pPr>
            <w:pStyle w:val="TOC2"/>
          </w:pPr>
          <w:hyperlink w:anchor="src-S48" w:history="1">
            <w:r>
              <w:t xml:space="preserve">S48 – Texas Department of State Health Services: final death toll of Winter Storm Uri (via Texas Tribune / NPR, January 2022)</w:t>
            </w:r>
            <w:r>
              <w:tab/>
            </w:r>
            <w:r>
              <w:fldChar w:fldCharType="begin"/>
            </w:r>
            <w:r>
              <w:instrText xml:space="preserve"> PAGEREF src-S48 \h </w:instrText>
            </w:r>
            <w:r>
              <w:fldChar w:fldCharType="separate"/>
            </w:r>
            <w:r>
              <w:t>64</w:t>
            </w:r>
            <w:r>
              <w:fldChar w:fldCharType="end"/>
            </w:r>
          </w:hyperlink>
        </w:p>
        <w:p>
          <w:pPr>
            <w:pStyle w:val="TOC2"/>
          </w:pPr>
          <w:hyperlink w:anchor="src-S49" w:history="1">
            <w:r>
              <w:t xml:space="preserve">S49 – Global Energy Monitor: "Betting big on data centers, U.S. now leads world for new gas power development" (January 2026)</w:t>
            </w:r>
            <w:r>
              <w:tab/>
            </w:r>
            <w:r>
              <w:fldChar w:fldCharType="begin"/>
            </w:r>
            <w:r>
              <w:instrText xml:space="preserve"> PAGEREF src-S49 \h </w:instrText>
            </w:r>
            <w:r>
              <w:fldChar w:fldCharType="separate"/>
            </w:r>
            <w:r>
              <w:t>64</w:t>
            </w:r>
            <w:r>
              <w:fldChar w:fldCharType="end"/>
            </w:r>
          </w:hyperlink>
        </w:p>
        <w:p>
          <w:pPr>
            <w:pStyle w:val="TOC2"/>
          </w:pPr>
          <w:hyperlink w:anchor="src-S50" w:history="1">
            <w:r>
              <w:t xml:space="preserve">S50 – Louisiana: gas plants for Meta's "Hyperion" (2025–2026)</w:t>
            </w:r>
            <w:r>
              <w:tab/>
            </w:r>
            <w:r>
              <w:fldChar w:fldCharType="begin"/>
            </w:r>
            <w:r>
              <w:instrText xml:space="preserve"> PAGEREF src-S50 \h </w:instrText>
            </w:r>
            <w:r>
              <w:fldChar w:fldCharType="separate"/>
            </w:r>
            <w:r>
              <w:t>65</w:t>
            </w:r>
            <w:r>
              <w:fldChar w:fldCharType="end"/>
            </w:r>
          </w:hyperlink>
        </w:p>
        <w:p>
          <w:pPr>
            <w:pStyle w:val="TOC2"/>
          </w:pPr>
          <w:hyperlink w:anchor="src-S51" w:history="1">
            <w:r>
              <w:t xml:space="preserve">S51 – Caltech / UC Riverside: "The Unpaid Toll" (arXiv 2412.06288, v2)</w:t>
            </w:r>
            <w:r>
              <w:tab/>
            </w:r>
            <w:r>
              <w:fldChar w:fldCharType="begin"/>
            </w:r>
            <w:r>
              <w:instrText xml:space="preserve"> PAGEREF src-S51 \h </w:instrText>
            </w:r>
            <w:r>
              <w:fldChar w:fldCharType="separate"/>
            </w:r>
            <w:r>
              <w:t>65</w:t>
            </w:r>
            <w:r>
              <w:fldChar w:fldCharType="end"/>
            </w:r>
          </w:hyperlink>
        </w:p>
        <w:p>
          <w:pPr>
            <w:pStyle w:val="TOC2"/>
          </w:pPr>
          <w:hyperlink w:anchor="src-S52" w:history="1">
            <w:r>
              <w:t xml:space="preserve">S52 – HARC: "Thirsty Data and the Lone Star State" (January 21, 2026)</w:t>
            </w:r>
            <w:r>
              <w:tab/>
            </w:r>
            <w:r>
              <w:fldChar w:fldCharType="begin"/>
            </w:r>
            <w:r>
              <w:instrText xml:space="preserve"> PAGEREF src-S52 \h </w:instrText>
            </w:r>
            <w:r>
              <w:fldChar w:fldCharType="separate"/>
            </w:r>
            <w:r>
              <w:t>65</w:t>
            </w:r>
            <w:r>
              <w:fldChar w:fldCharType="end"/>
            </w:r>
          </w:hyperlink>
        </w:p>
        <w:p>
          <w:pPr>
            <w:pStyle w:val="TOC2"/>
          </w:pPr>
          <w:hyperlink w:anchor="src-S53" w:history="1">
            <w:r>
              <w:t xml:space="preserve">S53 – Arizona Luminaria: "Tucson City Council rejects Project Blue amid intense community pressure" (August 6, 2025)</w:t>
            </w:r>
            <w:r>
              <w:tab/>
            </w:r>
            <w:r>
              <w:fldChar w:fldCharType="begin"/>
            </w:r>
            <w:r>
              <w:instrText xml:space="preserve"> PAGEREF src-S53 \h </w:instrText>
            </w:r>
            <w:r>
              <w:fldChar w:fldCharType="separate"/>
            </w:r>
            <w:r>
              <w:t>66</w:t>
            </w:r>
            <w:r>
              <w:fldChar w:fldCharType="end"/>
            </w:r>
          </w:hyperlink>
        </w:p>
        <w:p>
          <w:pPr>
            <w:pStyle w:val="TOC2"/>
          </w:pPr>
          <w:hyperlink w:anchor="src-S54" w:history="1">
            <w:r>
              <w:t xml:space="preserve">S54 – The Dalles (Oregon): lawsuit over Google's water use (2021–2022)</w:t>
            </w:r>
            <w:r>
              <w:tab/>
            </w:r>
            <w:r>
              <w:fldChar w:fldCharType="begin"/>
            </w:r>
            <w:r>
              <w:instrText xml:space="preserve"> PAGEREF src-S54 \h </w:instrText>
            </w:r>
            <w:r>
              <w:fldChar w:fldCharType="separate"/>
            </w:r>
            <w:r>
              <w:t>66</w:t>
            </w:r>
            <w:r>
              <w:fldChar w:fldCharType="end"/>
            </w:r>
          </w:hyperlink>
        </w:p>
        <w:p>
          <w:pPr>
            <w:pStyle w:val="TOC2"/>
          </w:pPr>
          <w:hyperlink w:anchor="src-S55" w:history="1">
            <w:r>
              <w:t xml:space="preserve">S55 – Microsoft: zero-water cooling design (December 2024)</w:t>
            </w:r>
            <w:r>
              <w:tab/>
            </w:r>
            <w:r>
              <w:fldChar w:fldCharType="begin"/>
            </w:r>
            <w:r>
              <w:instrText xml:space="preserve"> PAGEREF src-S55 \h </w:instrText>
            </w:r>
            <w:r>
              <w:fldChar w:fldCharType="separate"/>
            </w:r>
            <w:r>
              <w:t>66</w:t>
            </w:r>
            <w:r>
              <w:fldChar w:fldCharType="end"/>
            </w:r>
          </w:hyperlink>
        </w:p>
        <w:p>
          <w:pPr>
            <w:pStyle w:val="TOC2"/>
          </w:pPr>
          <w:hyperlink w:anchor="src-S56" w:history="1">
            <w:r>
              <w:t xml:space="preserve">S56 – AEP Ohio data center tariff (PUCO order of July 9, 2025)</w:t>
            </w:r>
            <w:r>
              <w:tab/>
            </w:r>
            <w:r>
              <w:fldChar w:fldCharType="begin"/>
            </w:r>
            <w:r>
              <w:instrText xml:space="preserve"> PAGEREF src-S56 \h </w:instrText>
            </w:r>
            <w:r>
              <w:fldChar w:fldCharType="separate"/>
            </w:r>
            <w:r>
              <w:t>66</w:t>
            </w:r>
            <w:r>
              <w:fldChar w:fldCharType="end"/>
            </w:r>
          </w:hyperlink>
        </w:p>
        <w:p>
          <w:pPr>
            <w:pStyle w:val="TOC2"/>
          </w:pPr>
          <w:hyperlink w:anchor="src-S57" w:history="1">
            <w:r>
              <w:t xml:space="preserve">S57 – Sam Altman on an AI bubble (The Verge interview, August 15, 2025)</w:t>
            </w:r>
            <w:r>
              <w:tab/>
            </w:r>
            <w:r>
              <w:fldChar w:fldCharType="begin"/>
            </w:r>
            <w:r>
              <w:instrText xml:space="preserve"> PAGEREF src-S57 \h </w:instrText>
            </w:r>
            <w:r>
              <w:fldChar w:fldCharType="separate"/>
            </w:r>
            <w:r>
              <w:t>67</w:t>
            </w:r>
            <w:r>
              <w:fldChar w:fldCharType="end"/>
            </w:r>
          </w:hyperlink>
        </w:p>
        <w:p>
          <w:pPr>
            <w:pStyle w:val="TOC2"/>
          </w:pPr>
          <w:hyperlink w:anchor="src-S58" w:history="1">
            <w:r>
              <w:t xml:space="preserve">S58 – Bloomberg: "Microsoft Abandons More Data Center Projects, TD Cowen Says" (March 26, 2025)</w:t>
            </w:r>
            <w:r>
              <w:tab/>
            </w:r>
            <w:r>
              <w:fldChar w:fldCharType="begin"/>
            </w:r>
            <w:r>
              <w:instrText xml:space="preserve"> PAGEREF src-S58 \h </w:instrText>
            </w:r>
            <w:r>
              <w:fldChar w:fldCharType="separate"/>
            </w:r>
            <w:r>
              <w:t>67</w:t>
            </w:r>
            <w:r>
              <w:fldChar w:fldCharType="end"/>
            </w:r>
          </w:hyperlink>
        </w:p>
        <w:p>
          <w:pPr>
            <w:pStyle w:val="TOC2"/>
          </w:pPr>
          <w:hyperlink w:anchor="src-S59" w:history="1">
            <w:r>
              <w:t xml:space="preserve">S59 – Good Jobs First: data center tax breaks</w:t>
            </w:r>
            <w:r>
              <w:tab/>
            </w:r>
            <w:r>
              <w:fldChar w:fldCharType="begin"/>
            </w:r>
            <w:r>
              <w:instrText xml:space="preserve"> PAGEREF src-S59 \h </w:instrText>
            </w:r>
            <w:r>
              <w:fldChar w:fldCharType="separate"/>
            </w:r>
            <w:r>
              <w:t>67</w:t>
            </w:r>
            <w:r>
              <w:fldChar w:fldCharType="end"/>
            </w:r>
          </w:hyperlink>
        </w:p>
        <w:p>
          <w:pPr>
            <w:pStyle w:val="TOC2"/>
          </w:pPr>
          <w:hyperlink w:anchor="src-S60" w:history="1">
            <w:r>
              <w:t xml:space="preserve">S60 – JLARC and Virginia's financial report: the data center tax break</w:t>
            </w:r>
            <w:r>
              <w:tab/>
            </w:r>
            <w:r>
              <w:fldChar w:fldCharType="begin"/>
            </w:r>
            <w:r>
              <w:instrText xml:space="preserve"> PAGEREF src-S60 \h </w:instrText>
            </w:r>
            <w:r>
              <w:fldChar w:fldCharType="separate"/>
            </w:r>
            <w:r>
              <w:t>68</w:t>
            </w:r>
            <w:r>
              <w:fldChar w:fldCharType="end"/>
            </w:r>
          </w:hyperlink>
        </w:p>
        <w:p>
          <w:pPr>
            <w:pStyle w:val="TOC2"/>
          </w:pPr>
          <w:hyperlink w:anchor="src-S61" w:history="1">
            <w:r>
              <w:t xml:space="preserve">S61 – Meta: Beaver Dam, Wisconsin</w:t>
            </w:r>
            <w:r>
              <w:tab/>
            </w:r>
            <w:r>
              <w:fldChar w:fldCharType="begin"/>
            </w:r>
            <w:r>
              <w:instrText xml:space="preserve"> PAGEREF src-S61 \h </w:instrText>
            </w:r>
            <w:r>
              <w:fldChar w:fldCharType="separate"/>
            </w:r>
            <w:r>
              <w:t>68</w:t>
            </w:r>
            <w:r>
              <w:fldChar w:fldCharType="end"/>
            </w:r>
          </w:hyperlink>
        </w:p>
        <w:p>
          <w:pPr>
            <w:pStyle w:val="TOC2"/>
          </w:pPr>
          <w:hyperlink w:anchor="src-S62" w:history="1">
            <w:r>
              <w:t xml:space="preserve">S62 – Loudoun County (Virginia): data center revenue</w:t>
            </w:r>
            <w:r>
              <w:tab/>
            </w:r>
            <w:r>
              <w:fldChar w:fldCharType="begin"/>
            </w:r>
            <w:r>
              <w:instrText xml:space="preserve"> PAGEREF src-S62 \h </w:instrText>
            </w:r>
            <w:r>
              <w:fldChar w:fldCharType="separate"/>
            </w:r>
            <w:r>
              <w:t>69</w:t>
            </w:r>
            <w:r>
              <w:fldChar w:fldCharType="end"/>
            </w:r>
          </w:hyperlink>
        </w:p>
        <w:p>
          <w:pPr>
            <w:pStyle w:val="TOC2"/>
          </w:pPr>
          <w:hyperlink w:anchor="src-S63" w:history="1">
            <w:r>
              <w:t xml:space="preserve">S63 – Census / AGC: construction spending on data centers (2025–2026)</w:t>
            </w:r>
            <w:r>
              <w:tab/>
            </w:r>
            <w:r>
              <w:fldChar w:fldCharType="begin"/>
            </w:r>
            <w:r>
              <w:instrText xml:space="preserve"> PAGEREF src-S63 \h </w:instrText>
            </w:r>
            <w:r>
              <w:fldChar w:fldCharType="separate"/>
            </w:r>
            <w:r>
              <w:t>69</w:t>
            </w:r>
            <w:r>
              <w:fldChar w:fldCharType="end"/>
            </w:r>
          </w:hyperlink>
        </w:p>
        <w:p>
          <w:pPr>
            <w:pStyle w:val="TOC2"/>
          </w:pPr>
          <w:hyperlink w:anchor="src-S64" w:history="1">
            <w:r>
              <w:t xml:space="preserve">S64 – Ember: fossil share of electricity (USA, UAE, Malaysia)</w:t>
            </w:r>
            <w:r>
              <w:tab/>
            </w:r>
            <w:r>
              <w:fldChar w:fldCharType="begin"/>
            </w:r>
            <w:r>
              <w:instrText xml:space="preserve"> PAGEREF src-S64 \h </w:instrText>
            </w:r>
            <w:r>
              <w:fldChar w:fldCharType="separate"/>
            </w:r>
            <w:r>
              <w:t>70</w:t>
            </w:r>
            <w:r>
              <w:fldChar w:fldCharType="end"/>
            </w:r>
          </w:hyperlink>
        </w:p>
        <w:p>
          <w:pPr>
            <w:pStyle w:val="TOC2"/>
          </w:pPr>
          <w:hyperlink w:anchor="src-S65" w:history="1">
            <w:r>
              <w:t xml:space="preserve">S65 – Efficiency: Uptime Institute (2025) and Google (PUE)</w:t>
            </w:r>
            <w:r>
              <w:tab/>
            </w:r>
            <w:r>
              <w:fldChar w:fldCharType="begin"/>
            </w:r>
            <w:r>
              <w:instrText xml:space="preserve"> PAGEREF src-S65 \h </w:instrText>
            </w:r>
            <w:r>
              <w:fldChar w:fldCharType="separate"/>
            </w:r>
            <w:r>
              <w:t>70</w:t>
            </w:r>
            <w:r>
              <w:fldChar w:fldCharType="end"/>
            </w:r>
          </w:hyperlink>
        </w:p>
        <w:p>
          <w:pPr>
            <w:pStyle w:val="TOC2"/>
          </w:pPr>
          <w:hyperlink w:anchor="src-S66" w:history="1">
            <w:r>
              <w:t xml:space="preserve">S66 – OpenAI: ChatGPT Pro for $200/month (December 5, 2024)</w:t>
            </w:r>
            <w:r>
              <w:tab/>
            </w:r>
            <w:r>
              <w:fldChar w:fldCharType="begin"/>
            </w:r>
            <w:r>
              <w:instrText xml:space="preserve"> PAGEREF src-S66 \h </w:instrText>
            </w:r>
            <w:r>
              <w:fldChar w:fldCharType="separate"/>
            </w:r>
            <w:r>
              <w:t>70</w:t>
            </w:r>
            <w:r>
              <w:fldChar w:fldCharType="end"/>
            </w:r>
          </w:hyperlink>
        </w:p>
        <w:p>
          <w:pPr>
            <w:pStyle w:val="TOC2"/>
          </w:pPr>
          <w:hyperlink w:anchor="src-S67" w:history="1">
            <w:r>
              <w:t xml:space="preserve">S67 – Stanford AI Index 2025: cost of running AI models</w:t>
            </w:r>
            <w:r>
              <w:tab/>
            </w:r>
            <w:r>
              <w:fldChar w:fldCharType="begin"/>
            </w:r>
            <w:r>
              <w:instrText xml:space="preserve"> PAGEREF src-S67 \h </w:instrText>
            </w:r>
            <w:r>
              <w:fldChar w:fldCharType="separate"/>
            </w:r>
            <w:r>
              <w:t>70</w:t>
            </w:r>
            <w:r>
              <w:fldChar w:fldCharType="end"/>
            </w:r>
          </w:hyperlink>
        </w:p>
        <w:p>
          <w:pPr>
            <w:pStyle w:val="TOC2"/>
          </w:pPr>
          <w:hyperlink w:anchor="src-S68" w:history="1">
            <w:r>
              <w:t xml:space="preserve">S68 – Microsoft earnings calls: capacity shortage (October 2025 – July 2026)</w:t>
            </w:r>
            <w:r>
              <w:tab/>
            </w:r>
            <w:r>
              <w:fldChar w:fldCharType="begin"/>
            </w:r>
            <w:r>
              <w:instrText xml:space="preserve"> PAGEREF src-S68 \h </w:instrText>
            </w:r>
            <w:r>
              <w:fldChar w:fldCharType="separate"/>
            </w:r>
            <w:r>
              <w:t>71</w:t>
            </w:r>
            <w:r>
              <w:fldChar w:fldCharType="end"/>
            </w:r>
          </w:hyperlink>
        </w:p>
        <w:p>
          <w:pPr>
            <w:pStyle w:val="TOC2"/>
          </w:pPr>
          <w:hyperlink w:anchor="src-S69" w:history="1">
            <w:r>
              <w:t xml:space="preserve">S69 – Hyperscalers' nuclear deals (2024–2025)</w:t>
            </w:r>
            <w:r>
              <w:tab/>
            </w:r>
            <w:r>
              <w:fldChar w:fldCharType="begin"/>
            </w:r>
            <w:r>
              <w:instrText xml:space="preserve"> PAGEREF src-S69 \h </w:instrText>
            </w:r>
            <w:r>
              <w:fldChar w:fldCharType="separate"/>
            </w:r>
            <w:r>
              <w:t>71</w:t>
            </w:r>
            <w:r>
              <w:fldChar w:fldCharType="end"/>
            </w:r>
          </w:hyperlink>
        </w:p>
        <w:p>
          <w:pPr>
            <w:pStyle w:val="TOC2"/>
          </w:pPr>
          <w:hyperlink w:anchor="src-S70" w:history="1">
            <w:r>
              <w:t xml:space="preserve">S70 – FERC rejects the Talen–Amazon interconnection agreement (Susquehanna, November 2024)</w:t>
            </w:r>
            <w:r>
              <w:tab/>
            </w:r>
            <w:r>
              <w:fldChar w:fldCharType="begin"/>
            </w:r>
            <w:r>
              <w:instrText xml:space="preserve"> PAGEREF src-S70 \h </w:instrText>
            </w:r>
            <w:r>
              <w:fldChar w:fldCharType="separate"/>
            </w:r>
            <w:r>
              <w:t>71</w:t>
            </w:r>
            <w:r>
              <w:fldChar w:fldCharType="end"/>
            </w:r>
          </w:hyperlink>
        </w:p>
        <w:p>
          <w:pPr>
            <w:pStyle w:val="TOC2"/>
          </w:pPr>
          <w:hyperlink w:anchor="src-S71" w:history="1">
            <w:r>
              <w:t xml:space="preserve">S71 – Texas Senate Bill 6 (signed June 20, 2025)</w:t>
            </w:r>
            <w:r>
              <w:tab/>
            </w:r>
            <w:r>
              <w:fldChar w:fldCharType="begin"/>
            </w:r>
            <w:r>
              <w:instrText xml:space="preserve"> PAGEREF src-S71 \h </w:instrText>
            </w:r>
            <w:r>
              <w:fldChar w:fldCharType="separate"/>
            </w:r>
            <w:r>
              <w:t>71</w:t>
            </w:r>
            <w:r>
              <w:fldChar w:fldCharType="end"/>
            </w:r>
          </w:hyperlink>
        </w:p>
        <w:p>
          <w:pPr>
            <w:pStyle w:val="TOC2"/>
          </w:pPr>
          <w:hyperlink w:anchor="src-S72" w:history="1">
            <w:r>
              <w:t xml:space="preserve">S72 – Cato Institute: "Turning a Local Issue into a Federal Headache: The Problem with Data Center Moratoriums" (July 1, 2026)</w:t>
            </w:r>
            <w:r>
              <w:tab/>
            </w:r>
            <w:r>
              <w:fldChar w:fldCharType="begin"/>
            </w:r>
            <w:r>
              <w:instrText xml:space="preserve"> PAGEREF src-S72 \h </w:instrText>
            </w:r>
            <w:r>
              <w:fldChar w:fldCharType="separate"/>
            </w:r>
            <w:r>
              <w:t>72</w:t>
            </w:r>
            <w:r>
              <w:fldChar w:fldCharType="end"/>
            </w:r>
          </w:hyperlink>
        </w:p>
        <w:p>
          <w:pPr>
            <w:pStyle w:val="TOC2"/>
          </w:pPr>
          <w:hyperlink w:anchor="src-S73" w:history="1">
            <w:r>
              <w:t xml:space="preserve">S73 – Maine LD 307: moratorium vetoed (April 2026)</w:t>
            </w:r>
            <w:r>
              <w:tab/>
            </w:r>
            <w:r>
              <w:fldChar w:fldCharType="begin"/>
            </w:r>
            <w:r>
              <w:instrText xml:space="preserve"> PAGEREF src-S73 \h </w:instrText>
            </w:r>
            <w:r>
              <w:fldChar w:fldCharType="separate"/>
            </w:r>
            <w:r>
              <w:t>72</w:t>
            </w:r>
            <w:r>
              <w:fldChar w:fldCharType="end"/>
            </w:r>
          </w:hyperlink>
        </w:p>
        <w:p>
          <w:pPr>
            <w:pStyle w:val="TOC2"/>
          </w:pPr>
          <w:hyperlink w:anchor="src-S74" w:history="1">
            <w:r>
              <w:t xml:space="preserve">S74 – Ireland: decision by the energy regulator CRU on data center connections (December 12, 2025)</w:t>
            </w:r>
            <w:r>
              <w:tab/>
            </w:r>
            <w:r>
              <w:fldChar w:fldCharType="begin"/>
            </w:r>
            <w:r>
              <w:instrText xml:space="preserve"> PAGEREF src-S74 \h </w:instrText>
            </w:r>
            <w:r>
              <w:fldChar w:fldCharType="separate"/>
            </w:r>
            <w:r>
              <w:t>72</w:t>
            </w:r>
            <w:r>
              <w:fldChar w:fldCharType="end"/>
            </w:r>
          </w:hyperlink>
        </w:p>
        <w:p>
          <w:pPr>
            <w:pStyle w:val="TOC2"/>
          </w:pPr>
          <w:hyperlink w:anchor="src-S75" w:history="1">
            <w:r>
              <w:t xml:space="preserve">S75 – Maryland Piedmont Reliability Project (MPRP)</w:t>
            </w:r>
            <w:r>
              <w:tab/>
            </w:r>
            <w:r>
              <w:fldChar w:fldCharType="begin"/>
            </w:r>
            <w:r>
              <w:instrText xml:space="preserve"> PAGEREF src-S75 \h </w:instrText>
            </w:r>
            <w:r>
              <w:fldChar w:fldCharType="separate"/>
            </w:r>
            <w:r>
              <w:t>73</w:t>
            </w:r>
            <w:r>
              <w:fldChar w:fldCharType="end"/>
            </w:r>
          </w:hyperlink>
        </w:p>
        <w:p>
          <w:pPr>
            <w:pStyle w:val="TOC2"/>
          </w:pPr>
          <w:hyperlink w:anchor="src-S76" w:history="1">
            <w:r>
              <w:t xml:space="preserve">S76 – New Jersey: fine against DataOne (Vineland, September 22, 2026)</w:t>
            </w:r>
            <w:r>
              <w:tab/>
            </w:r>
            <w:r>
              <w:fldChar w:fldCharType="begin"/>
            </w:r>
            <w:r>
              <w:instrText xml:space="preserve"> PAGEREF src-S76 \h </w:instrText>
            </w:r>
            <w:r>
              <w:fldChar w:fldCharType="separate"/>
            </w:r>
            <w:r>
              <w:t>73</w:t>
            </w:r>
            <w:r>
              <w:fldChar w:fldCharType="end"/>
            </w:r>
          </w:hyperlink>
        </w:p>
        <w:p>
          <w:pPr>
            <w:pStyle w:val="TOC2"/>
          </w:pPr>
          <w:hyperlink w:anchor="src-S77" w:history="1">
            <w:r>
              <w:t xml:space="preserve">S77 – Sterling, Virginia: Vantage ran diesel generators during an air-quality alert (July 2026)</w:t>
            </w:r>
            <w:r>
              <w:tab/>
            </w:r>
            <w:r>
              <w:fldChar w:fldCharType="begin"/>
            </w:r>
            <w:r>
              <w:instrText xml:space="preserve"> PAGEREF src-S77 \h </w:instrText>
            </w:r>
            <w:r>
              <w:fldChar w:fldCharType="separate"/>
            </w:r>
            <w:r>
              <w:t>73</w:t>
            </w:r>
            <w:r>
              <w:fldChar w:fldCharType="end"/>
            </w:r>
          </w:hyperlink>
        </w:p>
        <w:p>
          <w:pPr>
            <w:pStyle w:val="TOC2"/>
          </w:pPr>
          <w:hyperlink w:anchor="src-S78" w:history="1">
            <w:r>
              <w:t xml:space="preserve">S78 – State definitions of "hyperscale" (2026)</w:t>
            </w:r>
            <w:r>
              <w:tab/>
            </w:r>
            <w:r>
              <w:fldChar w:fldCharType="begin"/>
            </w:r>
            <w:r>
              <w:instrText xml:space="preserve"> PAGEREF src-S78 \h </w:instrText>
            </w:r>
            <w:r>
              <w:fldChar w:fldCharType="separate"/>
            </w:r>
            <w:r>
              <w:t>74</w:t>
            </w:r>
            <w:r>
              <w:fldChar w:fldCharType="end"/>
            </w:r>
          </w:hyperlink>
        </w:p>
        <w:p>
          <w:pPr>
            <w:pStyle w:val="TOC2"/>
          </w:pPr>
          <w:hyperlink w:anchor="src-S79" w:history="1">
            <w:r>
              <w:t xml:space="preserve">S79 – American Electric Power (AEP): company profile</w:t>
            </w:r>
            <w:r>
              <w:tab/>
            </w:r>
            <w:r>
              <w:fldChar w:fldCharType="begin"/>
            </w:r>
            <w:r>
              <w:instrText xml:space="preserve"> PAGEREF src-S79 \h </w:instrText>
            </w:r>
            <w:r>
              <w:fldChar w:fldCharType="separate"/>
            </w:r>
            <w:r>
              <w:t>74</w:t>
            </w:r>
            <w:r>
              <w:fldChar w:fldCharType="end"/>
            </w:r>
          </w:hyperlink>
        </w:p>
        <w:p>
          <w:pPr>
            <w:pStyle w:val="TOC2"/>
          </w:pPr>
          <w:hyperlink w:anchor="src-S80" w:history="1">
            <w:r>
              <w:t xml:space="preserve">S80 – PJM capacity price collar (cap and floor), 2026/27–2029/30</w:t>
            </w:r>
            <w:r>
              <w:tab/>
            </w:r>
            <w:r>
              <w:fldChar w:fldCharType="begin"/>
            </w:r>
            <w:r>
              <w:instrText xml:space="preserve"> PAGEREF src-S80 \h </w:instrText>
            </w:r>
            <w:r>
              <w:fldChar w:fldCharType="separate"/>
            </w:r>
            <w:r>
              <w:t>74</w:t>
            </w:r>
            <w:r>
              <w:fldChar w:fldCharType="end"/>
            </w:r>
          </w:hyperlink>
        </w:p>
        <w:p>
          <w:pPr>
            <w:pStyle w:val="TOC2"/>
          </w:pPr>
          <w:hyperlink w:anchor="src-S81" w:history="1">
            <w:r>
              <w:t xml:space="preserve">S81 – MISO Planning Resource Auction 2025/26 and 2026/27</w:t>
            </w:r>
            <w:r>
              <w:tab/>
            </w:r>
            <w:r>
              <w:fldChar w:fldCharType="begin"/>
            </w:r>
            <w:r>
              <w:instrText xml:space="preserve"> PAGEREF src-S81 \h </w:instrText>
            </w:r>
            <w:r>
              <w:fldChar w:fldCharType="separate"/>
            </w:r>
            <w:r>
              <w:t>75</w:t>
            </w:r>
            <w:r>
              <w:fldChar w:fldCharType="end"/>
            </w:r>
          </w:hyperlink>
        </w:p>
        <w:p>
          <w:pPr>
            <w:pStyle w:val="TOC2"/>
          </w:pPr>
          <w:hyperlink w:anchor="src-S82" w:history="1">
            <w:r>
              <w:t xml:space="preserve">S82 – Texas (ERCOT): no capacity market, but a price cap on electricity</w:t>
            </w:r>
            <w:r>
              <w:tab/>
            </w:r>
            <w:r>
              <w:fldChar w:fldCharType="begin"/>
            </w:r>
            <w:r>
              <w:instrText xml:space="preserve"> PAGEREF src-S82 \h </w:instrText>
            </w:r>
            <w:r>
              <w:fldChar w:fldCharType="separate"/>
            </w:r>
            <w:r>
              <w:t>75</w:t>
            </w:r>
            <w:r>
              <w:fldChar w:fldCharType="end"/>
            </w:r>
          </w:hyperlink>
        </w:p>
        <w:p>
          <w:pPr>
            <w:pStyle w:val="TOC2"/>
          </w:pPr>
          <w:hyperlink w:anchor="src-S83" w:history="1">
            <w:r>
              <w:t xml:space="preserve">S83 – ACEEE: "How High Are Household Energy Burdens?" (2020)</w:t>
            </w:r>
            <w:r>
              <w:tab/>
            </w:r>
            <w:r>
              <w:fldChar w:fldCharType="begin"/>
            </w:r>
            <w:r>
              <w:instrText xml:space="preserve"> PAGEREF src-S83 \h </w:instrText>
            </w:r>
            <w:r>
              <w:fldChar w:fldCharType="separate"/>
            </w:r>
            <w:r>
              <w:t>75</w:t>
            </w:r>
            <w:r>
              <w:fldChar w:fldCharType="end"/>
            </w:r>
          </w:hyperlink>
        </w:p>
        <w:p>
          <w:pPr>
            <w:pStyle w:val="TOC2"/>
          </w:pPr>
          <w:hyperlink w:anchor="src-S84" w:history="1">
            <w:r>
              <w:t xml:space="preserve">S84 – Chevron–Microsoft: "Project Kilby" (June 22, 2026)</w:t>
            </w:r>
            <w:r>
              <w:tab/>
            </w:r>
            <w:r>
              <w:fldChar w:fldCharType="begin"/>
            </w:r>
            <w:r>
              <w:instrText xml:space="preserve"> PAGEREF src-S84 \h </w:instrText>
            </w:r>
            <w:r>
              <w:fldChar w:fldCharType="separate"/>
            </w:r>
            <w:r>
              <w:t>76</w:t>
            </w:r>
            <w:r>
              <w:fldChar w:fldCharType="end"/>
            </w:r>
          </w:hyperlink>
        </w:p>
        <w:p>
          <w:pPr>
            <w:pStyle w:val="TOC2"/>
          </w:pPr>
          <w:hyperlink w:anchor="src-S85" w:history="1">
            <w:r>
              <w:t xml:space="preserve">S85 – Own generation ("behind the meter"): Cleanview and RBC Capital Markets (2026)</w:t>
            </w:r>
            <w:r>
              <w:tab/>
            </w:r>
            <w:r>
              <w:fldChar w:fldCharType="begin"/>
            </w:r>
            <w:r>
              <w:instrText xml:space="preserve"> PAGEREF src-S85 \h </w:instrText>
            </w:r>
            <w:r>
              <w:fldChar w:fldCharType="separate"/>
            </w:r>
            <w:r>
              <w:t>76</w:t>
            </w:r>
            <w:r>
              <w:fldChar w:fldCharType="end"/>
            </w:r>
          </w:hyperlink>
        </w:p>
        <w:p>
          <w:pPr>
            <w:pStyle w:val="TOC2"/>
          </w:pPr>
          <w:hyperlink w:anchor="src-S86" w:history="1">
            <w:r>
              <w:t xml:space="preserve">S86 – Bloom Energy: "2026 Data Center Power Report" (January 20, 2026)</w:t>
            </w:r>
            <w:r>
              <w:tab/>
            </w:r>
            <w:r>
              <w:fldChar w:fldCharType="begin"/>
            </w:r>
            <w:r>
              <w:instrText xml:space="preserve"> PAGEREF src-S86 \h </w:instrText>
            </w:r>
            <w:r>
              <w:fldChar w:fldCharType="separate"/>
            </w:r>
            <w:r>
              <w:t>76</w:t>
            </w:r>
            <w:r>
              <w:fldChar w:fldCharType="end"/>
            </w:r>
          </w:hyperlink>
        </w:p>
        <w:p>
          <w:pPr>
            <w:pStyle w:val="TOC2"/>
          </w:pPr>
          <w:hyperlink w:anchor="src-S87" w:history="1">
            <w:r>
              <w:t xml:space="preserve">S87 – U.S. Energy Information Administration (EIA): planned new capacity in 2026 (Today in Energy, February 2026)</w:t>
            </w:r>
            <w:r>
              <w:tab/>
            </w:r>
            <w:r>
              <w:fldChar w:fldCharType="begin"/>
            </w:r>
            <w:r>
              <w:instrText xml:space="preserve"> PAGEREF src-S87 \h </w:instrText>
            </w:r>
            <w:r>
              <w:fldChar w:fldCharType="separate"/>
            </w:r>
            <w:r>
              <w:t>77</w:t>
            </w:r>
            <w:r>
              <w:fldChar w:fldCharType="end"/>
            </w:r>
          </w:hyperlink>
        </w:p>
        <w:p>
          <w:pPr>
            <w:pStyle w:val="TOC2"/>
          </w:pPr>
          <w:hyperlink w:anchor="src-S88" w:history="1">
            <w:r>
              <w:t xml:space="preserve">S88 – PJM: "PJM Chooses 51 Generation Resource Projects to Address Near-Term Electricity Demand Growth" (May 2, 2025)</w:t>
            </w:r>
            <w:r>
              <w:tab/>
            </w:r>
            <w:r>
              <w:fldChar w:fldCharType="begin"/>
            </w:r>
            <w:r>
              <w:instrText xml:space="preserve"> PAGEREF src-S88 \h </w:instrText>
            </w:r>
            <w:r>
              <w:fldChar w:fldCharType="separate"/>
            </w:r>
            <w:r>
              <w:t>77</w:t>
            </w:r>
            <w:r>
              <w:fldChar w:fldCharType="end"/>
            </w:r>
          </w:hyperlink>
        </w:p>
        <w:p>
          <w:pPr>
            <w:pStyle w:val="TOC2"/>
          </w:pPr>
          <w:hyperlink w:anchor="src-S89" w:history="1">
            <w:r>
              <w:t xml:space="preserve">S89 – Grid Strategies: "Review of NERC's 2025 Long-Term Reliability Assessment" (March 9, 2026)</w:t>
            </w:r>
            <w:r>
              <w:tab/>
            </w:r>
            <w:r>
              <w:fldChar w:fldCharType="begin"/>
            </w:r>
            <w:r>
              <w:instrText xml:space="preserve"> PAGEREF src-S89 \h </w:instrText>
            </w:r>
            <w:r>
              <w:fldChar w:fldCharType="separate"/>
            </w:r>
            <w:r>
              <w:t>77</w:t>
            </w:r>
            <w:r>
              <w:fldChar w:fldCharType="end"/>
            </w:r>
          </w:hyperlink>
        </w:p>
        <w:p>
          <w:pPr>
            <w:pStyle w:val="TOC2"/>
          </w:pPr>
          <w:hyperlink w:anchor="src-S90" w:history="1">
            <w:r>
              <w:t xml:space="preserve">S90 – Studies on inflated data center demand forecasts (2025)</w:t>
            </w:r>
            <w:r>
              <w:tab/>
            </w:r>
            <w:r>
              <w:fldChar w:fldCharType="begin"/>
            </w:r>
            <w:r>
              <w:instrText xml:space="preserve"> PAGEREF src-S90 \h </w:instrText>
            </w:r>
            <w:r>
              <w:fldChar w:fldCharType="separate"/>
            </w:r>
            <w:r>
              <w:t>78</w:t>
            </w:r>
            <w:r>
              <w:fldChar w:fldCharType="end"/>
            </w:r>
          </w:hyperlink>
        </w:p>
        <w:p>
          <w:pPr>
            <w:pStyle w:val="TOC2"/>
          </w:pPr>
          <w:hyperlink w:anchor="src-S91" w:history="1">
            <w:r>
              <w:t xml:space="preserve">S91 – FERC: "Reliability Explainer" (what NERC is)</w:t>
            </w:r>
            <w:r>
              <w:tab/>
            </w:r>
            <w:r>
              <w:fldChar w:fldCharType="begin"/>
            </w:r>
            <w:r>
              <w:instrText xml:space="preserve"> PAGEREF src-S91 \h </w:instrText>
            </w:r>
            <w:r>
              <w:fldChar w:fldCharType="separate"/>
            </w:r>
            <w:r>
              <w:t>78</w:t>
            </w:r>
            <w:r>
              <w:fldChar w:fldCharType="end"/>
            </w:r>
          </w:hyperlink>
        </w:p>
        <w:p>
          <w:pPr>
            <w:pStyle w:val="TOC2"/>
          </w:pPr>
          <w:hyperlink w:anchor="src-S92" w:history="1">
            <w:r>
              <w:t xml:space="preserve">S92 – Floodlight: "One of East Coast's largest data centers accused of 'violating federal law'" (August 2026)</w:t>
            </w:r>
            <w:r>
              <w:tab/>
            </w:r>
            <w:r>
              <w:fldChar w:fldCharType="begin"/>
            </w:r>
            <w:r>
              <w:instrText xml:space="preserve"> PAGEREF src-S92 \h </w:instrText>
            </w:r>
            <w:r>
              <w:fldChar w:fldCharType="separate"/>
            </w:r>
            <w:r>
              <w:t>78</w:t>
            </w:r>
            <w:r>
              <w:fldChar w:fldCharType="end"/>
            </w:r>
          </w:hyperlink>
        </w:p>
        <w:p>
          <w:pPr>
            <w:pStyle w:val="TOC2"/>
          </w:pPr>
          <w:hyperlink w:anchor="src-S93" w:history="1">
            <w:r>
              <w:t xml:space="preserve">S93 – Clean Air Act: thresholds for a "major source"</w:t>
            </w:r>
            <w:r>
              <w:tab/>
            </w:r>
            <w:r>
              <w:fldChar w:fldCharType="begin"/>
            </w:r>
            <w:r>
              <w:instrText xml:space="preserve"> PAGEREF src-S93 \h </w:instrText>
            </w:r>
            <w:r>
              <w:fldChar w:fldCharType="separate"/>
            </w:r>
            <w:r>
              <w:t>79</w:t>
            </w:r>
            <w:r>
              <w:fldChar w:fldCharType="end"/>
            </w:r>
          </w:hyperlink>
        </w:p>
        <w:p>
          <w:pPr>
            <w:pStyle w:val="TOC2"/>
          </w:pPr>
          <w:hyperlink w:anchor="src-S94" w:history="1">
            <w:r>
              <w:t xml:space="preserve">S94 – EPA: "Greenhouse Gas Emissions from a Typical Passenger Vehicle"</w:t>
            </w:r>
            <w:r>
              <w:tab/>
            </w:r>
            <w:r>
              <w:fldChar w:fldCharType="begin"/>
            </w:r>
            <w:r>
              <w:instrText xml:space="preserve"> PAGEREF src-S94 \h </w:instrText>
            </w:r>
            <w:r>
              <w:fldChar w:fldCharType="separate"/>
            </w:r>
            <w:r>
              <w:t>79</w:t>
            </w:r>
            <w:r>
              <w:fldChar w:fldCharType="end"/>
            </w:r>
          </w:hyperlink>
        </w:p>
        <w:p>
          <w:pPr>
            <w:pStyle w:val="TOC2"/>
          </w:pPr>
          <w:hyperlink w:anchor="src-S95" w:history="1">
            <w:r>
              <w:t xml:space="preserve">S95 – IPCC: AR6 Synthesis Report, Summary for Policymakers (2023)</w:t>
            </w:r>
            <w:r>
              <w:tab/>
            </w:r>
            <w:r>
              <w:fldChar w:fldCharType="begin"/>
            </w:r>
            <w:r>
              <w:instrText xml:space="preserve"> PAGEREF src-S95 \h </w:instrText>
            </w:r>
            <w:r>
              <w:fldChar w:fldCharType="separate"/>
            </w:r>
            <w:r>
              <w:t>79</w:t>
            </w:r>
            <w:r>
              <w:fldChar w:fldCharType="end"/>
            </w:r>
          </w:hyperlink>
        </w:p>
        <w:p>
          <w:pPr>
            <w:pStyle w:val="TOC2"/>
          </w:pPr>
          <w:hyperlink w:anchor="src-S96" w:history="1">
            <w:r>
              <w:t xml:space="preserve">S96 – BloombergNEF: "Corporate Clean Energy Buying Fell in 2025 After Nearly a Decade of Growth" (1H 2026 Corporate Energy Market Outlook)</w:t>
            </w:r>
            <w:r>
              <w:tab/>
            </w:r>
            <w:r>
              <w:fldChar w:fldCharType="begin"/>
            </w:r>
            <w:r>
              <w:instrText xml:space="preserve"> PAGEREF src-S96 \h </w:instrText>
            </w:r>
            <w:r>
              <w:fldChar w:fldCharType="separate"/>
            </w:r>
            <w:r>
              <w:t>79</w:t>
            </w:r>
            <w:r>
              <w:fldChar w:fldCharType="end"/>
            </w:r>
          </w:hyperlink>
        </w:p>
        <w:p>
          <w:pPr>
            <w:pStyle w:val="TOC2"/>
          </w:pPr>
          <w:hyperlink w:anchor="src-S97" w:history="1">
            <w:r>
              <w:t xml:space="preserve">S97 – IEA: "Energy and AI", chapter "AI and climate change" (April 2025)</w:t>
            </w:r>
            <w:r>
              <w:tab/>
            </w:r>
            <w:r>
              <w:fldChar w:fldCharType="begin"/>
            </w:r>
            <w:r>
              <w:instrText xml:space="preserve"> PAGEREF src-S97 \h </w:instrText>
            </w:r>
            <w:r>
              <w:fldChar w:fldCharType="separate"/>
            </w:r>
            <w:r>
              <w:t>80</w:t>
            </w:r>
            <w:r>
              <w:fldChar w:fldCharType="end"/>
            </w:r>
          </w:hyperlink>
        </w:p>
        <w:p>
          <w:pPr>
            <w:pStyle w:val="TOC2"/>
          </w:pPr>
          <w:hyperlink w:anchor="src-S98" w:history="1">
            <w:r>
              <w:t xml:space="preserve">S98 – City of Memphis: air quality tests (June 2025) and criticism</w:t>
            </w:r>
            <w:r>
              <w:tab/>
            </w:r>
            <w:r>
              <w:fldChar w:fldCharType="begin"/>
            </w:r>
            <w:r>
              <w:instrText xml:space="preserve"> PAGEREF src-S98 \h </w:instrText>
            </w:r>
            <w:r>
              <w:fldChar w:fldCharType="separate"/>
            </w:r>
            <w:r>
              <w:t>80</w:t>
            </w:r>
            <w:r>
              <w:fldChar w:fldCharType="end"/>
            </w:r>
          </w:hyperlink>
        </w:p>
        <w:p>
          <w:pPr>
            <w:pStyle w:val="TOC2"/>
          </w:pPr>
          <w:hyperlink w:anchor="src-S99" w:history="1">
            <w:r>
              <w:t xml:space="preserve">S99 – EIA: "Nuclear explained"</w:t>
            </w:r>
            <w:r>
              <w:tab/>
            </w:r>
            <w:r>
              <w:fldChar w:fldCharType="begin"/>
            </w:r>
            <w:r>
              <w:instrText xml:space="preserve"> PAGEREF src-S99 \h </w:instrText>
            </w:r>
            <w:r>
              <w:fldChar w:fldCharType="separate"/>
            </w:r>
            <w:r>
              <w:t>80</w:t>
            </w:r>
            <w:r>
              <w:fldChar w:fldCharType="end"/>
            </w:r>
          </w:hyperlink>
        </w:p>
        <w:p>
          <w:pPr>
            <w:pStyle w:val="TOC2"/>
          </w:pPr>
          <w:hyperlink w:anchor="src-S100" w:history="1">
            <w:r>
              <w:t xml:space="preserve">S100 – GAO: commercial spent nuclear fuel</w:t>
            </w:r>
            <w:r>
              <w:tab/>
            </w:r>
            <w:r>
              <w:fldChar w:fldCharType="begin"/>
            </w:r>
            <w:r>
              <w:instrText xml:space="preserve"> PAGEREF src-S100 \h </w:instrText>
            </w:r>
            <w:r>
              <w:fldChar w:fldCharType="separate"/>
            </w:r>
            <w:r>
              <w:t>81</w:t>
            </w:r>
            <w:r>
              <w:fldChar w:fldCharType="end"/>
            </w:r>
          </w:hyperlink>
        </w:p>
        <w:p>
          <w:pPr>
            <w:pStyle w:val="TOC2"/>
          </w:pPr>
          <w:hyperlink w:anchor="src-S101" w:history="1">
            <w:r>
              <w:t xml:space="preserve">S101 – Inside Climate News: "Two Years After Completion, Plant Vogtle Still Looms Over the Nuclear Debate" (May 10, 2026)</w:t>
            </w:r>
            <w:r>
              <w:tab/>
            </w:r>
            <w:r>
              <w:fldChar w:fldCharType="begin"/>
            </w:r>
            <w:r>
              <w:instrText xml:space="preserve"> PAGEREF src-S101 \h </w:instrText>
            </w:r>
            <w:r>
              <w:fldChar w:fldCharType="separate"/>
            </w:r>
            <w:r>
              <w:t>81</w:t>
            </w:r>
            <w:r>
              <w:fldChar w:fldCharType="end"/>
            </w:r>
          </w:hyperlink>
        </w:p>
        <w:p>
          <w:pPr>
            <w:pStyle w:val="TOC2"/>
          </w:pPr>
          <w:hyperlink w:anchor="src-S102" w:history="1">
            <w:r>
              <w:t xml:space="preserve">S102 – E&amp;E News: "NuScale cancels first-of-a-kind nuclear project as costs surge" (November 2023)</w:t>
            </w:r>
            <w:r>
              <w:tab/>
            </w:r>
            <w:r>
              <w:fldChar w:fldCharType="begin"/>
            </w:r>
            <w:r>
              <w:instrText xml:space="preserve"> PAGEREF src-S102 \h </w:instrText>
            </w:r>
            <w:r>
              <w:fldChar w:fldCharType="separate"/>
            </w:r>
            <w:r>
              <w:t>81</w:t>
            </w:r>
            <w:r>
              <w:fldChar w:fldCharType="end"/>
            </w:r>
          </w:hyperlink>
        </w:p>
        <w:p>
          <w:pPr>
            <w:pStyle w:val="TOC2"/>
          </w:pPr>
          <w:hyperlink w:anchor="src-S103" w:history="1">
            <w:r>
              <w:t xml:space="preserve">S103 – Microsoft Sustainability Report 2026 (via Fortune/Bloomberg, July 9, 2026)</w:t>
            </w:r>
            <w:r>
              <w:tab/>
            </w:r>
            <w:r>
              <w:fldChar w:fldCharType="begin"/>
            </w:r>
            <w:r>
              <w:instrText xml:space="preserve"> PAGEREF src-S103 \h </w:instrText>
            </w:r>
            <w:r>
              <w:fldChar w:fldCharType="separate"/>
            </w:r>
            <w:r>
              <w:t>81</w:t>
            </w:r>
            <w:r>
              <w:fldChar w:fldCharType="end"/>
            </w:r>
          </w:hyperlink>
        </w:p>
        <w:p>
          <w:pPr>
            <w:pStyle w:val="TOC2"/>
          </w:pPr>
          <w:hyperlink w:anchor="src-S104" w:history="1">
            <w:r>
              <w:t xml:space="preserve">S104 – Environmental and Energy Study Institute (EESI): "Data Centers and Water Consumption" (June 2025)</w:t>
            </w:r>
            <w:r>
              <w:tab/>
            </w:r>
            <w:r>
              <w:fldChar w:fldCharType="begin"/>
            </w:r>
            <w:r>
              <w:instrText xml:space="preserve"> PAGEREF src-S104 \h </w:instrText>
            </w:r>
            <w:r>
              <w:fldChar w:fldCharType="separate"/>
            </w:r>
            <w:r>
              <w:t>82</w:t>
            </w:r>
            <w:r>
              <w:fldChar w:fldCharType="end"/>
            </w:r>
          </w:hyperlink>
        </w:p>
        <w:p>
          <w:pPr>
            <w:pStyle w:val="TOC2"/>
          </w:pPr>
          <w:hyperlink w:anchor="src-S105" w:history="1">
            <w:r>
              <w:t xml:space="preserve">S105 – Fast Company: "What it's like living next to one of Meta's largest data centers" (2025)</w:t>
            </w:r>
            <w:r>
              <w:tab/>
            </w:r>
            <w:r>
              <w:fldChar w:fldCharType="begin"/>
            </w:r>
            <w:r>
              <w:instrText xml:space="preserve"> PAGEREF src-S105 \h </w:instrText>
            </w:r>
            <w:r>
              <w:fldChar w:fldCharType="separate"/>
            </w:r>
            <w:r>
              <w:t>82</w:t>
            </w:r>
            <w:r>
              <w:fldChar w:fldCharType="end"/>
            </w:r>
          </w:hyperlink>
        </w:p>
        <w:p>
          <w:pPr>
            <w:pStyle w:val="TOC2"/>
          </w:pPr>
          <w:hyperlink w:anchor="src-S106" w:history="1">
            <w:r>
              <w:t xml:space="preserve">S106 – Google: 2026 Environmental Report (via Axios, June 3, 2026, and Data Center Dynamics)</w:t>
            </w:r>
            <w:r>
              <w:tab/>
            </w:r>
            <w:r>
              <w:fldChar w:fldCharType="begin"/>
            </w:r>
            <w:r>
              <w:instrText xml:space="preserve"> PAGEREF src-S106 \h </w:instrText>
            </w:r>
            <w:r>
              <w:fldChar w:fldCharType="separate"/>
            </w:r>
            <w:r>
              <w:t>82</w:t>
            </w:r>
            <w:r>
              <w:fldChar w:fldCharType="end"/>
            </w:r>
          </w:hyperlink>
        </w:p>
        <w:p>
          <w:pPr>
            <w:pStyle w:val="TOC2"/>
          </w:pPr>
          <w:hyperlink w:anchor="src-S107" w:history="1">
            <w:r>
              <w:t xml:space="preserve">S107 – Monitoring Analytics: data centers and the 2028/29 capacity auction (July 2026)</w:t>
            </w:r>
            <w:r>
              <w:tab/>
            </w:r>
            <w:r>
              <w:fldChar w:fldCharType="begin"/>
            </w:r>
            <w:r>
              <w:instrText xml:space="preserve"> PAGEREF src-S107 \h </w:instrText>
            </w:r>
            <w:r>
              <w:fldChar w:fldCharType="separate"/>
            </w:r>
            <w:r>
              <w:t>82</w:t>
            </w:r>
            <w:r>
              <w:fldChar w:fldCharType="end"/>
            </w:r>
          </w:hyperlink>
        </w:p>
        <w:p>
          <w:pPr>
            <w:pStyle w:val="TOC2"/>
          </w:pPr>
          <w:hyperlink w:anchor="src-S108" w:history="1">
            <w:r>
              <w:t xml:space="preserve">S108 – FERC denies the market monitor's large-load complaint (Docket EL26-30, March 23, 2026)</w:t>
            </w:r>
            <w:r>
              <w:tab/>
            </w:r>
            <w:r>
              <w:fldChar w:fldCharType="begin"/>
            </w:r>
            <w:r>
              <w:instrText xml:space="preserve"> PAGEREF src-S108 \h </w:instrText>
            </w:r>
            <w:r>
              <w:fldChar w:fldCharType="separate"/>
            </w:r>
            <w:r>
              <w:t>83</w:t>
            </w:r>
            <w:r>
              <w:fldChar w:fldCharType="end"/>
            </w:r>
          </w:hyperlink>
        </w:p>
        <w:p>
          <w:pPr>
            <w:pStyle w:val="TOC2"/>
          </w:pPr>
          <w:hyperlink w:anchor="src-S109" w:history="1">
            <w:r>
              <w:t xml:space="preserve">S109 – Maryland Office of People's Counsel: FERC complaint on data-center-driven transmission costs (May 7, 2026)</w:t>
            </w:r>
            <w:r>
              <w:tab/>
            </w:r>
            <w:r>
              <w:fldChar w:fldCharType="begin"/>
            </w:r>
            <w:r>
              <w:instrText xml:space="preserve"> PAGEREF src-S109 \h </w:instrText>
            </w:r>
            <w:r>
              <w:fldChar w:fldCharType="separate"/>
            </w:r>
            <w:r>
              <w:t>84</w:t>
            </w:r>
            <w:r>
              <w:fldChar w:fldCharType="end"/>
            </w:r>
          </w:hyperlink>
        </w:p>
        <w:p>
          <w:pPr>
            <w:pStyle w:val="TOC2"/>
          </w:pPr>
          <w:hyperlink w:anchor="src-S110" w:history="1">
            <w:r>
              <w:t xml:space="preserve">S110 – FERC's large-load proceeding: status in October 2026</w:t>
            </w:r>
            <w:r>
              <w:tab/>
            </w:r>
            <w:r>
              <w:fldChar w:fldCharType="begin"/>
            </w:r>
            <w:r>
              <w:instrText xml:space="preserve"> PAGEREF src-S110 \h </w:instrText>
            </w:r>
            <w:r>
              <w:fldChar w:fldCharType="separate"/>
            </w:r>
            <w:r>
              <w:t>84</w:t>
            </w:r>
            <w:r>
              <w:fldChar w:fldCharType="end"/>
            </w:r>
          </w:hyperlink>
        </w:p>
        <w:p>
          <w:pPr>
            <w:pStyle w:val="TOC2"/>
          </w:pPr>
          <w:hyperlink w:anchor="src-S111" w:history="1">
            <w:r>
              <w:t xml:space="preserve">S111 – China: new power capacity in 2025</w:t>
            </w:r>
            <w:r>
              <w:tab/>
            </w:r>
            <w:r>
              <w:fldChar w:fldCharType="begin"/>
            </w:r>
            <w:r>
              <w:instrText xml:space="preserve"> PAGEREF src-S111 \h </w:instrText>
            </w:r>
            <w:r>
              <w:fldChar w:fldCharType="separate"/>
            </w:r>
            <w:r>
              <w:t>85</w:t>
            </w:r>
            <w:r>
              <w:fldChar w:fldCharType="end"/>
            </w:r>
          </w:hyperlink>
        </w:p>
        <w:p>
          <w:pPr>
            <w:pStyle w:val="TOC2"/>
          </w:pPr>
          <w:hyperlink w:anchor="src-S112" w:history="1">
            <w:r>
              <w:t xml:space="preserve">S112 – The White House: "Winning the Race: America's AI Action Plan" (July 23, 2025)</w:t>
            </w:r>
            <w:r>
              <w:tab/>
            </w:r>
            <w:r>
              <w:fldChar w:fldCharType="begin"/>
            </w:r>
            <w:r>
              <w:instrText xml:space="preserve"> PAGEREF src-S112 \h </w:instrText>
            </w:r>
            <w:r>
              <w:fldChar w:fldCharType="separate"/>
            </w:r>
            <w:r>
              <w:t>85</w:t>
            </w:r>
            <w:r>
              <w:fldChar w:fldCharType="end"/>
            </w:r>
          </w:hyperlink>
        </w:p>
        <w:p>
          <w:pPr>
            <w:pStyle w:val="TOC2"/>
          </w:pPr>
          <w:hyperlink w:anchor="src-S113" w:history="1">
            <w:r>
              <w:t xml:space="preserve">S113 – Virginia: teacher salaries (FY2025)</w:t>
            </w:r>
            <w:r>
              <w:tab/>
            </w:r>
            <w:r>
              <w:fldChar w:fldCharType="begin"/>
            </w:r>
            <w:r>
              <w:instrText xml:space="preserve"> PAGEREF src-S113 \h </w:instrText>
            </w:r>
            <w:r>
              <w:fldChar w:fldCharType="separate"/>
            </w:r>
            <w:r>
              <w:t>86</w:t>
            </w:r>
            <w:r>
              <w:fldChar w:fldCharType="end"/>
            </w:r>
          </w:hyperlink>
        </w:p>
        <w:p>
          <w:pPr>
            <w:pStyle w:val="TOC2"/>
          </w:pPr>
          <w:hyperlink w:anchor="src-S114" w:history="1">
            <w:r>
              <w:t xml:space="preserve">S114 – Georgia: state evaluation of the data center tax break (December 2025, corrected January 2026)</w:t>
            </w:r>
            <w:r>
              <w:tab/>
            </w:r>
            <w:r>
              <w:fldChar w:fldCharType="begin"/>
            </w:r>
            <w:r>
              <w:instrText xml:space="preserve"> PAGEREF src-S114 \h </w:instrText>
            </w:r>
            <w:r>
              <w:fldChar w:fldCharType="separate"/>
            </w:r>
            <w:r>
              <w:t>86</w:t>
            </w:r>
            <w:r>
              <w:fldChar w:fldCharType="end"/>
            </w:r>
          </w:hyperlink>
        </w:p>
        <w:p>
          <w:pPr>
            <w:pStyle w:val="TOC2"/>
          </w:pPr>
          <w:hyperlink w:anchor="src-S115" w:history="1">
            <w:r>
              <w:t xml:space="preserve">S115 – Meta "Hyperion", Richland Parish, Louisiana: investment, jobs, tax breaks</w:t>
            </w:r>
            <w:r>
              <w:tab/>
            </w:r>
            <w:r>
              <w:fldChar w:fldCharType="begin"/>
            </w:r>
            <w:r>
              <w:instrText xml:space="preserve"> PAGEREF src-S115 \h </w:instrText>
            </w:r>
            <w:r>
              <w:fldChar w:fldCharType="separate"/>
            </w:r>
            <w:r>
              <w:t>86</w:t>
            </w:r>
            <w:r>
              <w:fldChar w:fldCharType="end"/>
            </w:r>
          </w:hyperlink>
        </w:p>
        <w:p>
          <w:pPr>
            <w:pStyle w:val="TOC2"/>
          </w:pPr>
          <w:hyperlink w:anchor="src-S116" w:history="1">
            <w:r>
              <w:t xml:space="preserve">S116 – Loudoun County votes to prepare a pause on data center applications (September 16, 2026)</w:t>
            </w:r>
            <w:r>
              <w:tab/>
            </w:r>
            <w:r>
              <w:fldChar w:fldCharType="begin"/>
            </w:r>
            <w:r>
              <w:instrText xml:space="preserve"> PAGEREF src-S116 \h </w:instrText>
            </w:r>
            <w:r>
              <w:fldChar w:fldCharType="separate"/>
            </w:r>
            <w:r>
              <w:t>87</w:t>
            </w:r>
            <w:r>
              <w:fldChar w:fldCharType="end"/>
            </w:r>
          </w:hyperlink>
        </w:p>
        <w:p>
          <w:pPr>
            <w:pStyle w:val="TOC2"/>
          </w:pPr>
          <w:hyperlink w:anchor="src-S117" w:history="1">
            <w:r>
              <w:t xml:space="preserve">S117 – Virginia's 2026–2028 budget: tax break kept, new electricity tax</w:t>
            </w:r>
            <w:r>
              <w:tab/>
            </w:r>
            <w:r>
              <w:fldChar w:fldCharType="begin"/>
            </w:r>
            <w:r>
              <w:instrText xml:space="preserve"> PAGEREF src-S117 \h </w:instrText>
            </w:r>
            <w:r>
              <w:fldChar w:fldCharType="separate"/>
            </w:r>
            <w:r>
              <w:t>87</w:t>
            </w:r>
            <w:r>
              <w:fldChar w:fldCharType="end"/>
            </w:r>
          </w:hyperlink>
        </w:p>
        <w:p>
          <w:pPr>
            <w:pStyle w:val="TOC2"/>
          </w:pPr>
          <w:hyperlink w:anchor="src-S118" w:history="1">
            <w:r>
              <w:t xml:space="preserve">S118 – Washington state: claw-back in its data center tax break</w:t>
            </w:r>
            <w:r>
              <w:tab/>
            </w:r>
            <w:r>
              <w:fldChar w:fldCharType="begin"/>
            </w:r>
            <w:r>
              <w:instrText xml:space="preserve"> PAGEREF src-S118 \h </w:instrText>
            </w:r>
            <w:r>
              <w:fldChar w:fldCharType="separate"/>
            </w:r>
            <w:r>
              <w:t>88</w:t>
            </w:r>
            <w:r>
              <w:fldChar w:fldCharType="end"/>
            </w:r>
          </w:hyperlink>
        </w:p>
        <w:p>
          <w:pPr>
            <w:pStyle w:val="TOC2"/>
          </w:pPr>
          <w:hyperlink w:anchor="src-S119" w:history="1">
            <w:r>
              <w:t xml:space="preserve">S119 – ENERGY STAR (US EPA): definition of a data center</w:t>
            </w:r>
            <w:r>
              <w:tab/>
            </w:r>
            <w:r>
              <w:fldChar w:fldCharType="begin"/>
            </w:r>
            <w:r>
              <w:instrText xml:space="preserve"> PAGEREF src-S119 \h </w:instrText>
            </w:r>
            <w:r>
              <w:fldChar w:fldCharType="separate"/>
            </w:r>
            <w:r>
              <w:t>88</w:t>
            </w:r>
            <w:r>
              <w:fldChar w:fldCharType="end"/>
            </w:r>
          </w:hyperlink>
        </w:p>
        <w:p>
          <w:pPr>
            <w:pStyle w:val="TOC2"/>
          </w:pPr>
          <w:hyperlink w:anchor="src-S120" w:history="1">
            <w:r>
              <w:t xml:space="preserve">S120 – Stanford HAI: AI Index Report 2026 – “Technical Performance” (US–China gap)</w:t>
            </w:r>
            <w:r>
              <w:tab/>
            </w:r>
            <w:r>
              <w:fldChar w:fldCharType="begin"/>
            </w:r>
            <w:r>
              <w:instrText xml:space="preserve"> PAGEREF src-S120 \h </w:instrText>
            </w:r>
            <w:r>
              <w:fldChar w:fldCharType="separate"/>
            </w:r>
            <w:r>
              <w:t>88</w:t>
            </w:r>
            <w:r>
              <w:fldChar w:fldCharType="end"/>
            </w:r>
          </w:hyperlink>
        </w:p>
        <w:p>
          <w:r>
            <w:fldChar w:fldCharType="end"/>
          </w:r>
        </w:p>
      </w:sdtContent>
    </w:sdt>
    <w:p>
      <w:pPr>
        <w:pStyle w:val="Legend"/>
      </w:pPr>
      <w:r>
        <w:rPr>
          <w:b/>
          <w:bCs/>
        </w:rPr>
        <w:t xml:space="preserve">Lesehilfe:</w:t>
      </w:r>
      <w:r>
        <w:t xml:space="preserve"> </w:t>
      </w:r>
      <w:r>
        <w:t xml:space="preserve">Blaue Tags wie [S14] führen zur Quellenkarte in Part E; dort führt „Used“ zurück zu den Abschnitten und „Link“ zur Originalquelle. Gepunktet unterstrichene Begriffe führen zur Definition im Glossar (A7). Graue Sätze in [eckigen Klammern] sind optional (kürzere Redefassung). „→ Chain of Reasoning (Backup)“ springt zur Begründungskette am Ende jedes Arguments. Zurück springen: Alt + ← (Windows) bzw. Cmd + [ (Mac).</w:t>
      </w:r>
    </w:p>
    <w:bookmarkStart w:id="85" w:name="part-a"/>
    <w:p>
      <w:pPr>
        <w:pStyle w:val="Heading1"/>
        <w:pageBreakBefore/>
      </w:pPr>
      <w:r>
        <w:t xml:space="preserve">Part A – Basics</w:t>
      </w:r>
    </w:p>
    <w:bookmarkStart w:id="20" w:name="a0"/>
    <w:p>
      <w:pPr>
        <w:pStyle w:val="Heading2"/>
      </w:pPr>
      <w:r>
        <w:t xml:space="preserve">A0 Debate structure</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368"/>
        <w:gridCol w:w="2533"/>
        <w:gridCol w:w="2379"/>
        <w:gridCol w:w="2132"/>
      </w:tblGrid>
      <w:tr>
        <w:trPr>
          <w:tblHeader w:val="true"/>
        </w:trPr>
        <w:tc>
          <w:tcPr>
            <w:tcW w:w="2368" w:type="dxa"/>
            <w:shd w:val="clear" w:color="auto" w:fill="DCE6F2"/>
          </w:tcPr>
          <w:p>
            <w:pPr>
              <w:pStyle w:val="TableText"/>
              <w:jc w:val="left"/>
            </w:pPr>
            <w:r>
              <w:rPr>
                <w:b/>
              </w:rPr>
              <w:t xml:space="preserve">Speaker</w:t>
            </w:r>
          </w:p>
        </w:tc>
        <w:tc>
          <w:tcPr>
            <w:tcW w:w="2533" w:type="dxa"/>
            <w:shd w:val="clear" w:color="auto" w:fill="DCE6F2"/>
          </w:tcPr>
          <w:p>
            <w:pPr>
              <w:pStyle w:val="TableText"/>
              <w:jc w:val="left"/>
            </w:pPr>
            <w:r>
              <w:rPr>
                <w:b/>
              </w:rPr>
              <w:t xml:space="preserve">Side</w:t>
            </w:r>
          </w:p>
        </w:tc>
        <w:tc>
          <w:tcPr>
            <w:tcW w:w="2379" w:type="dxa"/>
            <w:shd w:val="clear" w:color="auto" w:fill="DCE6F2"/>
          </w:tcPr>
          <w:p>
            <w:pPr>
              <w:pStyle w:val="TableText"/>
              <w:jc w:val="left"/>
            </w:pPr>
            <w:r>
              <w:rPr>
                <w:b/>
              </w:rPr>
              <w:t xml:space="preserve">Type of speech</w:t>
            </w:r>
          </w:p>
        </w:tc>
        <w:tc>
          <w:tcPr>
            <w:tcW w:w="2132" w:type="dxa"/>
            <w:shd w:val="clear" w:color="auto" w:fill="DCE6F2"/>
          </w:tcPr>
          <w:p>
            <w:pPr>
              <w:pStyle w:val="TableText"/>
              <w:jc w:val="left"/>
            </w:pPr>
            <w:r>
              <w:rPr>
                <w:b/>
              </w:rPr>
              <w:t xml:space="preserve">Speech Length</w:t>
            </w:r>
          </w:p>
        </w:tc>
      </w:tr>
      <w:tr>
        <w:tc>
          <w:tcPr>
            <w:tcW w:w="2368" w:type="dxa"/>
          </w:tcPr>
          <w:p>
            <w:pPr>
              <w:pStyle w:val="TableText"/>
              <w:jc w:val="left"/>
            </w:pPr>
            <w:r>
              <w:t xml:space="preserve">1</w:t>
            </w:r>
          </w:p>
        </w:tc>
        <w:tc>
          <w:tcPr>
            <w:tcW w:w="2533" w:type="dxa"/>
          </w:tcPr>
          <w:p>
            <w:pPr>
              <w:pStyle w:val="TableText"/>
              <w:jc w:val="left"/>
            </w:pPr>
            <w:r>
              <w:t xml:space="preserve">Affirmative (Pro)</w:t>
            </w:r>
          </w:p>
        </w:tc>
        <w:tc>
          <w:tcPr>
            <w:tcW w:w="2379" w:type="dxa"/>
          </w:tcPr>
          <w:p>
            <w:pPr>
              <w:pStyle w:val="TableText"/>
              <w:jc w:val="left"/>
            </w:pPr>
            <w:r>
              <w:t xml:space="preserve">Constructive</w:t>
            </w:r>
          </w:p>
        </w:tc>
        <w:tc>
          <w:tcPr>
            <w:tcW w:w="2132" w:type="dxa"/>
          </w:tcPr>
          <w:p>
            <w:pPr>
              <w:pStyle w:val="TableText"/>
              <w:jc w:val="left"/>
            </w:pPr>
            <w:r>
              <w:t xml:space="preserve">4 min</w:t>
            </w:r>
          </w:p>
        </w:tc>
      </w:tr>
      <w:tr>
        <w:tc>
          <w:tcPr>
            <w:tcW w:w="2368" w:type="dxa"/>
          </w:tcPr>
          <w:p>
            <w:pPr>
              <w:pStyle w:val="TableText"/>
              <w:jc w:val="left"/>
            </w:pPr>
            <w:r>
              <w:t xml:space="preserve">1</w:t>
            </w:r>
          </w:p>
        </w:tc>
        <w:tc>
          <w:tcPr>
            <w:tcW w:w="2533" w:type="dxa"/>
          </w:tcPr>
          <w:p>
            <w:pPr>
              <w:pStyle w:val="TableText"/>
              <w:jc w:val="left"/>
            </w:pPr>
            <w:r>
              <w:t xml:space="preserve">Negative (Con)</w:t>
            </w:r>
          </w:p>
        </w:tc>
        <w:tc>
          <w:tcPr>
            <w:tcW w:w="2379" w:type="dxa"/>
          </w:tcPr>
          <w:p>
            <w:pPr>
              <w:pStyle w:val="TableText"/>
              <w:jc w:val="left"/>
            </w:pPr>
            <w:r>
              <w:t xml:space="preserve">Constructive</w:t>
            </w:r>
          </w:p>
        </w:tc>
        <w:tc>
          <w:tcPr>
            <w:tcW w:w="2132" w:type="dxa"/>
          </w:tcPr>
          <w:p>
            <w:pPr>
              <w:pStyle w:val="TableText"/>
              <w:jc w:val="left"/>
            </w:pPr>
            <w:r>
              <w:t xml:space="preserve">4 min</w:t>
            </w:r>
          </w:p>
        </w:tc>
      </w:tr>
      <w:tr>
        <w:tc>
          <w:tcPr>
            <w:tcW w:w="2368" w:type="dxa"/>
          </w:tcPr>
          <w:p>
            <w:pPr>
              <w:pStyle w:val="TableText"/>
              <w:jc w:val="left"/>
            </w:pPr>
            <w:r>
              <w:t xml:space="preserve">Both first speakers</w:t>
            </w:r>
          </w:p>
        </w:tc>
        <w:tc>
          <w:tcPr>
            <w:tcW w:w="2533" w:type="dxa"/>
          </w:tcPr>
          <w:p>
            <w:pPr>
              <w:pStyle w:val="TableText"/>
              <w:jc w:val="left"/>
            </w:pPr>
            <w:r>
              <w:t xml:space="preserve">both</w:t>
            </w:r>
          </w:p>
        </w:tc>
        <w:tc>
          <w:tcPr>
            <w:tcW w:w="2379" w:type="dxa"/>
          </w:tcPr>
          <w:p>
            <w:pPr>
              <w:pStyle w:val="TableText"/>
              <w:jc w:val="left"/>
            </w:pPr>
            <w:r>
              <w:t xml:space="preserve">Crossfire</w:t>
            </w:r>
          </w:p>
        </w:tc>
        <w:tc>
          <w:tcPr>
            <w:tcW w:w="2132" w:type="dxa"/>
          </w:tcPr>
          <w:p>
            <w:pPr>
              <w:pStyle w:val="TableText"/>
              <w:jc w:val="left"/>
            </w:pPr>
            <w:r>
              <w:t xml:space="preserve">3 min</w:t>
            </w:r>
          </w:p>
        </w:tc>
      </w:tr>
      <w:tr>
        <w:tc>
          <w:tcPr>
            <w:tcW w:w="2368" w:type="dxa"/>
          </w:tcPr>
          <w:p>
            <w:pPr>
              <w:pStyle w:val="TableText"/>
              <w:jc w:val="left"/>
            </w:pPr>
            <w:r>
              <w:t xml:space="preserve">2</w:t>
            </w:r>
          </w:p>
        </w:tc>
        <w:tc>
          <w:tcPr>
            <w:tcW w:w="2533" w:type="dxa"/>
          </w:tcPr>
          <w:p>
            <w:pPr>
              <w:pStyle w:val="TableText"/>
              <w:jc w:val="left"/>
            </w:pPr>
            <w:r>
              <w:t xml:space="preserve">Affirmative (Pro)</w:t>
            </w:r>
          </w:p>
        </w:tc>
        <w:tc>
          <w:tcPr>
            <w:tcW w:w="2379" w:type="dxa"/>
          </w:tcPr>
          <w:p>
            <w:pPr>
              <w:pStyle w:val="TableText"/>
              <w:jc w:val="left"/>
            </w:pPr>
            <w:r>
              <w:t xml:space="preserve">Rebuttal</w:t>
            </w:r>
          </w:p>
        </w:tc>
        <w:tc>
          <w:tcPr>
            <w:tcW w:w="2132" w:type="dxa"/>
          </w:tcPr>
          <w:p>
            <w:pPr>
              <w:pStyle w:val="TableText"/>
              <w:jc w:val="left"/>
            </w:pPr>
            <w:r>
              <w:t xml:space="preserve">4 min</w:t>
            </w:r>
          </w:p>
        </w:tc>
      </w:tr>
      <w:tr>
        <w:tc>
          <w:tcPr>
            <w:tcW w:w="2368" w:type="dxa"/>
          </w:tcPr>
          <w:p>
            <w:pPr>
              <w:pStyle w:val="TableText"/>
              <w:jc w:val="left"/>
            </w:pPr>
            <w:r>
              <w:t xml:space="preserve">2</w:t>
            </w:r>
          </w:p>
        </w:tc>
        <w:tc>
          <w:tcPr>
            <w:tcW w:w="2533" w:type="dxa"/>
          </w:tcPr>
          <w:p>
            <w:pPr>
              <w:pStyle w:val="TableText"/>
              <w:jc w:val="left"/>
            </w:pPr>
            <w:r>
              <w:t xml:space="preserve">Negative (Con)</w:t>
            </w:r>
          </w:p>
        </w:tc>
        <w:tc>
          <w:tcPr>
            <w:tcW w:w="2379" w:type="dxa"/>
          </w:tcPr>
          <w:p>
            <w:pPr>
              <w:pStyle w:val="TableText"/>
              <w:jc w:val="left"/>
            </w:pPr>
            <w:r>
              <w:t xml:space="preserve">Rebuttal</w:t>
            </w:r>
          </w:p>
        </w:tc>
        <w:tc>
          <w:tcPr>
            <w:tcW w:w="2132" w:type="dxa"/>
          </w:tcPr>
          <w:p>
            <w:pPr>
              <w:pStyle w:val="TableText"/>
              <w:jc w:val="left"/>
            </w:pPr>
            <w:r>
              <w:t xml:space="preserve">4 min</w:t>
            </w:r>
          </w:p>
        </w:tc>
      </w:tr>
      <w:tr>
        <w:tc>
          <w:tcPr>
            <w:tcW w:w="2368" w:type="dxa"/>
          </w:tcPr>
          <w:p>
            <w:pPr>
              <w:pStyle w:val="TableText"/>
              <w:jc w:val="left"/>
            </w:pPr>
            <w:r>
              <w:t xml:space="preserve">Both second speakers</w:t>
            </w:r>
          </w:p>
        </w:tc>
        <w:tc>
          <w:tcPr>
            <w:tcW w:w="2533" w:type="dxa"/>
          </w:tcPr>
          <w:p>
            <w:pPr>
              <w:pStyle w:val="TableText"/>
              <w:jc w:val="left"/>
            </w:pPr>
            <w:r>
              <w:t xml:space="preserve">both</w:t>
            </w:r>
          </w:p>
        </w:tc>
        <w:tc>
          <w:tcPr>
            <w:tcW w:w="2379" w:type="dxa"/>
          </w:tcPr>
          <w:p>
            <w:pPr>
              <w:pStyle w:val="TableText"/>
              <w:jc w:val="left"/>
            </w:pPr>
            <w:r>
              <w:t xml:space="preserve">Crossfire</w:t>
            </w:r>
          </w:p>
        </w:tc>
        <w:tc>
          <w:tcPr>
            <w:tcW w:w="2132" w:type="dxa"/>
          </w:tcPr>
          <w:p>
            <w:pPr>
              <w:pStyle w:val="TableText"/>
              <w:jc w:val="left"/>
            </w:pPr>
            <w:r>
              <w:t xml:space="preserve">3 min</w:t>
            </w:r>
          </w:p>
        </w:tc>
      </w:tr>
      <w:tr>
        <w:tc>
          <w:tcPr>
            <w:tcW w:w="2368" w:type="dxa"/>
          </w:tcPr>
          <w:p>
            <w:pPr>
              <w:pStyle w:val="TableText"/>
              <w:jc w:val="left"/>
            </w:pPr>
            <w:r>
              <w:t xml:space="preserve">1</w:t>
            </w:r>
          </w:p>
        </w:tc>
        <w:tc>
          <w:tcPr>
            <w:tcW w:w="2533" w:type="dxa"/>
          </w:tcPr>
          <w:p>
            <w:pPr>
              <w:pStyle w:val="TableText"/>
              <w:jc w:val="left"/>
            </w:pPr>
            <w:r>
              <w:t xml:space="preserve">Affirmative (Pro)</w:t>
            </w:r>
          </w:p>
        </w:tc>
        <w:tc>
          <w:tcPr>
            <w:tcW w:w="2379" w:type="dxa"/>
          </w:tcPr>
          <w:p>
            <w:pPr>
              <w:pStyle w:val="TableText"/>
              <w:jc w:val="left"/>
            </w:pPr>
            <w:r>
              <w:t xml:space="preserve">Summary</w:t>
            </w:r>
          </w:p>
        </w:tc>
        <w:tc>
          <w:tcPr>
            <w:tcW w:w="2132" w:type="dxa"/>
          </w:tcPr>
          <w:p>
            <w:pPr>
              <w:pStyle w:val="TableText"/>
              <w:jc w:val="left"/>
            </w:pPr>
            <w:r>
              <w:t xml:space="preserve">3 min</w:t>
            </w:r>
          </w:p>
        </w:tc>
      </w:tr>
      <w:tr>
        <w:tc>
          <w:tcPr>
            <w:tcW w:w="2368" w:type="dxa"/>
          </w:tcPr>
          <w:p>
            <w:pPr>
              <w:pStyle w:val="TableText"/>
              <w:jc w:val="left"/>
            </w:pPr>
            <w:r>
              <w:t xml:space="preserve">1</w:t>
            </w:r>
          </w:p>
        </w:tc>
        <w:tc>
          <w:tcPr>
            <w:tcW w:w="2533" w:type="dxa"/>
          </w:tcPr>
          <w:p>
            <w:pPr>
              <w:pStyle w:val="TableText"/>
              <w:jc w:val="left"/>
            </w:pPr>
            <w:r>
              <w:t xml:space="preserve">Negative (Con)</w:t>
            </w:r>
          </w:p>
        </w:tc>
        <w:tc>
          <w:tcPr>
            <w:tcW w:w="2379" w:type="dxa"/>
          </w:tcPr>
          <w:p>
            <w:pPr>
              <w:pStyle w:val="TableText"/>
              <w:jc w:val="left"/>
            </w:pPr>
            <w:r>
              <w:t xml:space="preserve">Summary</w:t>
            </w:r>
          </w:p>
        </w:tc>
        <w:tc>
          <w:tcPr>
            <w:tcW w:w="2132" w:type="dxa"/>
          </w:tcPr>
          <w:p>
            <w:pPr>
              <w:pStyle w:val="TableText"/>
              <w:jc w:val="left"/>
            </w:pPr>
            <w:r>
              <w:t xml:space="preserve">3 min</w:t>
            </w:r>
          </w:p>
        </w:tc>
      </w:tr>
      <w:tr>
        <w:tc>
          <w:tcPr>
            <w:tcW w:w="2368" w:type="dxa"/>
          </w:tcPr>
          <w:p>
            <w:pPr>
              <w:pStyle w:val="TableText"/>
              <w:jc w:val="left"/>
            </w:pPr>
            <w:r>
              <w:t xml:space="preserve">All four speakers</w:t>
            </w:r>
          </w:p>
        </w:tc>
        <w:tc>
          <w:tcPr>
            <w:tcW w:w="2533" w:type="dxa"/>
          </w:tcPr>
          <w:p>
            <w:pPr>
              <w:pStyle w:val="TableText"/>
              <w:jc w:val="left"/>
            </w:pPr>
            <w:r>
              <w:t xml:space="preserve">both</w:t>
            </w:r>
          </w:p>
        </w:tc>
        <w:tc>
          <w:tcPr>
            <w:tcW w:w="2379" w:type="dxa"/>
          </w:tcPr>
          <w:p>
            <w:pPr>
              <w:pStyle w:val="TableText"/>
              <w:jc w:val="left"/>
            </w:pPr>
            <w:r>
              <w:t xml:space="preserve">Grandcrossfire</w:t>
            </w:r>
          </w:p>
        </w:tc>
        <w:tc>
          <w:tcPr>
            <w:tcW w:w="2132" w:type="dxa"/>
          </w:tcPr>
          <w:p>
            <w:pPr>
              <w:pStyle w:val="TableText"/>
              <w:jc w:val="left"/>
            </w:pPr>
            <w:r>
              <w:t xml:space="preserve">3 min</w:t>
            </w:r>
          </w:p>
        </w:tc>
      </w:tr>
      <w:tr>
        <w:tc>
          <w:tcPr>
            <w:tcW w:w="2368" w:type="dxa"/>
          </w:tcPr>
          <w:p>
            <w:pPr>
              <w:pStyle w:val="TableText"/>
              <w:jc w:val="left"/>
            </w:pPr>
            <w:r>
              <w:t xml:space="preserve">2</w:t>
            </w:r>
          </w:p>
        </w:tc>
        <w:tc>
          <w:tcPr>
            <w:tcW w:w="2533" w:type="dxa"/>
          </w:tcPr>
          <w:p>
            <w:pPr>
              <w:pStyle w:val="TableText"/>
              <w:jc w:val="left"/>
            </w:pPr>
            <w:r>
              <w:t xml:space="preserve">Affirmative (Pro)</w:t>
            </w:r>
          </w:p>
        </w:tc>
        <w:tc>
          <w:tcPr>
            <w:tcW w:w="2379" w:type="dxa"/>
          </w:tcPr>
          <w:p>
            <w:pPr>
              <w:pStyle w:val="TableText"/>
              <w:jc w:val="left"/>
            </w:pPr>
            <w:r>
              <w:t xml:space="preserve">Final Focus</w:t>
            </w:r>
          </w:p>
        </w:tc>
        <w:tc>
          <w:tcPr>
            <w:tcW w:w="2132" w:type="dxa"/>
          </w:tcPr>
          <w:p>
            <w:pPr>
              <w:pStyle w:val="TableText"/>
              <w:jc w:val="left"/>
            </w:pPr>
            <w:r>
              <w:t xml:space="preserve">2 min</w:t>
            </w:r>
          </w:p>
        </w:tc>
      </w:tr>
      <w:tr>
        <w:tc>
          <w:tcPr>
            <w:tcW w:w="2368" w:type="dxa"/>
          </w:tcPr>
          <w:p>
            <w:pPr>
              <w:pStyle w:val="TableText"/>
              <w:jc w:val="left"/>
            </w:pPr>
            <w:r>
              <w:t xml:space="preserve">2</w:t>
            </w:r>
          </w:p>
        </w:tc>
        <w:tc>
          <w:tcPr>
            <w:tcW w:w="2533" w:type="dxa"/>
          </w:tcPr>
          <w:p>
            <w:pPr>
              <w:pStyle w:val="TableText"/>
              <w:jc w:val="left"/>
            </w:pPr>
            <w:r>
              <w:t xml:space="preserve">Negative (Con)</w:t>
            </w:r>
          </w:p>
        </w:tc>
        <w:tc>
          <w:tcPr>
            <w:tcW w:w="2379" w:type="dxa"/>
          </w:tcPr>
          <w:p>
            <w:pPr>
              <w:pStyle w:val="TableText"/>
              <w:jc w:val="left"/>
            </w:pPr>
            <w:r>
              <w:t xml:space="preserve">Final Focus</w:t>
            </w:r>
          </w:p>
        </w:tc>
        <w:tc>
          <w:tcPr>
            <w:tcW w:w="2132" w:type="dxa"/>
          </w:tcPr>
          <w:p>
            <w:pPr>
              <w:pStyle w:val="TableText"/>
              <w:jc w:val="left"/>
            </w:pPr>
            <w:r>
              <w:t xml:space="preserve">2 min</w:t>
            </w:r>
          </w:p>
        </w:tc>
      </w:tr>
    </w:tbl>
    <w:bookmarkEnd w:id="20"/>
    <w:bookmarkStart w:id="22" w:name="a1"/>
    <w:p>
      <w:pPr>
        <w:pStyle w:val="Heading2"/>
        <w:spacing w:before="200"/>
      </w:pPr>
      <w:r>
        <w:t xml:space="preserve">A1 Definition: Hyperscale data center</w:t>
      </w:r>
    </w:p>
    <w:p>
      <w:pPr>
        <w:pStyle w:val="FirstParagraph"/>
      </w:pPr>
      <w:bookmarkStart w:id="21" w:name="gl-hyperscale"/>
      <w:bookmarkEnd w:id="21"/>
      <w:r>
        <w:t xml:space="preserve">There is no single legal definition. The main ones:</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3711"/>
        <w:gridCol w:w="5701"/>
      </w:tblGrid>
      <w:tr>
        <w:trPr>
          <w:tblHeader w:val="true"/>
        </w:trPr>
        <w:tc>
          <w:tcPr>
            <w:tcW w:w="3711" w:type="dxa"/>
            <w:shd w:val="clear" w:color="auto" w:fill="DCE6F2"/>
          </w:tcPr>
          <w:p>
            <w:pPr>
              <w:pStyle w:val="TableText"/>
              <w:jc w:val="left"/>
            </w:pPr>
            <w:r>
              <w:rPr>
                <w:b/>
              </w:rPr>
              <w:t xml:space="preserve">Source</w:t>
            </w:r>
          </w:p>
        </w:tc>
        <w:tc>
          <w:tcPr>
            <w:tcW w:w="5701" w:type="dxa"/>
            <w:shd w:val="clear" w:color="auto" w:fill="DCE6F2"/>
          </w:tcPr>
          <w:p>
            <w:pPr>
              <w:pStyle w:val="TableText"/>
              <w:jc w:val="left"/>
            </w:pPr>
            <w:r>
              <w:rPr>
                <w:b/>
              </w:rPr>
              <w:t xml:space="preserve">Definition</w:t>
            </w:r>
          </w:p>
        </w:tc>
      </w:tr>
      <w:tr>
        <w:tc>
          <w:tcPr>
            <w:tcW w:w="3711" w:type="dxa"/>
          </w:tcPr>
          <w:p>
            <w:pPr>
              <w:pStyle w:val="TableText"/>
              <w:jc w:val="left"/>
            </w:pPr>
            <w:r>
              <w:t xml:space="preserve">IDC (market research firm) [</w:t>
            </w:r>
            <w:hyperlink w:anchor="src-S2" w:history="1">
              <w:r>
                <w:rPr>
                  <w:rStyle w:val="SourceLink"/>
                </w:rPr>
                <w:t xml:space="preserve">S2</w:t>
              </w:r>
            </w:hyperlink>
            <w:r>
              <w:t xml:space="preserve">]</w:t>
            </w:r>
          </w:p>
        </w:tc>
        <w:tc>
          <w:tcPr>
            <w:tcW w:w="5701" w:type="dxa"/>
          </w:tcPr>
          <w:p>
            <w:pPr>
              <w:pStyle w:val="TableText"/>
              <w:jc w:val="left"/>
            </w:pPr>
            <w:r>
              <w:t xml:space="preserve">at least 5,000 servers and at least 10,000 sq ft (≈ 929 m²)</w:t>
            </w:r>
          </w:p>
        </w:tc>
      </w:tr>
      <w:tr>
        <w:tc>
          <w:tcPr>
            <w:tcW w:w="3711" w:type="dxa"/>
          </w:tcPr>
          <w:p>
            <w:pPr>
              <w:pStyle w:val="TableText"/>
              <w:jc w:val="left"/>
            </w:pPr>
            <w:r>
              <w:t xml:space="preserve">White House, Executive Order 14318 [</w:t>
            </w:r>
            <w:hyperlink w:anchor="src-S41" w:history="1">
              <w:r>
                <w:rPr>
                  <w:rStyle w:val="SourceLink"/>
                </w:rPr>
                <w:t xml:space="preserve">S41</w:t>
              </w:r>
            </w:hyperlink>
            <w:r>
              <w:t xml:space="preserve">]</w:t>
            </w:r>
          </w:p>
        </w:tc>
        <w:tc>
          <w:tcPr>
            <w:tcW w:w="5701" w:type="dxa"/>
          </w:tcPr>
          <w:p>
            <w:pPr>
              <w:pStyle w:val="TableText"/>
              <w:jc w:val="left"/>
            </w:pPr>
            <w:r>
              <w:t xml:space="preserve">“Data Center Project” = more than 100 MW of new load for AI (threshold for fast-tracked permits, not a hyperscale definition)</w:t>
            </w:r>
          </w:p>
        </w:tc>
      </w:tr>
      <w:tr>
        <w:tc>
          <w:tcPr>
            <w:tcW w:w="3711" w:type="dxa"/>
          </w:tcPr>
          <w:p>
            <w:pPr>
              <w:pStyle w:val="TableText"/>
              <w:jc w:val="left"/>
            </w:pPr>
            <w:r>
              <w:t xml:space="preserve">Sanders/AOC bill S. 4214 [</w:t>
            </w:r>
            <w:hyperlink w:anchor="src-S36" w:history="1">
              <w:r>
                <w:rPr>
                  <w:rStyle w:val="SourceLink"/>
                </w:rPr>
                <w:t xml:space="preserve">S36</w:t>
              </w:r>
            </w:hyperlink>
            <w:r>
              <w:t xml:space="preserve">]</w:t>
            </w:r>
          </w:p>
        </w:tc>
        <w:tc>
          <w:tcPr>
            <w:tcW w:w="5701" w:type="dxa"/>
          </w:tcPr>
          <w:p>
            <w:pPr>
              <w:pStyle w:val="TableText"/>
              <w:jc w:val="left"/>
            </w:pPr>
            <w:r>
              <w:t xml:space="preserve">AI data centers above 20 MW, plus ≥ 20 kW per rack or liquid cooling</w:t>
            </w:r>
          </w:p>
        </w:tc>
      </w:tr>
      <w:tr>
        <w:tc>
          <w:tcPr>
            <w:tcW w:w="3711" w:type="dxa"/>
          </w:tcPr>
          <w:p>
            <w:pPr>
              <w:pStyle w:val="TableText"/>
              <w:jc w:val="left"/>
            </w:pPr>
            <w:r>
              <w:t xml:space="preserve">Maine LD 307 (vetoed) [</w:t>
            </w:r>
            <w:hyperlink w:anchor="src-S73" w:history="1">
              <w:r>
                <w:rPr>
                  <w:rStyle w:val="SourceLink"/>
                </w:rPr>
                <w:t xml:space="preserve">S73</w:t>
              </w:r>
            </w:hyperlink>
            <w:r>
              <w:t xml:space="preserve">]</w:t>
            </w:r>
          </w:p>
        </w:tc>
        <w:tc>
          <w:tcPr>
            <w:tcW w:w="5701" w:type="dxa"/>
          </w:tcPr>
          <w:p>
            <w:pPr>
              <w:pStyle w:val="TableText"/>
              <w:jc w:val="left"/>
            </w:pPr>
            <w:r>
              <w:t xml:space="preserve">data centers with an electric load of 20 MW or more</w:t>
            </w:r>
          </w:p>
        </w:tc>
      </w:tr>
      <w:tr>
        <w:tc>
          <w:tcPr>
            <w:tcW w:w="3711" w:type="dxa"/>
          </w:tcPr>
          <w:p>
            <w:pPr>
              <w:pStyle w:val="TableText"/>
              <w:jc w:val="left"/>
            </w:pPr>
            <w:r>
              <w:t xml:space="preserve">California AB 2619, “Type I” [</w:t>
            </w:r>
            <w:hyperlink w:anchor="src-S78" w:history="1">
              <w:r>
                <w:rPr>
                  <w:rStyle w:val="SourceLink"/>
                </w:rPr>
                <w:t xml:space="preserve">S78</w:t>
              </w:r>
            </w:hyperlink>
            <w:r>
              <w:t xml:space="preserve">]</w:t>
            </w:r>
          </w:p>
        </w:tc>
        <w:tc>
          <w:tcPr>
            <w:tcW w:w="5701" w:type="dxa"/>
          </w:tcPr>
          <w:p>
            <w:pPr>
              <w:pStyle w:val="TableText"/>
              <w:jc w:val="left"/>
            </w:pPr>
            <w:r>
              <w:t xml:space="preserve">more than 10,000 servers or more than 25 MW</w:t>
            </w:r>
          </w:p>
        </w:tc>
      </w:tr>
      <w:tr>
        <w:tc>
          <w:tcPr>
            <w:tcW w:w="3711" w:type="dxa"/>
          </w:tcPr>
          <w:p>
            <w:pPr>
              <w:pStyle w:val="TableText"/>
              <w:jc w:val="left"/>
            </w:pPr>
            <w:r>
              <w:t xml:space="preserve">Illinois / Florida bills [</w:t>
            </w:r>
            <w:hyperlink w:anchor="src-S78" w:history="1">
              <w:r>
                <w:rPr>
                  <w:rStyle w:val="SourceLink"/>
                </w:rPr>
                <w:t xml:space="preserve">S78</w:t>
              </w:r>
            </w:hyperlink>
            <w:r>
              <w:t xml:space="preserve">]</w:t>
            </w:r>
          </w:p>
        </w:tc>
        <w:tc>
          <w:tcPr>
            <w:tcW w:w="5701" w:type="dxa"/>
          </w:tcPr>
          <w:p>
            <w:pPr>
              <w:pStyle w:val="TableText"/>
              <w:jc w:val="left"/>
            </w:pPr>
            <w:r>
              <w:t xml:space="preserve">more than 50 MW (Illinois draft); at least 25 MW (Florida draft)</w:t>
            </w:r>
          </w:p>
        </w:tc>
      </w:tr>
    </w:tbl>
    <w:p>
      <w:pPr>
        <w:pStyle w:val="Hint"/>
        <w:spacing w:before="200"/>
      </w:pPr>
      <w:r>
        <w:rPr>
          <w:i/>
          <w:iCs/>
        </w:rPr>
        <w:t xml:space="preserve">The abbreviations</w:t>
      </w:r>
      <w:r>
        <w:t xml:space="preserve"> </w:t>
      </w:r>
      <w:hyperlink w:anchor="gl-epa" w:history="1">
        <w:r>
          <w:rPr>
            <w:rStyle w:val="GlossaryLink"/>
            <w:i/>
            <w:iCs/>
          </w:rPr>
          <w:t xml:space="preserve">EPA</w:t>
        </w:r>
      </w:hyperlink>
      <w:r>
        <w:rPr>
          <w:i/>
          <w:iCs/>
        </w:rPr>
        <w:t xml:space="preserve">,</w:t>
      </w:r>
      <w:r>
        <w:t xml:space="preserve"> </w:t>
      </w:r>
      <w:hyperlink w:anchor="gl-nda" w:history="1">
        <w:r>
          <w:rPr>
            <w:rStyle w:val="GlossaryLink"/>
            <w:i/>
            <w:iCs/>
          </w:rPr>
          <w:t xml:space="preserve">NDA</w:t>
        </w:r>
      </w:hyperlink>
      <w:r>
        <w:t xml:space="preserve"> </w:t>
      </w:r>
      <w:r>
        <w:rPr>
          <w:i/>
          <w:iCs/>
        </w:rPr>
        <w:t xml:space="preserve">and</w:t>
      </w:r>
      <w:r>
        <w:t xml:space="preserve"> </w:t>
      </w:r>
      <w:hyperlink w:anchor="gl-sb6" w:history="1">
        <w:r>
          <w:rPr>
            <w:rStyle w:val="GlossaryLink"/>
            <w:i/>
            <w:iCs/>
          </w:rPr>
          <w:t xml:space="preserve">SB 6</w:t>
        </w:r>
      </w:hyperlink>
      <w:r>
        <w:t xml:space="preserve"> </w:t>
      </w:r>
      <w:r>
        <w:rPr>
          <w:i/>
          <w:iCs/>
        </w:rPr>
        <w:t xml:space="preserve">are defined in the</w:t>
      </w:r>
      <w:r>
        <w:t xml:space="preserve"> </w:t>
      </w:r>
      <w:hyperlink w:anchor="a7" w:history="1">
        <w:r>
          <w:rPr>
            <w:rStyle w:val="NavLinkChar"/>
            <w:i/>
            <w:iCs/>
          </w:rPr>
          <w:t xml:space="preserve">glossary (A7)</w:t>
        </w:r>
      </w:hyperlink>
      <w:r>
        <w:rPr>
          <w:i/>
          <w:iCs/>
        </w:rPr>
        <w:t xml:space="preserve">.</w:t>
      </w:r>
    </w:p>
    <w:bookmarkEnd w:id="22"/>
    <w:bookmarkStart w:id="24" w:name="a2"/>
    <w:p>
      <w:pPr>
        <w:pStyle w:val="Heading2"/>
      </w:pPr>
      <w:r>
        <w:t xml:space="preserve">A2 Definition: Moratorium</w:t>
      </w:r>
    </w:p>
    <w:p>
      <w:pPr>
        <w:pStyle w:val="FirstParagraph"/>
      </w:pPr>
      <w:bookmarkStart w:id="23" w:name="gl-moratorium"/>
      <w:bookmarkEnd w:id="23"/>
      <w:r>
        <w:t xml:space="preserve">Cornell Law School: a suspension of an activity “for a period of time”. It can be fixed-term, indefinite, or last “until the purpose for which the moratorium was granted is satisfied or resolved” [</w:t>
      </w:r>
      <w:hyperlink w:anchor="src-S1" w:history="1">
        <w:r>
          <w:rPr>
            <w:rStyle w:val="SourceLink"/>
          </w:rPr>
          <w:t xml:space="preserve">S1</w:t>
        </w:r>
      </w:hyperlink>
      <w:r>
        <w:t xml:space="preserve">]. The Supreme Court confirmed that moratoria are a common planning tool and not automatically an expropriation [</w:t>
      </w:r>
      <w:hyperlink w:anchor="src-S32" w:history="1">
        <w:r>
          <w:rPr>
            <w:rStyle w:val="SourceLink"/>
          </w:rPr>
          <w:t xml:space="preserve">S32</w:t>
        </w:r>
      </w:hyperlink>
      <w:r>
        <w:t xml:space="preserve">].</w:t>
      </w:r>
    </w:p>
    <w:bookmarkEnd w:id="24"/>
    <w:bookmarkStart w:id="26" w:name="a3"/>
    <w:p>
      <w:pPr>
        <w:pStyle w:val="Heading2"/>
      </w:pPr>
      <w:r>
        <w:t xml:space="preserve">A3 What are data centers used for?</w:t>
      </w:r>
    </w:p>
    <w:p>
      <w:pPr>
        <w:pStyle w:val="Quote"/>
      </w:pPr>
      <w:bookmarkStart w:id="25" w:name="gl-data-center"/>
      <w:bookmarkEnd w:id="25"/>
      <w:r>
        <w:t xml:space="preserve">“Whenever you send an email, stream your favorite TV show, save a family photo to ‘the cloud’ or ask a chatbot a question, you’re interacting with a data center.” [</w:t>
      </w:r>
      <w:hyperlink w:anchor="src-S15" w:history="1">
        <w:r>
          <w:rPr>
            <w:rStyle w:val="SourceLink"/>
          </w:rPr>
          <w:t xml:space="preserve">S15</w:t>
        </w:r>
      </w:hyperlink>
      <w:r>
        <w:t xml:space="preserve">]</w:t>
      </w:r>
    </w:p>
    <w:p>
      <w:pPr>
        <w:pStyle w:val="BodyText"/>
      </w:pPr>
      <w:r>
        <w:t xml:space="preserve">Typical uses of</w:t>
      </w:r>
      <w:r>
        <w:t xml:space="preserve"> </w:t>
      </w:r>
      <w:hyperlink w:anchor="gl-hyperscale" w:history="1">
        <w:r>
          <w:rPr>
            <w:rStyle w:val="GlossaryLink"/>
          </w:rPr>
          <w:t xml:space="preserve">hyperscale</w:t>
        </w:r>
      </w:hyperlink>
      <w:r>
        <w:t xml:space="preserve"> </w:t>
      </w:r>
      <w:r>
        <w:t xml:space="preserve">facilities are AI, automation, data analysis, and data storage and processing [</w:t>
      </w:r>
      <w:hyperlink w:anchor="src-S2" w:history="1">
        <w:r>
          <w:rPr>
            <w:rStyle w:val="SourceLink"/>
          </w:rPr>
          <w:t xml:space="preserve">S2</w:t>
        </w:r>
      </w:hyperlink>
      <w:r>
        <w:t xml:space="preserve">]. Organizational AI use rose from 55% (2023) to 88% (2025) [</w:t>
      </w:r>
      <w:hyperlink w:anchor="src-S11" w:history="1">
        <w:r>
          <w:rPr>
            <w:rStyle w:val="SourceLink"/>
          </w:rPr>
          <w:t xml:space="preserve">S11</w:t>
        </w:r>
      </w:hyperlink>
      <w:r>
        <w:t xml:space="preserve">].</w:t>
      </w:r>
    </w:p>
    <w:p>
      <w:pPr>
        <w:pStyle w:val="BodyText"/>
      </w:pPr>
      <w:r>
        <w:rPr>
          <w:b/>
          <w:bCs/>
        </w:rPr>
        <w:t xml:space="preserve">Definition:</w:t>
      </w:r>
      <w:r>
        <w:t xml:space="preserve"> </w:t>
      </w:r>
      <w:r>
        <w:t xml:space="preserve">According to ENERGY STAR, the energy-efficiency program of the US</w:t>
      </w:r>
      <w:r>
        <w:t xml:space="preserve"> </w:t>
      </w:r>
      <w:hyperlink w:anchor="gl-epa" w:history="1">
        <w:r>
          <w:rPr>
            <w:rStyle w:val="GlossaryLink"/>
          </w:rPr>
          <w:t xml:space="preserve">Environmental Protection Agency</w:t>
        </w:r>
      </w:hyperlink>
      <w:r>
        <w:t xml:space="preserve"> </w:t>
      </w:r>
      <w:r>
        <w:t xml:space="preserve">(EPA), a data center is a space specifically designed and equipped to meet the needs of high-density computing equipment, such as server racks, used for data storage and processing. Such spaces typically have dedicated uninterruptible power supplies and cooling systems. [</w:t>
      </w:r>
      <w:hyperlink w:anchor="src-S119" w:history="1">
        <w:r>
          <w:rPr>
            <w:rStyle w:val="SourceLink"/>
          </w:rPr>
          <w:t xml:space="preserve">S119</w:t>
        </w:r>
      </w:hyperlink>
      <w:r>
        <w:t xml:space="preserve">]</w:t>
      </w:r>
    </w:p>
    <w:bookmarkEnd w:id="26"/>
    <w:bookmarkStart w:id="27" w:name="a4"/>
    <w:p>
      <w:pPr>
        <w:pStyle w:val="Heading2"/>
      </w:pPr>
      <w:r>
        <w:t xml:space="preserve">A4 Key figures at a glance</w:t>
      </w:r>
    </w:p>
    <w:p>
      <w:pPr>
        <w:pStyle w:val="Compact"/>
        <w:numPr>
          <w:ilvl w:val="0"/>
          <w:numId w:val="1001"/>
        </w:numPr>
      </w:pPr>
      <w:r>
        <w:rPr>
          <w:b/>
          <w:bCs/>
        </w:rPr>
        <w:t xml:space="preserve">Water:</w:t>
      </w:r>
      <w:r>
        <w:t xml:space="preserve"> </w:t>
      </w:r>
      <w:r>
        <w:t xml:space="preserve">~17 billion gallons (2023), 84% of it in</w:t>
      </w:r>
      <w:r>
        <w:t xml:space="preserve"> </w:t>
      </w:r>
      <w:hyperlink w:anchor="gl-hyperscale" w:history="1">
        <w:r>
          <w:rPr>
            <w:rStyle w:val="GlossaryLink"/>
          </w:rPr>
          <w:t xml:space="preserve">hyperscale</w:t>
        </w:r>
      </w:hyperlink>
      <w:r>
        <w:t xml:space="preserve"> </w:t>
      </w:r>
      <w:r>
        <w:t xml:space="preserve">and</w:t>
      </w:r>
      <w:r>
        <w:t xml:space="preserve"> </w:t>
      </w:r>
      <w:hyperlink w:anchor="gl-colocation" w:history="1">
        <w:r>
          <w:rPr>
            <w:rStyle w:val="GlossaryLink"/>
          </w:rPr>
          <w:t xml:space="preserve">colocation</w:t>
        </w:r>
      </w:hyperlink>
      <w:r>
        <w:t xml:space="preserve"> </w:t>
      </w:r>
      <w:r>
        <w:t xml:space="preserve">facilities [</w:t>
      </w:r>
      <w:hyperlink w:anchor="src-S15" w:history="1">
        <w:r>
          <w:rPr>
            <w:rStyle w:val="SourceLink"/>
          </w:rPr>
          <w:t xml:space="preserve">S15</w:t>
        </w:r>
      </w:hyperlink>
      <w:r>
        <w:t xml:space="preserve">]</w:t>
      </w:r>
    </w:p>
    <w:p>
      <w:pPr>
        <w:pStyle w:val="Compact"/>
        <w:numPr>
          <w:ilvl w:val="0"/>
          <w:numId w:val="1001"/>
        </w:numPr>
      </w:pPr>
      <w:r>
        <w:rPr>
          <w:b/>
          <w:bCs/>
        </w:rPr>
        <w:t xml:space="preserve">Gas:</w:t>
      </w:r>
      <w:r>
        <w:t xml:space="preserve"> </w:t>
      </w:r>
      <w:r>
        <w:t xml:space="preserve">~252</w:t>
      </w:r>
      <w:r>
        <w:t xml:space="preserve"> </w:t>
      </w:r>
      <w:hyperlink w:anchor="gl-units" w:history="1">
        <w:r>
          <w:rPr>
            <w:rStyle w:val="GlossaryLink"/>
          </w:rPr>
          <w:t xml:space="preserve">GW</w:t>
        </w:r>
      </w:hyperlink>
      <w:r>
        <w:t xml:space="preserve"> </w:t>
      </w:r>
      <w:r>
        <w:t xml:space="preserve">of gas capacity in development in the US, more than a third for data centers [</w:t>
      </w:r>
      <w:hyperlink w:anchor="src-S49" w:history="1">
        <w:r>
          <w:rPr>
            <w:rStyle w:val="SourceLink"/>
          </w:rPr>
          <w:t xml:space="preserve">S49</w:t>
        </w:r>
      </w:hyperlink>
      <w:r>
        <w:t xml:space="preserve">]</w:t>
      </w:r>
    </w:p>
    <w:p>
      <w:pPr>
        <w:pStyle w:val="Compact"/>
        <w:numPr>
          <w:ilvl w:val="0"/>
          <w:numId w:val="1001"/>
        </w:numPr>
      </w:pPr>
      <w:r>
        <w:rPr>
          <w:b/>
          <w:bCs/>
        </w:rPr>
        <w:t xml:space="preserve">Construction:</w:t>
      </w:r>
      <w:r>
        <w:t xml:space="preserve"> </w:t>
      </w:r>
      <w:r>
        <w:t xml:space="preserve">$41 billion of data center construction in 2025 (+32%) [</w:t>
      </w:r>
      <w:hyperlink w:anchor="src-S63" w:history="1">
        <w:r>
          <w:rPr>
            <w:rStyle w:val="SourceLink"/>
          </w:rPr>
          <w:t xml:space="preserve">S63</w:t>
        </w:r>
      </w:hyperlink>
      <w:r>
        <w:t xml:space="preserve">]</w:t>
      </w:r>
    </w:p>
    <w:p>
      <w:pPr>
        <w:pStyle w:val="Compact"/>
        <w:numPr>
          <w:ilvl w:val="0"/>
          <w:numId w:val="1001"/>
        </w:numPr>
      </w:pPr>
      <w:r>
        <w:rPr>
          <w:b/>
          <w:bCs/>
        </w:rPr>
        <w:t xml:space="preserve">Public opinion:</w:t>
      </w:r>
      <w:r>
        <w:t xml:space="preserve"> </w:t>
      </w:r>
      <w:r>
        <w:t xml:space="preserve">71% oppose an AI data center in their area [</w:t>
      </w:r>
      <w:hyperlink w:anchor="src-S24" w:history="1">
        <w:r>
          <w:rPr>
            <w:rStyle w:val="SourceLink"/>
          </w:rPr>
          <w:t xml:space="preserve">S24</w:t>
        </w:r>
      </w:hyperlink>
      <w:r>
        <w:t xml:space="preserve">]; 833 local opposition groups [</w:t>
      </w:r>
      <w:hyperlink w:anchor="src-S25" w:history="1">
        <w:r>
          <w:rPr>
            <w:rStyle w:val="SourceLink"/>
          </w:rPr>
          <w:t xml:space="preserve">S25</w:t>
        </w:r>
      </w:hyperlink>
      <w:r>
        <w:t xml:space="preserve">]</w:t>
      </w:r>
    </w:p>
    <w:bookmarkEnd w:id="27"/>
    <w:bookmarkStart w:id="29" w:name="a5"/>
    <w:p>
      <w:pPr>
        <w:pStyle w:val="Heading2"/>
      </w:pPr>
      <w:r>
        <w:t xml:space="preserve">A5 Political status (October 2026)</w:t>
      </w:r>
    </w:p>
    <w:p>
      <w:pPr>
        <w:pStyle w:val="FirstParagraph"/>
      </w:pPr>
      <w:r>
        <w:rPr>
          <w:b/>
          <w:bCs/>
        </w:rPr>
        <w:t xml:space="preserve">States:</w:t>
      </w:r>
    </w:p>
    <w:p>
      <w:pPr>
        <w:pStyle w:val="Compact"/>
        <w:numPr>
          <w:ilvl w:val="0"/>
          <w:numId w:val="1002"/>
        </w:numPr>
      </w:pPr>
      <w:r>
        <w:t xml:space="preserve">Maine passed a</w:t>
      </w:r>
      <w:r>
        <w:t xml:space="preserve"> </w:t>
      </w:r>
      <w:hyperlink w:anchor="gl-moratorium" w:history="1">
        <w:r>
          <w:rPr>
            <w:rStyle w:val="GlossaryLink"/>
          </w:rPr>
          <w:t xml:space="preserve">moratorium</w:t>
        </w:r>
      </w:hyperlink>
      <w:r>
        <w:t xml:space="preserve">; it was vetoed [</w:t>
      </w:r>
      <w:hyperlink w:anchor="src-S73" w:history="1">
        <w:r>
          <w:rPr>
            <w:rStyle w:val="SourceLink"/>
          </w:rPr>
          <w:t xml:space="preserve">S73</w:t>
        </w:r>
      </w:hyperlink>
      <w:r>
        <w:t xml:space="preserve">].</w:t>
      </w:r>
    </w:p>
    <w:p>
      <w:pPr>
        <w:pStyle w:val="Compact"/>
        <w:numPr>
          <w:ilvl w:val="1"/>
          <w:numId w:val="1003"/>
        </w:numPr>
      </w:pPr>
      <w:r>
        <w:rPr>
          <w:b/>
          <w:bCs/>
          <w:i/>
          <w:iCs/>
        </w:rPr>
        <w:t xml:space="preserve">In plain words:</w:t>
      </w:r>
      <w:r>
        <w:t xml:space="preserve"> </w:t>
      </w:r>
      <w:r>
        <w:t xml:space="preserve">In April 2026, Maine’s state parliament voted to pause new data centers with 20</w:t>
      </w:r>
      <w:r>
        <w:t xml:space="preserve"> </w:t>
      </w:r>
      <w:hyperlink w:anchor="gl-units" w:history="1">
        <w:r>
          <w:rPr>
            <w:rStyle w:val="GlossaryLink"/>
          </w:rPr>
          <w:t xml:space="preserve">MW</w:t>
        </w:r>
      </w:hyperlink>
      <w:r>
        <w:t xml:space="preserve"> </w:t>
      </w:r>
      <w:r>
        <w:t xml:space="preserve">or more until November 2027 (bill LD 307). Governor Janet Mills vetoed it because she wanted an exception for one $550 million project – although she supports a temporary moratorium in principle. The attempt to override her veto failed (72–65) [</w:t>
      </w:r>
      <w:hyperlink w:anchor="src-S73" w:history="1">
        <w:r>
          <w:rPr>
            <w:rStyle w:val="SourceLink"/>
          </w:rPr>
          <w:t xml:space="preserve">S73</w:t>
        </w:r>
      </w:hyperlink>
      <w:r>
        <w:t xml:space="preserve">].</w:t>
      </w:r>
    </w:p>
    <w:p>
      <w:pPr>
        <w:pStyle w:val="Compact"/>
        <w:numPr>
          <w:ilvl w:val="0"/>
          <w:numId w:val="1002"/>
        </w:numPr>
      </w:pPr>
      <w:r>
        <w:t xml:space="preserve">New Jersey and California passed reporting laws [</w:t>
      </w:r>
      <w:hyperlink w:anchor="src-S31" w:history="1">
        <w:r>
          <w:rPr>
            <w:rStyle w:val="SourceLink"/>
          </w:rPr>
          <w:t xml:space="preserve">S31</w:t>
        </w:r>
      </w:hyperlink>
      <w:r>
        <w:t xml:space="preserve">].</w:t>
      </w:r>
    </w:p>
    <w:p>
      <w:pPr>
        <w:pStyle w:val="Compact"/>
        <w:numPr>
          <w:ilvl w:val="1"/>
          <w:numId w:val="1004"/>
        </w:numPr>
      </w:pPr>
      <w:r>
        <w:rPr>
          <w:b/>
          <w:bCs/>
          <w:i/>
          <w:iCs/>
        </w:rPr>
        <w:t xml:space="preserve">In plain words:</w:t>
      </w:r>
      <w:r>
        <w:t xml:space="preserve"> </w:t>
      </w:r>
      <w:r>
        <w:t xml:space="preserve">These laws require data centers to tell the state how much electricity and water they use. New Jersey’s law (August 2026) requires a report every six months; California signed seven laws in September 2026, most of them in force from January 1, 2027. At the federal level there is no such duty – a bill (S. 4213) is stuck in committee [</w:t>
      </w:r>
      <w:hyperlink w:anchor="src-S31" w:history="1">
        <w:r>
          <w:rPr>
            <w:rStyle w:val="SourceLink"/>
          </w:rPr>
          <w:t xml:space="preserve">S31</w:t>
        </w:r>
      </w:hyperlink>
      <w:r>
        <w:t xml:space="preserve">].</w:t>
      </w:r>
    </w:p>
    <w:p>
      <w:pPr>
        <w:pStyle w:val="Compact"/>
        <w:numPr>
          <w:ilvl w:val="0"/>
          <w:numId w:val="1002"/>
        </w:numPr>
      </w:pPr>
      <w:r>
        <w:t xml:space="preserve">Texas passed</w:t>
      </w:r>
      <w:r>
        <w:t xml:space="preserve"> </w:t>
      </w:r>
      <w:hyperlink w:anchor="gl-sb6" w:history="1">
        <w:r>
          <w:rPr>
            <w:rStyle w:val="GlossaryLink"/>
          </w:rPr>
          <w:t xml:space="preserve">SB 6</w:t>
        </w:r>
      </w:hyperlink>
      <w:r>
        <w:t xml:space="preserve"> </w:t>
      </w:r>
      <w:r>
        <w:t xml:space="preserve">[</w:t>
      </w:r>
      <w:hyperlink w:anchor="src-S71" w:history="1">
        <w:r>
          <w:rPr>
            <w:rStyle w:val="SourceLink"/>
          </w:rPr>
          <w:t xml:space="preserve">S71</w:t>
        </w:r>
      </w:hyperlink>
      <w:r>
        <w:t xml:space="preserve">].</w:t>
      </w:r>
    </w:p>
    <w:p>
      <w:pPr>
        <w:pStyle w:val="Compact"/>
        <w:numPr>
          <w:ilvl w:val="1"/>
          <w:numId w:val="1005"/>
        </w:numPr>
      </w:pPr>
      <w:r>
        <w:rPr>
          <w:b/>
          <w:bCs/>
          <w:i/>
          <w:iCs/>
        </w:rPr>
        <w:t xml:space="preserve">In plain words:</w:t>
      </w:r>
      <w:r>
        <w:t xml:space="preserve"> </w:t>
      </w:r>
      <w:r>
        <w:t xml:space="preserve">SB 6 is Texas Senate Bill 6, signed on June 20, 2025. It sets rules for very large electricity users of 75 megawatts (MW) or more – for comparison, 150 MW is enough to power about 100,000 homes [</w:t>
      </w:r>
      <w:hyperlink w:anchor="src-S21" w:history="1">
        <w:r>
          <w:rPr>
            <w:rStyle w:val="SourceLink"/>
          </w:rPr>
          <w:t xml:space="preserve">S21</w:t>
        </w:r>
      </w:hyperlink>
      <w:r>
        <w:t xml:space="preserve">]. Such users must pay for the studies needed to connect them to the grid, disclose information and share grid costs. In a grid emergency, the Texas grid operator</w:t>
      </w:r>
      <w:r>
        <w:t xml:space="preserve"> </w:t>
      </w:r>
      <w:hyperlink w:anchor="gl-ercot" w:history="1">
        <w:r>
          <w:rPr>
            <w:rStyle w:val="GlossaryLink"/>
          </w:rPr>
          <w:t xml:space="preserve">ERCOT</w:t>
        </w:r>
      </w:hyperlink>
      <w:r>
        <w:t xml:space="preserve"> </w:t>
      </w:r>
      <w:r>
        <w:t xml:space="preserve">can order them to cut their power use or switch to their own generators. In short: Texas makes the biggest power users carry more of their own costs and risks [</w:t>
      </w:r>
      <w:hyperlink w:anchor="src-S71" w:history="1">
        <w:r>
          <w:rPr>
            <w:rStyle w:val="SourceLink"/>
          </w:rPr>
          <w:t xml:space="preserve">S71</w:t>
        </w:r>
      </w:hyperlink>
      <w:r>
        <w:t xml:space="preserve">].</w:t>
      </w:r>
    </w:p>
    <w:p>
      <w:pPr>
        <w:pStyle w:val="Compact"/>
        <w:numPr>
          <w:ilvl w:val="0"/>
          <w:numId w:val="1002"/>
        </w:numPr>
      </w:pPr>
      <w:r>
        <w:t xml:space="preserve">25 states have</w:t>
      </w:r>
      <w:r>
        <w:t xml:space="preserve"> </w:t>
      </w:r>
      <w:hyperlink w:anchor="gl-tariff" w:history="1">
        <w:r>
          <w:rPr>
            <w:rStyle w:val="GlossaryLink"/>
          </w:rPr>
          <w:t xml:space="preserve">large-customer tariffs</w:t>
        </w:r>
      </w:hyperlink>
      <w:r>
        <w:t xml:space="preserve"> </w:t>
      </w:r>
      <w:r>
        <w:t xml:space="preserve">[</w:t>
      </w:r>
      <w:hyperlink w:anchor="src-S27" w:history="1">
        <w:r>
          <w:rPr>
            <w:rStyle w:val="SourceLink"/>
          </w:rPr>
          <w:t xml:space="preserve">S27</w:t>
        </w:r>
      </w:hyperlink>
      <w:r>
        <w:t xml:space="preserve">].</w:t>
      </w:r>
    </w:p>
    <w:p>
      <w:pPr>
        <w:pStyle w:val="Compact"/>
        <w:numPr>
          <w:ilvl w:val="1"/>
          <w:numId w:val="1006"/>
        </w:numPr>
      </w:pPr>
      <w:r>
        <w:rPr>
          <w:b/>
          <w:bCs/>
          <w:i/>
          <w:iCs/>
        </w:rPr>
        <w:t xml:space="preserve">In plain words:</w:t>
      </w:r>
      <w:r>
        <w:t xml:space="preserve"> </w:t>
      </w:r>
      <w:r>
        <w:t xml:space="preserve">Yes, this is about electricity prices. A large-customer tariff is a special set of electricity price rules for very big power users such as data centers. Typical rules: they must pay for a minimum share of the capacity they reserve – even if they use less – sign long contracts and pay an exit fee if they leave early. Example: in Ohio, new large data centers must pay for at least 85% of their reserved capacity for 12 years [</w:t>
      </w:r>
      <w:hyperlink w:anchor="src-S56" w:history="1">
        <w:r>
          <w:rPr>
            <w:rStyle w:val="SourceLink"/>
          </w:rPr>
          <w:t xml:space="preserve">S56</w:t>
        </w:r>
      </w:hyperlink>
      <w:r>
        <w:t xml:space="preserve">]. The goal: the costs of new power plants and power lines built for data centers should not end up on ordinary households’ bills. According to the</w:t>
      </w:r>
      <w:r>
        <w:t xml:space="preserve"> </w:t>
      </w:r>
      <w:hyperlink w:anchor="gl-eei" w:history="1">
        <w:r>
          <w:rPr>
            <w:rStyle w:val="GlossaryLink"/>
          </w:rPr>
          <w:t xml:space="preserve">Edison Electric Institute</w:t>
        </w:r>
      </w:hyperlink>
      <w:r>
        <w:t xml:space="preserve"> </w:t>
      </w:r>
      <w:r>
        <w:t xml:space="preserve">(the trade association of investor-owned US utilities), 25 states have at least one such tariff, and 7 more have proposals pending [</w:t>
      </w:r>
      <w:hyperlink w:anchor="src-S27" w:history="1">
        <w:r>
          <w:rPr>
            <w:rStyle w:val="SourceLink"/>
          </w:rPr>
          <w:t xml:space="preserve">S27</w:t>
        </w:r>
      </w:hyperlink>
      <w:r>
        <w:t xml:space="preserve">].</w:t>
      </w:r>
    </w:p>
    <w:p>
      <w:pPr>
        <w:pStyle w:val="Compact"/>
        <w:numPr>
          <w:ilvl w:val="0"/>
          <w:numId w:val="1002"/>
        </w:numPr>
      </w:pPr>
      <w:r>
        <w:rPr>
          <w:b/>
          <w:bCs/>
        </w:rPr>
        <w:t xml:space="preserve">Local:</w:t>
      </w:r>
      <w:r>
        <w:t xml:space="preserve"> </w:t>
      </w:r>
      <w:r>
        <w:t xml:space="preserve">more than 300 local moratoria and bans [</w:t>
      </w:r>
      <w:hyperlink w:anchor="src-S35" w:history="1">
        <w:r>
          <w:rPr>
            <w:rStyle w:val="SourceLink"/>
          </w:rPr>
          <w:t xml:space="preserve">S35</w:t>
        </w:r>
      </w:hyperlink>
      <w:r>
        <w:t xml:space="preserve">]; Indianapolis is pausing until the end of 2027 [</w:t>
      </w:r>
      <w:hyperlink w:anchor="src-S34" w:history="1">
        <w:r>
          <w:rPr>
            <w:rStyle w:val="SourceLink"/>
          </w:rPr>
          <w:t xml:space="preserve">S34</w:t>
        </w:r>
      </w:hyperlink>
      <w:r>
        <w:t xml:space="preserve">].</w:t>
      </w:r>
    </w:p>
    <w:p>
      <w:pPr>
        <w:pStyle w:val="Compact"/>
        <w:numPr>
          <w:ilvl w:val="1"/>
          <w:numId w:val="1007"/>
        </w:numPr>
      </w:pPr>
      <w:r>
        <w:rPr>
          <w:b/>
          <w:bCs/>
          <w:i/>
          <w:iCs/>
        </w:rPr>
        <w:t xml:space="preserve">In plain words:</w:t>
      </w:r>
      <w:r>
        <w:t xml:space="preserve"> </w:t>
      </w:r>
      <w:r>
        <w:t xml:space="preserve">A local moratorium is a pause decided by a city or county – usually on approving the zoning that data centers need (the permission to build on a piece of land). According to</w:t>
      </w:r>
      <w:r>
        <w:t xml:space="preserve"> </w:t>
      </w:r>
      <w:hyperlink w:anchor="gl-semianalysis" w:history="1">
        <w:r>
          <w:rPr>
            <w:rStyle w:val="GlossaryLink"/>
          </w:rPr>
          <w:t xml:space="preserve">SemiAnalysis</w:t>
        </w:r>
      </w:hyperlink>
      <w:r>
        <w:t xml:space="preserve">, there are more than 300 of them [</w:t>
      </w:r>
      <w:hyperlink w:anchor="src-S35" w:history="1">
        <w:r>
          <w:rPr>
            <w:rStyle w:val="SourceLink"/>
          </w:rPr>
          <w:t xml:space="preserve">S35</w:t>
        </w:r>
      </w:hyperlink>
      <w:r>
        <w:t xml:space="preserve">]. Indianapolis’ city council voted to pause new approvals until the end of 2027 so the city can write zoning rules for data centers [</w:t>
      </w:r>
      <w:hyperlink w:anchor="src-S34" w:history="1">
        <w:r>
          <w:rPr>
            <w:rStyle w:val="SourceLink"/>
          </w:rPr>
          <w:t xml:space="preserve">S34</w:t>
        </w:r>
      </w:hyperlink>
      <w:r>
        <w:t xml:space="preserve">].</w:t>
      </w:r>
    </w:p>
    <w:bookmarkStart w:id="28" w:name="a5-contra"/>
    <w:p>
      <w:pPr>
        <w:pStyle w:val="Heading3"/>
      </w:pPr>
      <w:r>
        <w:t xml:space="preserve">Possible Contra rebuttal: local moratoria already exist</w:t>
      </w:r>
    </w:p>
    <w:p>
      <w:pPr>
        <w:pStyle w:val="FirstParagraph"/>
      </w:pPr>
      <w:r>
        <w:rPr>
          <w:b/>
          <w:bCs/>
        </w:rPr>
        <w:t xml:space="preserve">R</w:t>
      </w:r>
      <w:r>
        <w:t xml:space="preserve"> </w:t>
      </w:r>
      <w:r>
        <w:t xml:space="preserve">“Moratoria already exist – locally, where they belong. A federal moratorium would be worse.”</w:t>
      </w:r>
    </w:p>
    <w:p>
      <w:pPr>
        <w:pStyle w:val="Compact"/>
        <w:numPr>
          <w:ilvl w:val="0"/>
          <w:numId w:val="1008"/>
        </w:numPr>
      </w:pPr>
      <w:r>
        <w:rPr>
          <w:b/>
          <w:bCs/>
        </w:rPr>
        <w:t xml:space="preserve">Moratoria already exist where they are needed.</w:t>
      </w:r>
      <w:r>
        <w:t xml:space="preserve"> </w:t>
      </w:r>
      <w:r>
        <w:t xml:space="preserve">There are more than 300 local moratoria and bans [</w:t>
      </w:r>
      <w:hyperlink w:anchor="src-S35" w:history="1">
        <w:r>
          <w:rPr>
            <w:rStyle w:val="SourceLink"/>
          </w:rPr>
          <w:t xml:space="preserve">S35</w:t>
        </w:r>
      </w:hyperlink>
      <w:r>
        <w:t xml:space="preserve">]. Indianapolis is pausing until the end of 2027 to write zoning rules [</w:t>
      </w:r>
      <w:hyperlink w:anchor="src-S34" w:history="1">
        <w:r>
          <w:rPr>
            <w:rStyle w:val="SourceLink"/>
          </w:rPr>
          <w:t xml:space="preserve">S34</w:t>
        </w:r>
      </w:hyperlink>
      <w:r>
        <w:t xml:space="preserve">], and even Loudoun County, Virginia – which calls itself the “Data Center Capital of the World” – has voted to prepare a 12-month pause [</w:t>
      </w:r>
      <w:hyperlink w:anchor="src-S116" w:history="1">
        <w:r>
          <w:rPr>
            <w:rStyle w:val="SourceLink"/>
          </w:rPr>
          <w:t xml:space="preserve">S116</w:t>
        </w:r>
      </w:hyperlink>
      <w:r>
        <w:t xml:space="preserve">].</w:t>
      </w:r>
    </w:p>
    <w:p>
      <w:pPr>
        <w:pStyle w:val="Compact"/>
        <w:numPr>
          <w:ilvl w:val="0"/>
          <w:numId w:val="1008"/>
        </w:numPr>
      </w:pPr>
      <w:r>
        <w:rPr>
          <w:b/>
          <w:bCs/>
        </w:rPr>
        <w:t xml:space="preserve">Local is better, because every place is different.</w:t>
      </w:r>
      <w:r>
        <w:t xml:space="preserve"> </w:t>
      </w:r>
      <w:r>
        <w:t xml:space="preserve">One county has a water shortage, another a strong grid; one town wants data centers for the tax money (in Loudoun they pay about 38% of the county’s general fund [</w:t>
      </w:r>
      <w:hyperlink w:anchor="src-S62" w:history="1">
        <w:r>
          <w:rPr>
            <w:rStyle w:val="SourceLink"/>
          </w:rPr>
          <w:t xml:space="preserve">S62</w:t>
        </w:r>
      </w:hyperlink>
      <w:r>
        <w:t xml:space="preserve">]), another does not. Local officials know their situation and can decide case by case.</w:t>
      </w:r>
    </w:p>
    <w:p>
      <w:pPr>
        <w:pStyle w:val="Compact"/>
        <w:numPr>
          <w:ilvl w:val="0"/>
          <w:numId w:val="1008"/>
        </w:numPr>
      </w:pPr>
      <w:r>
        <w:rPr>
          <w:b/>
          <w:bCs/>
        </w:rPr>
        <w:t xml:space="preserve">Why a federal moratorium would be worse:</w:t>
      </w:r>
    </w:p>
    <w:p>
      <w:pPr>
        <w:pStyle w:val="Compact"/>
        <w:numPr>
          <w:ilvl w:val="1"/>
          <w:numId w:val="1009"/>
        </w:numPr>
      </w:pPr>
      <w:r>
        <w:rPr>
          <w:b/>
          <w:bCs/>
        </w:rPr>
        <w:t xml:space="preserve">One size fits none.</w:t>
      </w:r>
      <w:r>
        <w:t xml:space="preserve"> </w:t>
      </w:r>
      <w:r>
        <w:t xml:space="preserve">It would also stop data centers in places that want them and can handle them [</w:t>
      </w:r>
      <w:hyperlink w:anchor="src-S62" w:history="1">
        <w:r>
          <w:rPr>
            <w:rStyle w:val="SourceLink"/>
          </w:rPr>
          <w:t xml:space="preserve">S62</w:t>
        </w:r>
      </w:hyperlink>
      <w:r>
        <w:t xml:space="preserve">,</w:t>
      </w:r>
      <w:r>
        <w:t xml:space="preserve"> </w:t>
      </w:r>
      <w:hyperlink w:anchor="src-S115" w:history="1">
        <w:r>
          <w:rPr>
            <w:rStyle w:val="SourceLink"/>
          </w:rPr>
          <w:t xml:space="preserve">S115</w:t>
        </w:r>
      </w:hyperlink>
      <w:r>
        <w:t xml:space="preserve">].</w:t>
      </w:r>
    </w:p>
    <w:p>
      <w:pPr>
        <w:pStyle w:val="Compact"/>
        <w:numPr>
          <w:ilvl w:val="1"/>
          <w:numId w:val="1009"/>
        </w:numPr>
      </w:pPr>
      <w:r>
        <w:rPr>
          <w:b/>
          <w:bCs/>
        </w:rPr>
        <w:t xml:space="preserve">It turns a local issue into a federal headache.</w:t>
      </w:r>
      <w:r>
        <w:t xml:space="preserve"> </w:t>
      </w:r>
      <w:r>
        <w:t xml:space="preserve">Land use is traditionally decided by states and local governments, as the Cato Institute (a libertarian think tank) argues [</w:t>
      </w:r>
      <w:hyperlink w:anchor="src-S72" w:history="1">
        <w:r>
          <w:rPr>
            <w:rStyle w:val="SourceLink"/>
          </w:rPr>
          <w:t xml:space="preserve">S72</w:t>
        </w:r>
      </w:hyperlink>
      <w:r>
        <w:t xml:space="preserve">].</w:t>
      </w:r>
    </w:p>
    <w:p>
      <w:pPr>
        <w:pStyle w:val="Compact"/>
        <w:numPr>
          <w:ilvl w:val="1"/>
          <w:numId w:val="1009"/>
        </w:numPr>
      </w:pPr>
      <w:r>
        <w:rPr>
          <w:b/>
          <w:bCs/>
        </w:rPr>
        <w:t xml:space="preserve">Local pauses are short and flexible.</w:t>
      </w:r>
      <w:r>
        <w:t xml:space="preserve"> </w:t>
      </w:r>
      <w:r>
        <w:t xml:space="preserve">Loudoun’s pause is capped at 12 months because the county attorney says an indefinite moratorium would not be legal [</w:t>
      </w:r>
      <w:hyperlink w:anchor="src-S116" w:history="1">
        <w:r>
          <w:rPr>
            <w:rStyle w:val="SourceLink"/>
          </w:rPr>
          <w:t xml:space="preserve">S116</w:t>
        </w:r>
      </w:hyperlink>
      <w:r>
        <w:t xml:space="preserve">]. A federal moratorium that lasts “until its purpose is satisfied” can drag on for years [</w:t>
      </w:r>
      <w:hyperlink w:anchor="src-S1" w:history="1">
        <w:r>
          <w:rPr>
            <w:rStyle w:val="SourceLink"/>
          </w:rPr>
          <w:t xml:space="preserve">S1</w:t>
        </w:r>
      </w:hyperlink>
      <w:r>
        <w:t xml:space="preserve">,</w:t>
      </w:r>
      <w:r>
        <w:t xml:space="preserve"> </w:t>
      </w:r>
      <w:hyperlink w:anchor="src-S36" w:history="1">
        <w:r>
          <w:rPr>
            <w:rStyle w:val="SourceLink"/>
          </w:rPr>
          <w:t xml:space="preserve">S36</w:t>
        </w:r>
      </w:hyperlink>
      <w:r>
        <w:t xml:space="preserve">].</w:t>
      </w:r>
    </w:p>
    <w:p>
      <w:pPr>
        <w:pStyle w:val="Compact"/>
        <w:numPr>
          <w:ilvl w:val="1"/>
          <w:numId w:val="1009"/>
        </w:numPr>
      </w:pPr>
      <w:r>
        <w:rPr>
          <w:b/>
          <w:bCs/>
        </w:rPr>
        <w:t xml:space="preserve">States can already act on their own.</w:t>
      </w:r>
      <w:r>
        <w:t xml:space="preserve"> </w:t>
      </w:r>
      <w:r>
        <w:t xml:space="preserve">Maine’s parliament passed its own moratorium [</w:t>
      </w:r>
      <w:hyperlink w:anchor="src-S73" w:history="1">
        <w:r>
          <w:rPr>
            <w:rStyle w:val="SourceLink"/>
          </w:rPr>
          <w:t xml:space="preserve">S73</w:t>
        </w:r>
      </w:hyperlink>
      <w:r>
        <w:t xml:space="preserve">], and states set their own tariffs [</w:t>
      </w:r>
      <w:hyperlink w:anchor="src-S27" w:history="1">
        <w:r>
          <w:rPr>
            <w:rStyle w:val="SourceLink"/>
          </w:rPr>
          <w:t xml:space="preserve">S27</w:t>
        </w:r>
      </w:hyperlink>
      <w:r>
        <w:t xml:space="preserve">] and reporting rules [</w:t>
      </w:r>
      <w:hyperlink w:anchor="src-S31" w:history="1">
        <w:r>
          <w:rPr>
            <w:rStyle w:val="SourceLink"/>
          </w:rPr>
          <w:t xml:space="preserve">S31</w:t>
        </w:r>
      </w:hyperlink>
      <w:r>
        <w:t xml:space="preserve">].</w:t>
      </w:r>
    </w:p>
    <w:p>
      <w:pPr>
        <w:pStyle w:val="Compact"/>
        <w:numPr>
          <w:ilvl w:val="0"/>
          <w:numId w:val="1008"/>
        </w:numPr>
      </w:pPr>
      <w:r>
        <w:rPr>
          <w:b/>
          <w:bCs/>
        </w:rPr>
        <w:t xml:space="preserve">Pro answer:</w:t>
      </w:r>
      <w:r>
        <w:t xml:space="preserve"> </w:t>
      </w:r>
      <w:hyperlink w:anchor="p5-frontline" w:history="1">
        <w:r>
          <w:rPr>
            <w:rStyle w:val="NavLinkChar"/>
          </w:rPr>
          <w:t xml:space="preserve">see P5, Frontline F2</w:t>
        </w:r>
      </w:hyperlink>
      <w:r>
        <w:t xml:space="preserve"> </w:t>
      </w:r>
      <w:r>
        <w:t xml:space="preserve">(local moratoria are a patchwork; costs cross state lines).</w:t>
      </w:r>
    </w:p>
    <w:bookmarkEnd w:id="28"/>
    <w:bookmarkEnd w:id="29"/>
    <w:bookmarkStart w:id="30" w:name="a6"/>
    <w:p>
      <w:pPr>
        <w:pStyle w:val="Heading2"/>
      </w:pPr>
      <w:r>
        <w:t xml:space="preserve">A6 Other countries: Singapore, Malaysia, Ireland, China</w:t>
      </w:r>
    </w:p>
    <w:p>
      <w:pPr>
        <w:pStyle w:val="Compact"/>
        <w:numPr>
          <w:ilvl w:val="0"/>
          <w:numId w:val="1010"/>
        </w:numPr>
      </w:pPr>
      <w:r>
        <w:rPr>
          <w:b/>
          <w:bCs/>
        </w:rPr>
        <w:t xml:space="preserve">Singapore:</w:t>
      </w:r>
      <w:r>
        <w:t xml:space="preserve"> </w:t>
      </w:r>
      <w:hyperlink w:anchor="gl-moratorium" w:history="1">
        <w:r>
          <w:rPr>
            <w:rStyle w:val="GlossaryLink"/>
          </w:rPr>
          <w:t xml:space="preserve">moratorium</w:t>
        </w:r>
      </w:hyperlink>
      <w:r>
        <w:t xml:space="preserve"> </w:t>
      </w:r>
      <w:r>
        <w:t xml:space="preserve">in 2019 → reopened in 2022 with efficiency rules → 2025 round requiring at least 50% green energy [</w:t>
      </w:r>
      <w:hyperlink w:anchor="src-S33" w:history="1">
        <w:r>
          <w:rPr>
            <w:rStyle w:val="SourceLink"/>
          </w:rPr>
          <w:t xml:space="preserve">S33</w:t>
        </w:r>
      </w:hyperlink>
      <w:r>
        <w:t xml:space="preserve">].</w:t>
      </w:r>
    </w:p>
    <w:p>
      <w:pPr>
        <w:pStyle w:val="Compact"/>
        <w:numPr>
          <w:ilvl w:val="0"/>
          <w:numId w:val="1010"/>
        </w:numPr>
      </w:pPr>
      <w:r>
        <w:rPr>
          <w:b/>
          <w:bCs/>
        </w:rPr>
        <w:t xml:space="preserve">Malaysia (Johor):</w:t>
      </w:r>
      <w:r>
        <w:t xml:space="preserve"> </w:t>
      </w:r>
      <w:r>
        <w:t xml:space="preserve">project pipeline grew from 10</w:t>
      </w:r>
      <w:r>
        <w:t xml:space="preserve"> </w:t>
      </w:r>
      <w:hyperlink w:anchor="gl-units" w:history="1">
        <w:r>
          <w:rPr>
            <w:rStyle w:val="GlossaryLink"/>
          </w:rPr>
          <w:t xml:space="preserve">MW</w:t>
        </w:r>
      </w:hyperlink>
      <w:r>
        <w:t xml:space="preserve"> </w:t>
      </w:r>
      <w:r>
        <w:t xml:space="preserve">(2021) to over 1,500 MW (2024, including planned projects); 487 MW operating (July 2025) [</w:t>
      </w:r>
      <w:hyperlink w:anchor="src-S4" w:history="1">
        <w:r>
          <w:rPr>
            <w:rStyle w:val="SourceLink"/>
          </w:rPr>
          <w:t xml:space="preserve">S4</w:t>
        </w:r>
      </w:hyperlink>
      <w:r>
        <w:t xml:space="preserve">]. Malaysia’s electricity is 79% fossil [</w:t>
      </w:r>
      <w:hyperlink w:anchor="src-S64" w:history="1">
        <w:r>
          <w:rPr>
            <w:rStyle w:val="SourceLink"/>
          </w:rPr>
          <w:t xml:space="preserve">S64</w:t>
        </w:r>
      </w:hyperlink>
      <w:r>
        <w:t xml:space="preserve">].</w:t>
      </w:r>
    </w:p>
    <w:p>
      <w:pPr>
        <w:pStyle w:val="Compact"/>
        <w:numPr>
          <w:ilvl w:val="0"/>
          <w:numId w:val="1010"/>
        </w:numPr>
      </w:pPr>
      <w:r>
        <w:rPr>
          <w:b/>
          <w:bCs/>
        </w:rPr>
        <w:t xml:space="preserve">Ireland:</w:t>
      </w:r>
      <w:r>
        <w:t xml:space="preserve"> </w:t>
      </w:r>
      <w:r>
        <w:t xml:space="preserve">years of de facto connection limits around Dublin. Since December 2025, new data centers must bring their own generation or storage and use 80% renewable power [</w:t>
      </w:r>
      <w:hyperlink w:anchor="src-S74" w:history="1">
        <w:r>
          <w:rPr>
            <w:rStyle w:val="SourceLink"/>
          </w:rPr>
          <w:t xml:space="preserve">S74</w:t>
        </w:r>
      </w:hyperlink>
      <w:r>
        <w:t xml:space="preserve">].</w:t>
      </w:r>
    </w:p>
    <w:p>
      <w:pPr>
        <w:pStyle w:val="Compact"/>
        <w:numPr>
          <w:ilvl w:val="0"/>
          <w:numId w:val="1010"/>
        </w:numPr>
      </w:pPr>
      <w:r>
        <w:rPr>
          <w:b/>
          <w:bCs/>
        </w:rPr>
        <w:t xml:space="preserve">China:</w:t>
      </w:r>
      <w:r>
        <w:t xml:space="preserve"> </w:t>
      </w:r>
      <w:r>
        <w:t xml:space="preserve">about 25% of global data center electricity (2024) [</w:t>
      </w:r>
      <w:hyperlink w:anchor="src-S13" w:history="1">
        <w:r>
          <w:rPr>
            <w:rStyle w:val="SourceLink"/>
          </w:rPr>
          <w:t xml:space="preserve">S13</w:t>
        </w:r>
      </w:hyperlink>
      <w:r>
        <w:t xml:space="preserve">]; its best open AI models are about 12 points behind the US leaders [</w:t>
      </w:r>
      <w:hyperlink w:anchor="src-S7" w:history="1">
        <w:r>
          <w:rPr>
            <w:rStyle w:val="SourceLink"/>
          </w:rPr>
          <w:t xml:space="preserve">S7</w:t>
        </w:r>
      </w:hyperlink>
      <w:r>
        <w:t xml:space="preserve">].</w:t>
      </w:r>
    </w:p>
    <w:p>
      <w:pPr>
        <w:pStyle w:val="Compact"/>
        <w:numPr>
          <w:ilvl w:val="1"/>
          <w:numId w:val="1011"/>
        </w:numPr>
      </w:pPr>
      <w:r>
        <w:rPr>
          <w:b/>
          <w:bCs/>
          <w:i/>
          <w:iCs/>
        </w:rPr>
        <w:t xml:space="preserve">Classification of the 12 points:</w:t>
      </w:r>
      <w:r>
        <w:t xml:space="preserve"> </w:t>
      </w:r>
      <w:r>
        <w:t xml:space="preserve">On the</w:t>
      </w:r>
      <w:r>
        <w:t xml:space="preserve"> </w:t>
      </w:r>
      <w:hyperlink w:anchor="gl-artificial-analysis" w:history="1">
        <w:r>
          <w:rPr>
            <w:rStyle w:val="GlossaryLink"/>
          </w:rPr>
          <w:t xml:space="preserve">Artificial Analysis</w:t>
        </w:r>
      </w:hyperlink>
      <w:r>
        <w:t xml:space="preserve"> </w:t>
      </w:r>
      <w:r>
        <w:t xml:space="preserve">index, the best Chinese model (46 points) reaches about 80% of the leader’s score (58) and is 7 points behind the next US models (53) [</w:t>
      </w:r>
      <w:hyperlink w:anchor="src-S7" w:history="1">
        <w:r>
          <w:rPr>
            <w:rStyle w:val="SourceLink"/>
          </w:rPr>
          <w:t xml:space="preserve">S7</w:t>
        </w:r>
      </w:hyperlink>
      <w:r>
        <w:t xml:space="preserve">]. That is a clear but moderate gap. It is not stable: scores change between index versions (Kimi K3: 57 points in July, 44 now [</w:t>
      </w:r>
      <w:hyperlink w:anchor="src-S7" w:history="1">
        <w:r>
          <w:rPr>
            <w:rStyle w:val="SourceLink"/>
          </w:rPr>
          <w:t xml:space="preserve">S7</w:t>
        </w:r>
      </w:hyperlink>
      <w:r>
        <w:t xml:space="preserve">]), and other measures show an even smaller gap – according to Stanford’s AI Index 2026, the top US model led the top Chinese model by only 2.7% in March 2026 [</w:t>
      </w:r>
      <w:hyperlink w:anchor="src-S120" w:history="1">
        <w:r>
          <w:rPr>
            <w:rStyle w:val="SourceLink"/>
          </w:rPr>
          <w:t xml:space="preserve">S120</w:t>
        </w:r>
      </w:hyperlink>
      <w:r>
        <w:t xml:space="preserve">].</w:t>
      </w:r>
      <w:r>
        <w:t xml:space="preserve"> </w:t>
      </w:r>
      <w:r>
        <w:rPr>
          <w:b/>
          <w:bCs/>
        </w:rPr>
        <w:t xml:space="preserve">Estimate: Chinese models lag moderately – not strongly; by some measures only slightly.</w:t>
      </w:r>
    </w:p>
    <w:bookmarkEnd w:id="30"/>
    <w:bookmarkStart w:id="84" w:name="a7"/>
    <w:p>
      <w:pPr>
        <w:pStyle w:val="Heading2"/>
      </w:pPr>
      <w:r>
        <w:t xml:space="preserve">A7 Glossary – Key Terms</w:t>
      </w:r>
    </w:p>
    <w:p>
      <w:pPr>
        <w:pStyle w:val="Hint"/>
      </w:pPr>
      <w:r>
        <w:rPr>
          <w:i/>
          <w:iCs/>
        </w:rPr>
        <w:t xml:space="preserve">Terms with a dotted underline in the text link here. In Word, Alt + ← (Windows) or Cmd + [ (Mac) takes you back to where you were.</w:t>
      </w:r>
    </w:p>
    <w:p>
      <w:pPr>
        <w:pStyle w:val="Glossary"/>
      </w:pPr>
      <w:bookmarkStart w:id="31" w:name="gl-aep"/>
      <w:r>
        <w:rPr>
          <w:b/>
          <w:bCs/>
        </w:rPr>
        <w:t xml:space="preserve">AEP / AEP Ohio</w:t>
      </w:r>
      <w:bookmarkEnd w:id="31"/>
      <w:r>
        <w:t xml:space="preserve"> </w:t>
      </w:r>
      <w:r>
        <w:t xml:space="preserve">= American Electric Power, one of the largest US electric utilities (more than 5 million customers in 11 states, headquartered in Columbus, Ohio). AEP Ohio is its Ohio branch [</w:t>
      </w:r>
      <w:hyperlink w:anchor="src-S79" w:history="1">
        <w:r>
          <w:rPr>
            <w:rStyle w:val="SourceLink"/>
          </w:rPr>
          <w:t xml:space="preserve">S79</w:t>
        </w:r>
      </w:hyperlink>
      <w:r>
        <w:t xml:space="preserve">].</w:t>
      </w:r>
    </w:p>
    <w:p>
      <w:pPr>
        <w:pStyle w:val="Glossary"/>
      </w:pPr>
      <w:bookmarkStart w:id="32" w:name="gl-artificial-analysis"/>
      <w:r>
        <w:rPr>
          <w:b/>
          <w:bCs/>
        </w:rPr>
        <w:t xml:space="preserve">Artificial Analysis</w:t>
      </w:r>
      <w:bookmarkEnd w:id="32"/>
      <w:r>
        <w:t xml:space="preserve"> </w:t>
      </w:r>
      <w:r>
        <w:t xml:space="preserve">= Independent benchmarking company for AI models (San Francisco). Its “Intelligence Index” ranks AI models; scores change between index versions [</w:t>
      </w:r>
      <w:hyperlink w:anchor="src-S7" w:history="1">
        <w:r>
          <w:rPr>
            <w:rStyle w:val="SourceLink"/>
          </w:rPr>
          <w:t xml:space="preserve">S7</w:t>
        </w:r>
      </w:hyperlink>
      <w:r>
        <w:t xml:space="preserve">].</w:t>
      </w:r>
    </w:p>
    <w:p>
      <w:pPr>
        <w:pStyle w:val="Glossary"/>
      </w:pPr>
      <w:bookmarkStart w:id="33" w:name="gl-bnef"/>
      <w:r>
        <w:rPr>
          <w:b/>
          <w:bCs/>
        </w:rPr>
        <w:t xml:space="preserve">BloombergNEF</w:t>
      </w:r>
      <w:bookmarkEnd w:id="33"/>
      <w:r>
        <w:t xml:space="preserve"> </w:t>
      </w:r>
      <w:r>
        <w:t xml:space="preserve">= The energy research service of the financial data company Bloomberg [</w:t>
      </w:r>
      <w:hyperlink w:anchor="src-S96" w:history="1">
        <w:r>
          <w:rPr>
            <w:rStyle w:val="SourceLink"/>
          </w:rPr>
          <w:t xml:space="preserve">S96</w:t>
        </w:r>
      </w:hyperlink>
      <w:r>
        <w:t xml:space="preserve">].</w:t>
      </w:r>
    </w:p>
    <w:p>
      <w:pPr>
        <w:pStyle w:val="Glossary"/>
      </w:pPr>
      <w:bookmarkStart w:id="34" w:name="gl-caisi"/>
      <w:r>
        <w:rPr>
          <w:b/>
          <w:bCs/>
        </w:rPr>
        <w:t xml:space="preserve">CAISI / NIST</w:t>
      </w:r>
      <w:bookmarkEnd w:id="34"/>
      <w:r>
        <w:t xml:space="preserve"> </w:t>
      </w:r>
      <w:r>
        <w:t xml:space="preserve">= The Center for AI Standards and Innovation (CAISI) at the National Institute of Standards and Technology (NIST, part of the US Department of Commerce) – the US government’s AI testing center [</w:t>
      </w:r>
      <w:hyperlink w:anchor="src-S8" w:history="1">
        <w:r>
          <w:rPr>
            <w:rStyle w:val="SourceLink"/>
          </w:rPr>
          <w:t xml:space="preserve">S8</w:t>
        </w:r>
      </w:hyperlink>
      <w:r>
        <w:t xml:space="preserve">].</w:t>
      </w:r>
    </w:p>
    <w:p>
      <w:pPr>
        <w:pStyle w:val="Glossary"/>
      </w:pPr>
      <w:bookmarkStart w:id="35" w:name="gl-capacity-auction"/>
      <w:r>
        <w:rPr>
          <w:b/>
          <w:bCs/>
        </w:rPr>
        <w:t xml:space="preserve">Capacity auction (PJM)</w:t>
      </w:r>
      <w:bookmarkEnd w:id="35"/>
      <w:r>
        <w:t xml:space="preserve">: PJM’s auction (officially the “Base Residual Auction”) in which power plants are paid in advance to be available (“on standby”) when they are needed. The more demand is expected, the higher the price. The price applies to the whole region, and the costs are passed on to all customers through their electricity bills [</w:t>
      </w:r>
      <w:hyperlink w:anchor="src-S14" w:history="1">
        <w:r>
          <w:rPr>
            <w:rStyle w:val="SourceLink"/>
          </w:rPr>
          <w:t xml:space="preserve">S14</w:t>
        </w:r>
      </w:hyperlink>
      <w:r>
        <w:t xml:space="preserve">]. Example: the July 2026 auction bought capacity for June 2028 to May 2029 [</w:t>
      </w:r>
      <w:hyperlink w:anchor="src-S107" w:history="1">
        <w:r>
          <w:rPr>
            <w:rStyle w:val="SourceLink"/>
          </w:rPr>
          <w:t xml:space="preserve">S107</w:t>
        </w:r>
      </w:hyperlink>
      <w:r>
        <w:t xml:space="preserve">].</w:t>
      </w:r>
    </w:p>
    <w:p>
      <w:pPr>
        <w:pStyle w:val="Glossary"/>
      </w:pPr>
      <w:bookmarkStart w:id="36" w:name="gl-capacity-costs"/>
      <w:r>
        <w:rPr>
          <w:b/>
          <w:bCs/>
        </w:rPr>
        <w:t xml:space="preserve">Capacity costs (“data centers added $X”)</w:t>
      </w:r>
      <w:bookmarkEnd w:id="36"/>
      <w:r>
        <w:t xml:space="preserve">: What customers pay for this standby capacity. “Data centers added $X” means: the official market monitor recalculated each auction as if there were no data center demand; the difference to the real result is what data centers added [</w:t>
      </w:r>
      <w:hyperlink w:anchor="src-S16" w:history="1">
        <w:r>
          <w:rPr>
            <w:rStyle w:val="SourceLink"/>
          </w:rPr>
          <w:t xml:space="preserve">S16</w:t>
        </w:r>
      </w:hyperlink>
      <w:r>
        <w:t xml:space="preserve">,</w:t>
      </w:r>
      <w:r>
        <w:t xml:space="preserve"> </w:t>
      </w:r>
      <w:hyperlink w:anchor="src-S42" w:history="1">
        <w:r>
          <w:rPr>
            <w:rStyle w:val="SourceLink"/>
          </w:rPr>
          <w:t xml:space="preserve">S42</w:t>
        </w:r>
      </w:hyperlink>
      <w:r>
        <w:t xml:space="preserve">].</w:t>
      </w:r>
    </w:p>
    <w:p>
      <w:pPr>
        <w:pStyle w:val="Glossary"/>
      </w:pPr>
      <w:bookmarkStart w:id="37" w:name="gl-claw-back"/>
      <w:r>
        <w:rPr>
          <w:b/>
          <w:bCs/>
        </w:rPr>
        <w:t xml:space="preserve">Claw-back</w:t>
      </w:r>
      <w:bookmarkEnd w:id="37"/>
      <w:r>
        <w:t xml:space="preserve">: A clause in a subsidy deal: if a company does not keep its promises (for example on jobs), it must pay the money back. Example: Washington state’s data center tax break requires family-wage jobs or repayment [</w:t>
      </w:r>
      <w:hyperlink w:anchor="src-S118" w:history="1">
        <w:r>
          <w:rPr>
            <w:rStyle w:val="SourceLink"/>
          </w:rPr>
          <w:t xml:space="preserve">S118</w:t>
        </w:r>
      </w:hyperlink>
      <w:r>
        <w:t xml:space="preserve">].</w:t>
      </w:r>
    </w:p>
    <w:p>
      <w:pPr>
        <w:pStyle w:val="Glossary"/>
      </w:pPr>
      <w:bookmarkStart w:id="38" w:name="gl-clean-air-act"/>
      <w:r>
        <w:rPr>
          <w:b/>
          <w:bCs/>
        </w:rPr>
        <w:t xml:space="preserve">Clean Air Act / “major source”</w:t>
      </w:r>
      <w:bookmarkEnd w:id="38"/>
      <w:r>
        <w:t xml:space="preserve">: The federal law on air pollution. A facility that can emit 100 tons of a pollutant per year counts as a “major source” and needs the strictest permit [</w:t>
      </w:r>
      <w:hyperlink w:anchor="src-S93" w:history="1">
        <w:r>
          <w:rPr>
            <w:rStyle w:val="SourceLink"/>
          </w:rPr>
          <w:t xml:space="preserve">S93</w:t>
        </w:r>
      </w:hyperlink>
      <w:r>
        <w:t xml:space="preserve">].</w:t>
      </w:r>
    </w:p>
    <w:p>
      <w:pPr>
        <w:pStyle w:val="Glossary"/>
      </w:pPr>
      <w:bookmarkStart w:id="39" w:name="gl-colocation"/>
      <w:r>
        <w:rPr>
          <w:b/>
          <w:bCs/>
        </w:rPr>
        <w:t xml:space="preserve">Colocation data center</w:t>
      </w:r>
      <w:bookmarkEnd w:id="39"/>
      <w:r>
        <w:t xml:space="preserve">: A data center whose operator rents space, power and cooling to many different customers – unlike a hyperscale campus, which is usually built for one large company (general definition).</w:t>
      </w:r>
    </w:p>
    <w:p>
      <w:pPr>
        <w:pStyle w:val="Glossary"/>
      </w:pPr>
      <w:bookmarkStart w:id="40" w:name="gl-colossus"/>
      <w:r>
        <w:rPr>
          <w:b/>
          <w:bCs/>
        </w:rPr>
        <w:t xml:space="preserve">Colossus (xAI)</w:t>
      </w:r>
      <w:bookmarkEnd w:id="40"/>
      <w:r>
        <w:t xml:space="preserve">: Elon Musk’s AI supercomputer in Memphis, Tennessee, built by his company xAI: about 100,000 computer chips; the Tennessee Valley Authority approved 150 MW of grid power [</w:t>
      </w:r>
      <w:hyperlink w:anchor="src-S40" w:history="1">
        <w:r>
          <w:rPr>
            <w:rStyle w:val="SourceLink"/>
          </w:rPr>
          <w:t xml:space="preserve">S40</w:t>
        </w:r>
      </w:hyperlink>
      <w:r>
        <w:t xml:space="preserve">].</w:t>
      </w:r>
    </w:p>
    <w:p>
      <w:pPr>
        <w:pStyle w:val="Glossary"/>
      </w:pPr>
      <w:bookmarkStart w:id="41" w:name="glossary-data-center"/>
      <w:r>
        <w:rPr>
          <w:b/>
          <w:bCs/>
        </w:rPr>
        <w:t xml:space="preserve">Data center</w:t>
      </w:r>
      <w:bookmarkEnd w:id="41"/>
      <w:r>
        <w:t xml:space="preserve">: See the definition in A3 (ENERGY STAR / US EPA) [</w:t>
      </w:r>
      <w:hyperlink w:anchor="src-S119" w:history="1">
        <w:r>
          <w:rPr>
            <w:rStyle w:val="SourceLink"/>
          </w:rPr>
          <w:t xml:space="preserve">S119</w:t>
        </w:r>
      </w:hyperlink>
      <w:r>
        <w:t xml:space="preserve">].</w:t>
      </w:r>
      <w:r>
        <w:t xml:space="preserve"> </w:t>
      </w:r>
      <w:hyperlink w:anchor="a3" w:history="1">
        <w:r>
          <w:rPr>
            <w:rStyle w:val="NavLinkChar"/>
          </w:rPr>
          <w:t xml:space="preserve">→ A3</w:t>
        </w:r>
      </w:hyperlink>
    </w:p>
    <w:p>
      <w:pPr>
        <w:pStyle w:val="Glossary"/>
      </w:pPr>
      <w:bookmarkStart w:id="42" w:name="gl-deepseek"/>
      <w:r>
        <w:rPr>
          <w:b/>
          <w:bCs/>
        </w:rPr>
        <w:t xml:space="preserve">DeepSeek</w:t>
      </w:r>
      <w:bookmarkEnd w:id="42"/>
      <w:r>
        <w:t xml:space="preserve"> </w:t>
      </w:r>
      <w:r>
        <w:t xml:space="preserve">= Chinese AI company. The US government’s AI testing center (CAISI at NIST) found that its models followed malicious instructions far more often than US models [</w:t>
      </w:r>
      <w:hyperlink w:anchor="src-S8" w:history="1">
        <w:r>
          <w:rPr>
            <w:rStyle w:val="SourceLink"/>
          </w:rPr>
          <w:t xml:space="preserve">S8</w:t>
        </w:r>
      </w:hyperlink>
      <w:r>
        <w:t xml:space="preserve">].</w:t>
      </w:r>
    </w:p>
    <w:p>
      <w:pPr>
        <w:pStyle w:val="Glossary"/>
      </w:pPr>
      <w:bookmarkStart w:id="43" w:name="gl-eei"/>
      <w:r>
        <w:rPr>
          <w:b/>
          <w:bCs/>
        </w:rPr>
        <w:t xml:space="preserve">EEI (Edison Electric Institute)</w:t>
      </w:r>
      <w:bookmarkEnd w:id="43"/>
      <w:r>
        <w:t xml:space="preserve"> </w:t>
      </w:r>
      <w:r>
        <w:t xml:space="preserve">= The trade association of investor-owned US electric companies. It keeps a list of the states with special tariffs for large customers [</w:t>
      </w:r>
      <w:hyperlink w:anchor="src-S27" w:history="1">
        <w:r>
          <w:rPr>
            <w:rStyle w:val="SourceLink"/>
          </w:rPr>
          <w:t xml:space="preserve">S27</w:t>
        </w:r>
      </w:hyperlink>
      <w:r>
        <w:t xml:space="preserve">].</w:t>
      </w:r>
    </w:p>
    <w:p>
      <w:pPr>
        <w:pStyle w:val="Glossary"/>
      </w:pPr>
      <w:bookmarkStart w:id="44" w:name="gl-eia"/>
      <w:r>
        <w:rPr>
          <w:b/>
          <w:bCs/>
        </w:rPr>
        <w:t xml:space="preserve">EIA</w:t>
      </w:r>
      <w:bookmarkEnd w:id="44"/>
      <w:r>
        <w:t xml:space="preserve"> </w:t>
      </w:r>
      <w:r>
        <w:t xml:space="preserve">= US Energy Information Administration, the statistics agency of the US Department of Energy [</w:t>
      </w:r>
      <w:hyperlink w:anchor="src-S87" w:history="1">
        <w:r>
          <w:rPr>
            <w:rStyle w:val="SourceLink"/>
          </w:rPr>
          <w:t xml:space="preserve">S87</w:t>
        </w:r>
      </w:hyperlink>
      <w:r>
        <w:t xml:space="preserve">,</w:t>
      </w:r>
      <w:r>
        <w:t xml:space="preserve"> </w:t>
      </w:r>
      <w:hyperlink w:anchor="src-S99" w:history="1">
        <w:r>
          <w:rPr>
            <w:rStyle w:val="SourceLink"/>
          </w:rPr>
          <w:t xml:space="preserve">S99</w:t>
        </w:r>
      </w:hyperlink>
      <w:r>
        <w:t xml:space="preserve">].</w:t>
      </w:r>
    </w:p>
    <w:p>
      <w:pPr>
        <w:pStyle w:val="Glossary"/>
      </w:pPr>
      <w:bookmarkStart w:id="45" w:name="gl-ember"/>
      <w:r>
        <w:rPr>
          <w:b/>
          <w:bCs/>
        </w:rPr>
        <w:t xml:space="preserve">Ember</w:t>
      </w:r>
      <w:bookmarkEnd w:id="45"/>
      <w:r>
        <w:t xml:space="preserve"> </w:t>
      </w:r>
      <w:r>
        <w:t xml:space="preserve">= Independent energy think tank that publishes electricity data for all countries (source of the fossil-share figures) [</w:t>
      </w:r>
      <w:hyperlink w:anchor="src-S64" w:history="1">
        <w:r>
          <w:rPr>
            <w:rStyle w:val="SourceLink"/>
          </w:rPr>
          <w:t xml:space="preserve">S64</w:t>
        </w:r>
      </w:hyperlink>
      <w:r>
        <w:t xml:space="preserve">].</w:t>
      </w:r>
    </w:p>
    <w:p>
      <w:pPr>
        <w:pStyle w:val="Glossary"/>
      </w:pPr>
      <w:bookmarkStart w:id="46" w:name="gl-entergy"/>
      <w:r>
        <w:rPr>
          <w:b/>
          <w:bCs/>
        </w:rPr>
        <w:t xml:space="preserve">Entergy</w:t>
      </w:r>
      <w:bookmarkEnd w:id="46"/>
      <w:r>
        <w:t xml:space="preserve"> </w:t>
      </w:r>
      <w:r>
        <w:t xml:space="preserve">= Utility (power company) in Louisiana and neighboring states; it builds gas plants for Meta’s “Hyperion” campus [</w:t>
      </w:r>
      <w:hyperlink w:anchor="src-S50" w:history="1">
        <w:r>
          <w:rPr>
            <w:rStyle w:val="SourceLink"/>
          </w:rPr>
          <w:t xml:space="preserve">S50</w:t>
        </w:r>
      </w:hyperlink>
      <w:r>
        <w:t xml:space="preserve">].</w:t>
      </w:r>
    </w:p>
    <w:p>
      <w:pPr>
        <w:pStyle w:val="Glossary"/>
      </w:pPr>
      <w:bookmarkStart w:id="47" w:name="gl-epa"/>
      <w:r>
        <w:rPr>
          <w:b/>
          <w:bCs/>
        </w:rPr>
        <w:t xml:space="preserve">EPA</w:t>
      </w:r>
      <w:bookmarkEnd w:id="47"/>
      <w:r>
        <w:t xml:space="preserve"> </w:t>
      </w:r>
      <w:r>
        <w:t xml:space="preserve">= US Environmental Protection Agency, the federal agency for environmental protection. In January 2026 it clarified that large gas turbines, like those at xAI’s site near Memphis, need a permit under the Clean Air Act [</w:t>
      </w:r>
      <w:hyperlink w:anchor="src-S29" w:history="1">
        <w:r>
          <w:rPr>
            <w:rStyle w:val="SourceLink"/>
          </w:rPr>
          <w:t xml:space="preserve">S29</w:t>
        </w:r>
      </w:hyperlink>
      <w:r>
        <w:t xml:space="preserve">].</w:t>
      </w:r>
    </w:p>
    <w:p>
      <w:pPr>
        <w:pStyle w:val="Glossary"/>
      </w:pPr>
      <w:bookmarkStart w:id="48" w:name="gl-ercot"/>
      <w:r>
        <w:rPr>
          <w:b/>
          <w:bCs/>
        </w:rPr>
        <w:t xml:space="preserve">ERCOT</w:t>
      </w:r>
      <w:bookmarkEnd w:id="48"/>
      <w:r>
        <w:t xml:space="preserve"> </w:t>
      </w:r>
      <w:r>
        <w:t xml:space="preserve">= Electric Reliability Council of Texas, the operator of most of Texas’ power grid. Texas has no capacity auction (an “energy-only” market) [</w:t>
      </w:r>
      <w:hyperlink w:anchor="src-S82" w:history="1">
        <w:r>
          <w:rPr>
            <w:rStyle w:val="SourceLink"/>
          </w:rPr>
          <w:t xml:space="preserve">S82</w:t>
        </w:r>
      </w:hyperlink>
      <w:r>
        <w:t xml:space="preserve">].</w:t>
      </w:r>
    </w:p>
    <w:p>
      <w:pPr>
        <w:pStyle w:val="Glossary"/>
      </w:pPr>
      <w:bookmarkStart w:id="49" w:name="gl-ferc"/>
      <w:r>
        <w:rPr>
          <w:b/>
          <w:bCs/>
        </w:rPr>
        <w:t xml:space="preserve">FERC</w:t>
      </w:r>
      <w:bookmarkEnd w:id="49"/>
      <w:r>
        <w:t xml:space="preserve"> </w:t>
      </w:r>
      <w:r>
        <w:t xml:space="preserve">= Federal Energy Regulatory Commission, the federal agency that oversees interstate power lines and wholesale electricity markets [</w:t>
      </w:r>
      <w:hyperlink w:anchor="src-S28" w:history="1">
        <w:r>
          <w:rPr>
            <w:rStyle w:val="SourceLink"/>
          </w:rPr>
          <w:t xml:space="preserve">S28</w:t>
        </w:r>
      </w:hyperlink>
      <w:r>
        <w:t xml:space="preserve">].</w:t>
      </w:r>
    </w:p>
    <w:p>
      <w:pPr>
        <w:pStyle w:val="Glossary"/>
      </w:pPr>
      <w:bookmarkStart w:id="50" w:name="gl-floodlight"/>
      <w:r>
        <w:rPr>
          <w:b/>
          <w:bCs/>
        </w:rPr>
        <w:t xml:space="preserve">Floodlight</w:t>
      </w:r>
      <w:bookmarkEnd w:id="50"/>
      <w:r>
        <w:t xml:space="preserve"> </w:t>
      </w:r>
      <w:r>
        <w:t xml:space="preserve">= Independent, nonpartisan nonprofit newsroom that investigates who is holding back climate action; it exposed the unpermitted generators in Vineland, New Jersey [</w:t>
      </w:r>
      <w:hyperlink w:anchor="src-S92" w:history="1">
        <w:r>
          <w:rPr>
            <w:rStyle w:val="SourceLink"/>
          </w:rPr>
          <w:t xml:space="preserve">S92</w:t>
        </w:r>
      </w:hyperlink>
      <w:r>
        <w:t xml:space="preserve">].</w:t>
      </w:r>
    </w:p>
    <w:p>
      <w:pPr>
        <w:pStyle w:val="Glossary"/>
      </w:pPr>
      <w:bookmarkStart w:id="51" w:name="gl-gao"/>
      <w:r>
        <w:rPr>
          <w:b/>
          <w:bCs/>
        </w:rPr>
        <w:t xml:space="preserve">GAO</w:t>
      </w:r>
      <w:bookmarkEnd w:id="51"/>
      <w:r>
        <w:t xml:space="preserve"> </w:t>
      </w:r>
      <w:r>
        <w:t xml:space="preserve">= Government Accountability Office, the independent audit agency of the US Congress [</w:t>
      </w:r>
      <w:hyperlink w:anchor="src-S100" w:history="1">
        <w:r>
          <w:rPr>
            <w:rStyle w:val="SourceLink"/>
          </w:rPr>
          <w:t xml:space="preserve">S100</w:t>
        </w:r>
      </w:hyperlink>
      <w:r>
        <w:t xml:space="preserve">].</w:t>
      </w:r>
    </w:p>
    <w:p>
      <w:pPr>
        <w:pStyle w:val="Glossary"/>
      </w:pPr>
      <w:bookmarkStart w:id="52" w:name="gl-gem"/>
      <w:r>
        <w:rPr>
          <w:b/>
          <w:bCs/>
        </w:rPr>
        <w:t xml:space="preserve">Global Energy Monitor</w:t>
      </w:r>
      <w:bookmarkEnd w:id="52"/>
      <w:r>
        <w:t xml:space="preserve"> </w:t>
      </w:r>
      <w:r>
        <w:t xml:space="preserve">= Independent research organization that tracks power plant projects worldwide [</w:t>
      </w:r>
      <w:hyperlink w:anchor="src-S49" w:history="1">
        <w:r>
          <w:rPr>
            <w:rStyle w:val="SourceLink"/>
          </w:rPr>
          <w:t xml:space="preserve">S49</w:t>
        </w:r>
      </w:hyperlink>
      <w:r>
        <w:t xml:space="preserve">].</w:t>
      </w:r>
    </w:p>
    <w:p>
      <w:pPr>
        <w:pStyle w:val="Glossary"/>
      </w:pPr>
      <w:bookmarkStart w:id="53" w:name="gl-gjf"/>
      <w:r>
        <w:rPr>
          <w:b/>
          <w:bCs/>
        </w:rPr>
        <w:t xml:space="preserve">Good Jobs First</w:t>
      </w:r>
      <w:bookmarkEnd w:id="53"/>
      <w:r>
        <w:t xml:space="preserve"> </w:t>
      </w:r>
      <w:r>
        <w:t xml:space="preserve">= Nonprofit research center in Washington, D.C., that tracks government subsidies to companies [</w:t>
      </w:r>
      <w:hyperlink w:anchor="src-S59" w:history="1">
        <w:r>
          <w:rPr>
            <w:rStyle w:val="SourceLink"/>
          </w:rPr>
          <w:t xml:space="preserve">S59</w:t>
        </w:r>
      </w:hyperlink>
      <w:r>
        <w:t xml:space="preserve">].</w:t>
      </w:r>
    </w:p>
    <w:p>
      <w:pPr>
        <w:pStyle w:val="Glossary"/>
      </w:pPr>
      <w:bookmarkStart w:id="54" w:name="gl-harc"/>
      <w:r>
        <w:rPr>
          <w:b/>
          <w:bCs/>
        </w:rPr>
        <w:t xml:space="preserve">HARC</w:t>
      </w:r>
      <w:bookmarkEnd w:id="54"/>
      <w:r>
        <w:t xml:space="preserve"> </w:t>
      </w:r>
      <w:r>
        <w:t xml:space="preserve">= Houston Advanced Research Center, a nonprofit research institute in Texas [</w:t>
      </w:r>
      <w:hyperlink w:anchor="src-S52" w:history="1">
        <w:r>
          <w:rPr>
            <w:rStyle w:val="SourceLink"/>
          </w:rPr>
          <w:t xml:space="preserve">S52</w:t>
        </w:r>
      </w:hyperlink>
      <w:r>
        <w:t xml:space="preserve">].</w:t>
      </w:r>
    </w:p>
    <w:p>
      <w:pPr>
        <w:pStyle w:val="Glossary"/>
      </w:pPr>
      <w:bookmarkStart w:id="55" w:name="glossary-hyperscale"/>
      <w:r>
        <w:rPr>
          <w:b/>
          <w:bCs/>
        </w:rPr>
        <w:t xml:space="preserve">Hyperscale data center</w:t>
      </w:r>
      <w:bookmarkEnd w:id="55"/>
      <w:r>
        <w:t xml:space="preserve">: See the definitions in A1 (IDC: at least 5,000 servers on at least 10,000 sq ft) [</w:t>
      </w:r>
      <w:hyperlink w:anchor="src-S2" w:history="1">
        <w:r>
          <w:rPr>
            <w:rStyle w:val="SourceLink"/>
          </w:rPr>
          <w:t xml:space="preserve">S2</w:t>
        </w:r>
      </w:hyperlink>
      <w:r>
        <w:t xml:space="preserve">].</w:t>
      </w:r>
      <w:r>
        <w:t xml:space="preserve"> </w:t>
      </w:r>
      <w:hyperlink w:anchor="a1" w:history="1">
        <w:r>
          <w:rPr>
            <w:rStyle w:val="NavLinkChar"/>
          </w:rPr>
          <w:t xml:space="preserve">→ A1</w:t>
        </w:r>
      </w:hyperlink>
    </w:p>
    <w:p>
      <w:pPr>
        <w:pStyle w:val="Glossary"/>
      </w:pPr>
      <w:bookmarkStart w:id="56" w:name="gl-idc"/>
      <w:r>
        <w:rPr>
          <w:b/>
          <w:bCs/>
        </w:rPr>
        <w:t xml:space="preserve">IDC</w:t>
      </w:r>
      <w:bookmarkEnd w:id="56"/>
      <w:r>
        <w:t xml:space="preserve"> </w:t>
      </w:r>
      <w:r>
        <w:t xml:space="preserve">= International Data Corporation, a market research firm. Its definition of a hyperscale data center is used in this dossier [</w:t>
      </w:r>
      <w:hyperlink w:anchor="src-S2" w:history="1">
        <w:r>
          <w:rPr>
            <w:rStyle w:val="SourceLink"/>
          </w:rPr>
          <w:t xml:space="preserve">S2</w:t>
        </w:r>
      </w:hyperlink>
      <w:r>
        <w:t xml:space="preserve">].</w:t>
      </w:r>
    </w:p>
    <w:p>
      <w:pPr>
        <w:pStyle w:val="Glossary"/>
      </w:pPr>
      <w:bookmarkStart w:id="57" w:name="gl-iea"/>
      <w:r>
        <w:rPr>
          <w:b/>
          <w:bCs/>
        </w:rPr>
        <w:t xml:space="preserve">IEA</w:t>
      </w:r>
      <w:bookmarkEnd w:id="57"/>
      <w:r>
        <w:t xml:space="preserve"> </w:t>
      </w:r>
      <w:r>
        <w:t xml:space="preserve">= International Energy Agency, the intergovernmental energy organization in Paris, of which the US is a member [</w:t>
      </w:r>
      <w:hyperlink w:anchor="src-S13" w:history="1">
        <w:r>
          <w:rPr>
            <w:rStyle w:val="SourceLink"/>
          </w:rPr>
          <w:t xml:space="preserve">S13</w:t>
        </w:r>
      </w:hyperlink>
      <w:r>
        <w:t xml:space="preserve">].</w:t>
      </w:r>
    </w:p>
    <w:p>
      <w:pPr>
        <w:pStyle w:val="Glossary"/>
      </w:pPr>
      <w:bookmarkStart w:id="58" w:name="gl-ipcc"/>
      <w:r>
        <w:rPr>
          <w:b/>
          <w:bCs/>
        </w:rPr>
        <w:t xml:space="preserve">IPCC</w:t>
      </w:r>
      <w:bookmarkEnd w:id="58"/>
      <w:r>
        <w:t xml:space="preserve"> </w:t>
      </w:r>
      <w:r>
        <w:t xml:space="preserve">= Intergovernmental Panel on Climate Change, the UN body that assesses climate science [</w:t>
      </w:r>
      <w:hyperlink w:anchor="src-S95" w:history="1">
        <w:r>
          <w:rPr>
            <w:rStyle w:val="SourceLink"/>
          </w:rPr>
          <w:t xml:space="preserve">S95</w:t>
        </w:r>
      </w:hyperlink>
      <w:r>
        <w:t xml:space="preserve">].</w:t>
      </w:r>
    </w:p>
    <w:p>
      <w:pPr>
        <w:pStyle w:val="Glossary"/>
      </w:pPr>
      <w:bookmarkStart w:id="59" w:name="gl-jlarc"/>
      <w:r>
        <w:rPr>
          <w:b/>
          <w:bCs/>
        </w:rPr>
        <w:t xml:space="preserve">JLARC</w:t>
      </w:r>
      <w:bookmarkEnd w:id="59"/>
      <w:r>
        <w:t xml:space="preserve"> </w:t>
      </w:r>
      <w:r>
        <w:t xml:space="preserve">= Joint Legislative Audit and Review Commission, the Virginia General Assembly’s independent audit and evaluation agency [</w:t>
      </w:r>
      <w:hyperlink w:anchor="src-S60" w:history="1">
        <w:r>
          <w:rPr>
            <w:rStyle w:val="SourceLink"/>
          </w:rPr>
          <w:t xml:space="preserve">S60</w:t>
        </w:r>
      </w:hyperlink>
      <w:r>
        <w:t xml:space="preserve">]. (Washington state has an agency with a similar name, the Joint Legislative Audit and Review Committee [</w:t>
      </w:r>
      <w:hyperlink w:anchor="src-S118" w:history="1">
        <w:r>
          <w:rPr>
            <w:rStyle w:val="SourceLink"/>
          </w:rPr>
          <w:t xml:space="preserve">S118</w:t>
        </w:r>
      </w:hyperlink>
      <w:r>
        <w:t xml:space="preserve">].)</w:t>
      </w:r>
    </w:p>
    <w:p>
      <w:pPr>
        <w:pStyle w:val="Glossary"/>
      </w:pPr>
      <w:bookmarkStart w:id="60" w:name="gl-tariff"/>
      <w:r>
        <w:rPr>
          <w:b/>
          <w:bCs/>
        </w:rPr>
        <w:t xml:space="preserve">Large-customer tariff</w:t>
      </w:r>
      <w:bookmarkEnd w:id="60"/>
      <w:r>
        <w:t xml:space="preserve">: A special set of electricity price rules for very large power users such as data centers – for example, they must pay for a minimum share of the capacity they reserve, sign long contracts and pay an exit fee if they leave early (AEP Ohio: at least 85% for 12 years) [</w:t>
      </w:r>
      <w:hyperlink w:anchor="src-S56" w:history="1">
        <w:r>
          <w:rPr>
            <w:rStyle w:val="SourceLink"/>
          </w:rPr>
          <w:t xml:space="preserve">S56</w:t>
        </w:r>
      </w:hyperlink>
      <w:r>
        <w:t xml:space="preserve">]. The goal: the costs of new plants and lines built for them should not land on ordinary households. 25 states have at least one such tariff [</w:t>
      </w:r>
      <w:hyperlink w:anchor="src-S27" w:history="1">
        <w:r>
          <w:rPr>
            <w:rStyle w:val="SourceLink"/>
          </w:rPr>
          <w:t xml:space="preserve">S27</w:t>
        </w:r>
      </w:hyperlink>
      <w:r>
        <w:t xml:space="preserve">].</w:t>
      </w:r>
    </w:p>
    <w:p>
      <w:pPr>
        <w:pStyle w:val="Glossary"/>
      </w:pPr>
      <w:bookmarkStart w:id="61" w:name="gl-lbnl"/>
      <w:r>
        <w:rPr>
          <w:b/>
          <w:bCs/>
        </w:rPr>
        <w:t xml:space="preserve">Lawrence Berkeley National Laboratory (LBNL)</w:t>
      </w:r>
      <w:bookmarkEnd w:id="61"/>
      <w:r>
        <w:t xml:space="preserve"> </w:t>
      </w:r>
      <w:r>
        <w:t xml:space="preserve">= A research lab of the US Department of Energy; it publishes the official US data center energy report [</w:t>
      </w:r>
      <w:hyperlink w:anchor="src-S12" w:history="1">
        <w:r>
          <w:rPr>
            <w:rStyle w:val="SourceLink"/>
          </w:rPr>
          <w:t xml:space="preserve">S12</w:t>
        </w:r>
      </w:hyperlink>
      <w:r>
        <w:t xml:space="preserve">].</w:t>
      </w:r>
    </w:p>
    <w:p>
      <w:pPr>
        <w:pStyle w:val="Glossary"/>
      </w:pPr>
      <w:bookmarkStart w:id="62" w:name="gl-lock-in"/>
      <w:r>
        <w:rPr>
          <w:b/>
          <w:bCs/>
        </w:rPr>
        <w:t xml:space="preserve">Lock-in</w:t>
      </w:r>
      <w:bookmarkEnd w:id="62"/>
      <w:r>
        <w:t xml:space="preserve">: Once a power plant is built, customers pay it off over decades, so it keeps running for decades (see P3, Further explanation).</w:t>
      </w:r>
    </w:p>
    <w:p>
      <w:pPr>
        <w:pStyle w:val="Glossary"/>
      </w:pPr>
      <w:bookmarkStart w:id="63" w:name="gl-miso"/>
      <w:r>
        <w:rPr>
          <w:b/>
          <w:bCs/>
        </w:rPr>
        <w:t xml:space="preserve">MISO</w:t>
      </w:r>
      <w:bookmarkEnd w:id="63"/>
      <w:r>
        <w:t xml:space="preserve"> </w:t>
      </w:r>
      <w:r>
        <w:t xml:space="preserve">= Midcontinent Independent System Operator, the operator of the power grid in the Midwest and parts of the South [</w:t>
      </w:r>
      <w:hyperlink w:anchor="src-S81" w:history="1">
        <w:r>
          <w:rPr>
            <w:rStyle w:val="SourceLink"/>
          </w:rPr>
          <w:t xml:space="preserve">S81</w:t>
        </w:r>
      </w:hyperlink>
      <w:r>
        <w:t xml:space="preserve">].</w:t>
      </w:r>
    </w:p>
    <w:p>
      <w:pPr>
        <w:pStyle w:val="Glossary"/>
      </w:pPr>
      <w:bookmarkStart w:id="64" w:name="gl-monitor"/>
      <w:r>
        <w:rPr>
          <w:b/>
          <w:bCs/>
        </w:rPr>
        <w:t xml:space="preserve">Monitoring Analytics (market monitor)</w:t>
      </w:r>
      <w:bookmarkEnd w:id="64"/>
      <w:r>
        <w:t xml:space="preserve"> </w:t>
      </w:r>
      <w:r>
        <w:t xml:space="preserve">= Monitoring Analytics, LLC, the official Independent Market Monitor for PJM, headed by Joseph Bowring. It is independent of PJM’s management and of the companies trading in the market, works under a contract with PJM’s board and reports to FERC. Its job: watch PJM’s markets for market power, manipulation and design flaws [</w:t>
      </w:r>
      <w:hyperlink w:anchor="src-S42" w:history="1">
        <w:r>
          <w:rPr>
            <w:rStyle w:val="SourceLink"/>
          </w:rPr>
          <w:t xml:space="preserve">S42</w:t>
        </w:r>
      </w:hyperlink>
      <w:r>
        <w:t xml:space="preserve">].</w:t>
      </w:r>
    </w:p>
    <w:p>
      <w:pPr>
        <w:pStyle w:val="Glossary"/>
      </w:pPr>
      <w:bookmarkStart w:id="65" w:name="glossary-moratorium"/>
      <w:r>
        <w:rPr>
          <w:b/>
          <w:bCs/>
        </w:rPr>
        <w:t xml:space="preserve">Moratorium</w:t>
      </w:r>
      <w:bookmarkEnd w:id="65"/>
      <w:r>
        <w:t xml:space="preserve">: See the definition in A2 (Cornell Law School) [</w:t>
      </w:r>
      <w:hyperlink w:anchor="src-S1" w:history="1">
        <w:r>
          <w:rPr>
            <w:rStyle w:val="SourceLink"/>
          </w:rPr>
          <w:t xml:space="preserve">S1</w:t>
        </w:r>
      </w:hyperlink>
      <w:r>
        <w:t xml:space="preserve">].</w:t>
      </w:r>
      <w:r>
        <w:t xml:space="preserve"> </w:t>
      </w:r>
      <w:hyperlink w:anchor="a2" w:history="1">
        <w:r>
          <w:rPr>
            <w:rStyle w:val="NavLinkChar"/>
          </w:rPr>
          <w:t xml:space="preserve">→ A2</w:t>
        </w:r>
      </w:hyperlink>
    </w:p>
    <w:p>
      <w:pPr>
        <w:pStyle w:val="Glossary"/>
      </w:pPr>
      <w:bookmarkStart w:id="66" w:name="gl-units"/>
      <w:r>
        <w:rPr>
          <w:b/>
          <w:bCs/>
        </w:rPr>
        <w:t xml:space="preserve">MW / GW (megawatt / gigawatt)</w:t>
      </w:r>
      <w:bookmarkEnd w:id="66"/>
      <w:r>
        <w:t xml:space="preserve">: Units of electric power. 1 gigawatt (GW) = 1,000 megawatts (MW). For comparison: 150 MW is enough to power about 100,000 homes [</w:t>
      </w:r>
      <w:hyperlink w:anchor="src-S21" w:history="1">
        <w:r>
          <w:rPr>
            <w:rStyle w:val="SourceLink"/>
          </w:rPr>
          <w:t xml:space="preserve">S21</w:t>
        </w:r>
      </w:hyperlink>
      <w:r>
        <w:t xml:space="preserve">].</w:t>
      </w:r>
    </w:p>
    <w:p>
      <w:pPr>
        <w:pStyle w:val="Glossary"/>
      </w:pPr>
      <w:bookmarkStart w:id="67" w:name="gl-nda"/>
      <w:r>
        <w:rPr>
          <w:b/>
          <w:bCs/>
        </w:rPr>
        <w:t xml:space="preserve">NDAs</w:t>
      </w:r>
      <w:bookmarkEnd w:id="67"/>
      <w:r>
        <w:t xml:space="preserve"> </w:t>
      </w:r>
      <w:r>
        <w:t xml:space="preserve">= non-disclosure agreements, i.e. secrecy contracts. Officials sign them before a data center deal and are then not allowed to tell the public who is behind a project or what it plans. NPR (the US public radio network) found 54 NDAs signed by elected officials since early 2024 [</w:t>
      </w:r>
      <w:hyperlink w:anchor="src-S30" w:history="1">
        <w:r>
          <w:rPr>
            <w:rStyle w:val="SourceLink"/>
          </w:rPr>
          <w:t xml:space="preserve">S30</w:t>
        </w:r>
      </w:hyperlink>
      <w:r>
        <w:t xml:space="preserve">].</w:t>
      </w:r>
    </w:p>
    <w:p>
      <w:pPr>
        <w:pStyle w:val="Glossary"/>
      </w:pPr>
      <w:bookmarkStart w:id="68" w:name="gl-nerc"/>
      <w:r>
        <w:rPr>
          <w:b/>
          <w:bCs/>
        </w:rPr>
        <w:t xml:space="preserve">NERC</w:t>
      </w:r>
      <w:bookmarkEnd w:id="68"/>
      <w:r>
        <w:t xml:space="preserve"> </w:t>
      </w:r>
      <w:r>
        <w:t xml:space="preserve">= North American Electric Reliability Corporation, a non-profit organization certified by FERC as the official “Electric Reliability Organization”. It writes the mandatory reliability standards for the power grid and publishes forecasts of whether there will be enough power [</w:t>
      </w:r>
      <w:hyperlink w:anchor="src-S91" w:history="1">
        <w:r>
          <w:rPr>
            <w:rStyle w:val="SourceLink"/>
          </w:rPr>
          <w:t xml:space="preserve">S91</w:t>
        </w:r>
      </w:hyperlink>
      <w:r>
        <w:t xml:space="preserve">,</w:t>
      </w:r>
      <w:r>
        <w:t xml:space="preserve"> </w:t>
      </w:r>
      <w:hyperlink w:anchor="src-S45" w:history="1">
        <w:r>
          <w:rPr>
            <w:rStyle w:val="SourceLink"/>
          </w:rPr>
          <w:t xml:space="preserve">S45</w:t>
        </w:r>
      </w:hyperlink>
      <w:r>
        <w:t xml:space="preserve">].</w:t>
      </w:r>
    </w:p>
    <w:p>
      <w:pPr>
        <w:pStyle w:val="Glossary"/>
      </w:pPr>
      <w:bookmarkStart w:id="69" w:name="gl-nox"/>
      <w:r>
        <w:rPr>
          <w:b/>
          <w:bCs/>
        </w:rPr>
        <w:t xml:space="preserve">NOx (nitrogen oxides) and ground-level ozone</w:t>
      </w:r>
      <w:bookmarkEnd w:id="69"/>
      <w:r>
        <w:t xml:space="preserve">: Burning gas releases nitrogen oxides (NOx). In sunlight they form ground-level ozone – smog – which triggers asthma attacks, especially in children (see P3, Further explanation).</w:t>
      </w:r>
    </w:p>
    <w:p>
      <w:pPr>
        <w:pStyle w:val="Glossary"/>
      </w:pPr>
      <w:bookmarkStart w:id="70" w:name="gl-pew"/>
      <w:r>
        <w:rPr>
          <w:b/>
          <w:bCs/>
        </w:rPr>
        <w:t xml:space="preserve">Pew Research Center</w:t>
      </w:r>
      <w:bookmarkEnd w:id="70"/>
      <w:r>
        <w:t xml:space="preserve"> </w:t>
      </w:r>
      <w:r>
        <w:t xml:space="preserve">= Nonpartisan research institute in Washington, D.C. [</w:t>
      </w:r>
      <w:hyperlink w:anchor="src-S15" w:history="1">
        <w:r>
          <w:rPr>
            <w:rStyle w:val="SourceLink"/>
          </w:rPr>
          <w:t xml:space="preserve">S15</w:t>
        </w:r>
      </w:hyperlink>
      <w:r>
        <w:t xml:space="preserve">].</w:t>
      </w:r>
    </w:p>
    <w:p>
      <w:pPr>
        <w:pStyle w:val="Glossary"/>
      </w:pPr>
      <w:bookmarkStart w:id="71" w:name="gl-pilot"/>
      <w:r>
        <w:rPr>
          <w:b/>
          <w:bCs/>
        </w:rPr>
        <w:t xml:space="preserve">PILOT</w:t>
      </w:r>
      <w:bookmarkEnd w:id="71"/>
      <w:r>
        <w:t xml:space="preserve"> </w:t>
      </w:r>
      <w:r>
        <w:t xml:space="preserve">= Payment in lieu of taxes: a company pays an agreed amount instead of the regular property taxes – usually less [</w:t>
      </w:r>
      <w:hyperlink w:anchor="src-S115" w:history="1">
        <w:r>
          <w:rPr>
            <w:rStyle w:val="SourceLink"/>
          </w:rPr>
          <w:t xml:space="preserve">S115</w:t>
        </w:r>
      </w:hyperlink>
      <w:r>
        <w:t xml:space="preserve">].</w:t>
      </w:r>
    </w:p>
    <w:p>
      <w:pPr>
        <w:pStyle w:val="Glossary"/>
      </w:pPr>
      <w:bookmarkStart w:id="72" w:name="gl-pjm"/>
      <w:r>
        <w:rPr>
          <w:b/>
          <w:bCs/>
        </w:rPr>
        <w:t xml:space="preserve">PJM</w:t>
      </w:r>
      <w:bookmarkEnd w:id="72"/>
      <w:r>
        <w:t xml:space="preserve"> </w:t>
      </w:r>
      <w:r>
        <w:t xml:space="preserve">= PJM Interconnection, the non-profit operator of the largest US power grid, serving about 67 million people in all or parts of 13 states and Washington, D.C. [</w:t>
      </w:r>
      <w:hyperlink w:anchor="src-S14" w:history="1">
        <w:r>
          <w:rPr>
            <w:rStyle w:val="SourceLink"/>
          </w:rPr>
          <w:t xml:space="preserve">S14</w:t>
        </w:r>
      </w:hyperlink>
      <w:r>
        <w:t xml:space="preserve">].</w:t>
      </w:r>
    </w:p>
    <w:p>
      <w:pPr>
        <w:pStyle w:val="Glossary"/>
      </w:pPr>
      <w:bookmarkStart w:id="73" w:name="gl-ppa"/>
      <w:r>
        <w:rPr>
          <w:b/>
          <w:bCs/>
        </w:rPr>
        <w:t xml:space="preserve">PPA (power purchase agreement)</w:t>
      </w:r>
      <w:bookmarkEnd w:id="73"/>
      <w:r>
        <w:t xml:space="preserve">: A long-term contract to buy electricity from a specific power plant, for example a new wind or solar farm; such contracts make new projects bankable [</w:t>
      </w:r>
      <w:hyperlink w:anchor="src-S96" w:history="1">
        <w:r>
          <w:rPr>
            <w:rStyle w:val="SourceLink"/>
          </w:rPr>
          <w:t xml:space="preserve">S96</w:t>
        </w:r>
      </w:hyperlink>
      <w:r>
        <w:t xml:space="preserve">].</w:t>
      </w:r>
    </w:p>
    <w:p>
      <w:pPr>
        <w:pStyle w:val="Glossary"/>
      </w:pPr>
      <w:bookmarkStart w:id="74" w:name="gl-price-cap"/>
      <w:r>
        <w:rPr>
          <w:b/>
          <w:bCs/>
        </w:rPr>
        <w:t xml:space="preserve">Price cap / price collar (PJM)</w:t>
      </w:r>
      <w:bookmarkEnd w:id="74"/>
      <w:r>
        <w:t xml:space="preserve">: The highest price PJM’s capacity auction may reach; together with a minimum price (“floor”) it is called a “price collar”. Since 2026/27: cap about $325, floor about $175 per megawatt-day, approved by FERC after a complaint by Pennsylvania’s governor; currently authorized through the 2029/30 auction [</w:t>
      </w:r>
      <w:hyperlink w:anchor="src-S80" w:history="1">
        <w:r>
          <w:rPr>
            <w:rStyle w:val="SourceLink"/>
          </w:rPr>
          <w:t xml:space="preserve">S80</w:t>
        </w:r>
      </w:hyperlink>
      <w:r>
        <w:t xml:space="preserve">].</w:t>
      </w:r>
    </w:p>
    <w:p>
      <w:pPr>
        <w:pStyle w:val="Glossary"/>
      </w:pPr>
      <w:bookmarkStart w:id="75" w:name="gl-pledge"/>
      <w:r>
        <w:rPr>
          <w:b/>
          <w:bCs/>
        </w:rPr>
        <w:t xml:space="preserve">Ratepayer Protection Pledge</w:t>
      </w:r>
      <w:bookmarkEnd w:id="75"/>
      <w:r>
        <w:t xml:space="preserve">: A pledge to the White House (March 2026) by seven tech companies to build, bring or buy their own power and to pay the full cost of the grid infrastructure they need – a “non-regulatory, voluntary commitment” without enforcement [</w:t>
      </w:r>
      <w:hyperlink w:anchor="src-S26" w:history="1">
        <w:r>
          <w:rPr>
            <w:rStyle w:val="SourceLink"/>
          </w:rPr>
          <w:t xml:space="preserve">S26</w:t>
        </w:r>
      </w:hyperlink>
      <w:r>
        <w:t xml:space="preserve">].</w:t>
      </w:r>
    </w:p>
    <w:p>
      <w:pPr>
        <w:pStyle w:val="Glossary"/>
      </w:pPr>
      <w:bookmarkStart w:id="76" w:name="gl-reserve"/>
      <w:r>
        <w:rPr>
          <w:b/>
          <w:bCs/>
        </w:rPr>
        <w:t xml:space="preserve">Reserve margin (safety buffer)</w:t>
      </w:r>
      <w:bookmarkEnd w:id="76"/>
      <w:r>
        <w:t xml:space="preserve">: Extra power plant capacity above the expected peak demand, so that the lights stay on even if plants fail. PJM targets 20%; in the 2028/29 auction it reached only about 14.7% [</w:t>
      </w:r>
      <w:hyperlink w:anchor="src-S14" w:history="1">
        <w:r>
          <w:rPr>
            <w:rStyle w:val="SourceLink"/>
          </w:rPr>
          <w:t xml:space="preserve">S14</w:t>
        </w:r>
      </w:hyperlink>
      <w:r>
        <w:t xml:space="preserve">].</w:t>
      </w:r>
    </w:p>
    <w:p>
      <w:pPr>
        <w:pStyle w:val="Glossary"/>
      </w:pPr>
      <w:bookmarkStart w:id="77" w:name="gl-semianalysis"/>
      <w:r>
        <w:rPr>
          <w:b/>
          <w:bCs/>
        </w:rPr>
        <w:t xml:space="preserve">SemiAnalysis</w:t>
      </w:r>
      <w:bookmarkEnd w:id="77"/>
      <w:r>
        <w:t xml:space="preserve"> </w:t>
      </w:r>
      <w:r>
        <w:t xml:space="preserve">= Independent research firm that analyzes chips and AI infrastructure, mainly for investors and the tech industry (rather industry-friendly) [</w:t>
      </w:r>
      <w:hyperlink w:anchor="src-S35" w:history="1">
        <w:r>
          <w:rPr>
            <w:rStyle w:val="SourceLink"/>
          </w:rPr>
          <w:t xml:space="preserve">S35</w:t>
        </w:r>
      </w:hyperlink>
      <w:r>
        <w:t xml:space="preserve">].</w:t>
      </w:r>
    </w:p>
    <w:p>
      <w:pPr>
        <w:pStyle w:val="Glossary"/>
      </w:pPr>
      <w:bookmarkStart w:id="78" w:name="gl-show-cause"/>
      <w:r>
        <w:rPr>
          <w:b/>
          <w:bCs/>
        </w:rPr>
        <w:t xml:space="preserve">Show-cause order</w:t>
      </w:r>
      <w:bookmarkEnd w:id="78"/>
      <w:r>
        <w:t xml:space="preserve">: An order by FERC requiring grid operators to justify their existing rules or to propose changes [</w:t>
      </w:r>
      <w:hyperlink w:anchor="src-S28" w:history="1">
        <w:r>
          <w:rPr>
            <w:rStyle w:val="SourceLink"/>
          </w:rPr>
          <w:t xml:space="preserve">S28</w:t>
        </w:r>
      </w:hyperlink>
      <w:r>
        <w:t xml:space="preserve">].</w:t>
      </w:r>
    </w:p>
    <w:p>
      <w:pPr>
        <w:pStyle w:val="Glossary"/>
      </w:pPr>
      <w:bookmarkStart w:id="79" w:name="gl-stargate"/>
      <w:r>
        <w:rPr>
          <w:b/>
          <w:bCs/>
        </w:rPr>
        <w:t xml:space="preserve">Stargate UAE</w:t>
      </w:r>
      <w:bookmarkEnd w:id="79"/>
      <w:r>
        <w:t xml:space="preserve">: A 1-gigawatt AI computing cluster in Abu Dhabi, built by G42 and operated by OpenAI and Oracle – part of a planned 5-gigawatt campus [</w:t>
      </w:r>
      <w:hyperlink w:anchor="src-S3" w:history="1">
        <w:r>
          <w:rPr>
            <w:rStyle w:val="SourceLink"/>
          </w:rPr>
          <w:t xml:space="preserve">S3</w:t>
        </w:r>
      </w:hyperlink>
      <w:r>
        <w:t xml:space="preserve">].</w:t>
      </w:r>
    </w:p>
    <w:p>
      <w:pPr>
        <w:pStyle w:val="Glossary"/>
      </w:pPr>
      <w:bookmarkStart w:id="80" w:name="gl-sb6"/>
      <w:r>
        <w:rPr>
          <w:b/>
          <w:bCs/>
        </w:rPr>
        <w:t xml:space="preserve">Texas Senate Bill 6</w:t>
      </w:r>
      <w:bookmarkEnd w:id="80"/>
      <w:r>
        <w:t xml:space="preserve"> </w:t>
      </w:r>
      <w:r>
        <w:t xml:space="preserve">(2025): data centers of 75 MW and more must pay for connection studies and share grid costs. In grid emergencies they must cut their demand or switch to their own power plants [</w:t>
      </w:r>
      <w:hyperlink w:anchor="src-S71" w:history="1">
        <w:r>
          <w:rPr>
            <w:rStyle w:val="SourceLink"/>
          </w:rPr>
          <w:t xml:space="preserve">S71</w:t>
        </w:r>
      </w:hyperlink>
      <w:r>
        <w:t xml:space="preserve">].</w:t>
      </w:r>
    </w:p>
    <w:p>
      <w:pPr>
        <w:pStyle w:val="Glossary"/>
      </w:pPr>
      <w:bookmarkStart w:id="81" w:name="gl-tva"/>
      <w:r>
        <w:rPr>
          <w:b/>
          <w:bCs/>
        </w:rPr>
        <w:t xml:space="preserve">TVA</w:t>
      </w:r>
      <w:bookmarkEnd w:id="81"/>
      <w:r>
        <w:t xml:space="preserve"> </w:t>
      </w:r>
      <w:r>
        <w:t xml:space="preserve">= Tennessee Valley Authority, a federally owned power company [</w:t>
      </w:r>
      <w:hyperlink w:anchor="src-S40" w:history="1">
        <w:r>
          <w:rPr>
            <w:rStyle w:val="SourceLink"/>
          </w:rPr>
          <w:t xml:space="preserve">S40</w:t>
        </w:r>
      </w:hyperlink>
      <w:r>
        <w:t xml:space="preserve">].</w:t>
      </w:r>
    </w:p>
    <w:p>
      <w:pPr>
        <w:pStyle w:val="Glossary"/>
      </w:pPr>
      <w:bookmarkStart w:id="82" w:name="gl-wedc"/>
      <w:r>
        <w:rPr>
          <w:b/>
          <w:bCs/>
        </w:rPr>
        <w:t xml:space="preserve">WEDC</w:t>
      </w:r>
      <w:bookmarkEnd w:id="82"/>
      <w:r>
        <w:t xml:space="preserve"> </w:t>
      </w:r>
      <w:r>
        <w:t xml:space="preserve">= Wisconsin Economic Development Corporation, the state’s economic development agency [</w:t>
      </w:r>
      <w:hyperlink w:anchor="src-S61" w:history="1">
        <w:r>
          <w:rPr>
            <w:rStyle w:val="SourceLink"/>
          </w:rPr>
          <w:t xml:space="preserve">S61</w:t>
        </w:r>
      </w:hyperlink>
      <w:r>
        <w:t xml:space="preserve">].</w:t>
      </w:r>
    </w:p>
    <w:p>
      <w:pPr>
        <w:pStyle w:val="Glossary"/>
      </w:pPr>
      <w:bookmarkStart w:id="83" w:name="gl-xai"/>
      <w:r>
        <w:rPr>
          <w:b/>
          <w:bCs/>
        </w:rPr>
        <w:t xml:space="preserve">xAI</w:t>
      </w:r>
      <w:bookmarkEnd w:id="83"/>
      <w:r>
        <w:t xml:space="preserve"> </w:t>
      </w:r>
      <w:r>
        <w:t xml:space="preserve">= Elon Musk’s AI company; it built the Colossus supercomputer in Memphis and the gas turbines that power it [</w:t>
      </w:r>
      <w:hyperlink w:anchor="src-S20" w:history="1">
        <w:r>
          <w:rPr>
            <w:rStyle w:val="SourceLink"/>
          </w:rPr>
          <w:t xml:space="preserve">S20</w:t>
        </w:r>
      </w:hyperlink>
      <w:r>
        <w:t xml:space="preserve">,</w:t>
      </w:r>
      <w:r>
        <w:t xml:space="preserve"> </w:t>
      </w:r>
      <w:hyperlink w:anchor="src-S40" w:history="1">
        <w:r>
          <w:rPr>
            <w:rStyle w:val="SourceLink"/>
          </w:rPr>
          <w:t xml:space="preserve">S40</w:t>
        </w:r>
      </w:hyperlink>
      <w:r>
        <w:t xml:space="preserve">].</w:t>
      </w:r>
    </w:p>
    <w:bookmarkEnd w:id="84"/>
    <w:bookmarkEnd w:id="85"/>
    <w:bookmarkStart w:id="88" w:name="part-b"/>
    <w:p>
      <w:pPr>
        <w:pStyle w:val="Heading1"/>
        <w:pageBreakBefore/>
      </w:pPr>
      <w:r>
        <w:t xml:space="preserve">Part B – Constructives</w:t>
      </w:r>
    </w:p>
    <w:bookmarkStart w:id="86" w:name="b1"/>
    <w:p>
      <w:pPr>
        <w:pStyle w:val="Heading2"/>
      </w:pPr>
      <w:r>
        <w:t xml:space="preserve">B1 Constructive PRO</w:t>
      </w:r>
    </w:p>
    <w:p>
      <w:pPr>
        <w:pStyle w:val="Speech"/>
      </w:pPr>
      <w:r>
        <w:t xml:space="preserve">Today we are debating the motion: “Resolved: The US government should enact a</w:t>
      </w:r>
      <w:r>
        <w:t xml:space="preserve"> </w:t>
      </w:r>
      <w:hyperlink w:anchor="gl-moratorium" w:history="1">
        <w:r>
          <w:rPr>
            <w:rStyle w:val="GlossaryLink"/>
          </w:rPr>
          <w:t xml:space="preserve">moratorium</w:t>
        </w:r>
      </w:hyperlink>
      <w:r>
        <w:t xml:space="preserve"> </w:t>
      </w:r>
      <w:r>
        <w:t xml:space="preserve">on the construction of</w:t>
      </w:r>
      <w:r>
        <w:t xml:space="preserve"> </w:t>
      </w:r>
      <w:hyperlink w:anchor="gl-hyperscale" w:history="1">
        <w:r>
          <w:rPr>
            <w:rStyle w:val="GlossaryLink"/>
          </w:rPr>
          <w:t xml:space="preserve">hyperscale</w:t>
        </w:r>
      </w:hyperlink>
      <w:r>
        <w:t xml:space="preserve"> </w:t>
      </w:r>
      <w:r>
        <w:t xml:space="preserve">data centers.”</w:t>
      </w:r>
    </w:p>
    <w:p>
      <w:pPr>
        <w:pStyle w:val="Speech"/>
      </w:pPr>
      <w:r>
        <w:t xml:space="preserve">I am Daniel Müller, and we stand in affirmation.</w:t>
      </w:r>
    </w:p>
    <w:p>
      <w:pPr>
        <w:pStyle w:val="Speech"/>
      </w:pPr>
      <w:r>
        <w:t xml:space="preserve">We agree to the definitions of a hyperscale data center and of a moratorium proposed by the affirmative side.</w:t>
      </w:r>
    </w:p>
    <w:p>
      <w:pPr>
        <w:pStyle w:val="Speech"/>
      </w:pPr>
      <w:r>
        <w:t xml:space="preserve">Two definitions first. According to the market research firm</w:t>
      </w:r>
      <w:r>
        <w:t xml:space="preserve"> </w:t>
      </w:r>
      <w:hyperlink w:anchor="gl-idc" w:history="1">
        <w:r>
          <w:rPr>
            <w:rStyle w:val="GlossaryLink"/>
          </w:rPr>
          <w:t xml:space="preserve">IDC</w:t>
        </w:r>
      </w:hyperlink>
      <w:r>
        <w:t xml:space="preserve">, a hyperscale data center is a facility with at least 5,000 servers on at least 930 square meters. [</w:t>
      </w:r>
      <w:hyperlink w:anchor="src-S2" w:history="1">
        <w:r>
          <w:rPr>
            <w:rStyle w:val="SourceLink"/>
          </w:rPr>
          <w:t xml:space="preserve">S2</w:t>
        </w:r>
      </w:hyperlink>
      <w:r>
        <w:t xml:space="preserve">]</w:t>
      </w:r>
    </w:p>
    <w:p>
      <w:pPr>
        <w:pStyle w:val="Speech"/>
      </w:pPr>
      <w:r>
        <w:t xml:space="preserve">I would like to add that we are aware that the definition of the term “Hypercaledatacenters” vary from source to source, but that the idea remains the same.</w:t>
      </w:r>
    </w:p>
    <w:p>
      <w:pPr>
        <w:pStyle w:val="Speech"/>
      </w:pPr>
      <w:r>
        <w:t xml:space="preserve">And the second definition we need to clarify: According to Cornell Law School, a moratorium is the suspension of an activity for a period of time, whether fixed-term, indefinite, or until a purpose has been fulfilled. [</w:t>
      </w:r>
      <w:hyperlink w:anchor="src-S1" w:history="1">
        <w:r>
          <w:rPr>
            <w:rStyle w:val="SourceLink"/>
          </w:rPr>
          <w:t xml:space="preserve">S1</w:t>
        </w:r>
      </w:hyperlink>
      <w:r>
        <w:t xml:space="preserve">]</w:t>
      </w:r>
    </w:p>
    <w:p>
      <w:pPr>
        <w:pStyle w:val="Speech"/>
      </w:pPr>
      <w:r>
        <w:rPr>
          <w:b/>
          <w:bCs/>
        </w:rPr>
        <w:t xml:space="preserve">My first contention is: Hyperscale data centers are making American lives worse.</w:t>
      </w:r>
    </w:p>
    <w:p>
      <w:pPr>
        <w:pStyle w:val="Speech"/>
      </w:pPr>
      <w:r>
        <w:t xml:space="preserve">Start in Fayette County, Georgia. The data center company QTS is building a hyperscale campus there: 16 buildings, 6.6 million square feet, around 250</w:t>
      </w:r>
      <w:r>
        <w:t xml:space="preserve"> </w:t>
      </w:r>
      <w:hyperlink w:anchor="gl-units" w:history="1">
        <w:r>
          <w:rPr>
            <w:rStyle w:val="GlossaryLink"/>
          </w:rPr>
          <w:t xml:space="preserve">megawatts</w:t>
        </w:r>
      </w:hyperlink>
      <w:r>
        <w:t xml:space="preserve">. During a drought, residents were asked to save water, and families in one neighborhood watched their water pressure drop. Meanwhile, QTS drew more than 29 million gallons through two water connections the local utility wasn’t billing. The county did not even issue a fine. [</w:t>
      </w:r>
      <w:hyperlink w:anchor="src-S37" w:history="1">
        <w:r>
          <w:rPr>
            <w:rStyle w:val="SourceLink"/>
          </w:rPr>
          <w:t xml:space="preserve">S37</w:t>
        </w:r>
      </w:hyperlink>
      <w:r>
        <w:t xml:space="preserve">]</w:t>
      </w:r>
    </w:p>
    <w:p>
      <w:pPr>
        <w:pStyle w:val="Speech"/>
      </w:pPr>
      <w:r>
        <w:t xml:space="preserve">Now go to Southaven, Mississippi. Elon Musk’s AI company</w:t>
      </w:r>
      <w:r>
        <w:t xml:space="preserve"> </w:t>
      </w:r>
      <w:hyperlink w:anchor="gl-xai" w:history="1">
        <w:r>
          <w:rPr>
            <w:rStyle w:val="GlossaryLink"/>
          </w:rPr>
          <w:t xml:space="preserve">xAI</w:t>
        </w:r>
      </w:hyperlink>
      <w:r>
        <w:t xml:space="preserve"> </w:t>
      </w:r>
      <w:r>
        <w:t xml:space="preserve">set up gas turbines there to power its data centers in Memphis. More than 10,000 people live in the affected area. Residents describe near-constant noise and vibrations that keep them awake and leave their ears ringing, and they are now suing. When one homeowner complained, the mayor wrote back that he might “consider selling.” [</w:t>
      </w:r>
      <w:hyperlink w:anchor="src-S38" w:history="1">
        <w:r>
          <w:rPr>
            <w:rStyle w:val="SourceLink"/>
          </w:rPr>
          <w:t xml:space="preserve">S38</w:t>
        </w:r>
      </w:hyperlink>
      <w:r>
        <w:t xml:space="preserve">] Krystal Polk’s family owned their land for four generations, since, in her words, “before people of color were allowed to have land.” Then a power plant went up across the street, so loud that the family moved away. [</w:t>
      </w:r>
      <w:hyperlink w:anchor="src-S39" w:history="1">
        <w:r>
          <w:rPr>
            <w:rStyle w:val="SourceLink"/>
          </w:rPr>
          <w:t xml:space="preserve">S39</w:t>
        </w:r>
      </w:hyperlink>
      <w:r>
        <w:t xml:space="preserve">]</w:t>
      </w:r>
    </w:p>
    <w:p>
      <w:pPr>
        <w:pStyle w:val="Speech"/>
      </w:pPr>
      <w:r>
        <w:t xml:space="preserve">The next example: Boxtown, a historically Black neighborhood in Memphis. Here xAI built its “</w:t>
      </w:r>
      <w:hyperlink w:anchor="gl-colossus" w:history="1">
        <w:r>
          <w:rPr>
            <w:rStyle w:val="GlossaryLink"/>
          </w:rPr>
          <w:t xml:space="preserve">Colossus</w:t>
        </w:r>
      </w:hyperlink>
      <w:r>
        <w:t xml:space="preserve">” supercomputer: 100,000 computer chips using 150 megawatts of power. [</w:t>
      </w:r>
      <w:hyperlink w:anchor="src-S40" w:history="1">
        <w:r>
          <w:rPr>
            <w:rStyle w:val="SourceLink"/>
          </w:rPr>
          <w:t xml:space="preserve">S40</w:t>
        </w:r>
      </w:hyperlink>
      <w:r>
        <w:t xml:space="preserve">] That is hyperscale by every common definition, even by the White House’s own 100-megawatt threshold for major AI projects. [</w:t>
      </w:r>
      <w:hyperlink w:anchor="src-S2" w:history="1">
        <w:r>
          <w:rPr>
            <w:rStyle w:val="SourceLink"/>
          </w:rPr>
          <w:t xml:space="preserve">S2</w:t>
        </w:r>
      </w:hyperlink>
      <w:r>
        <w:t xml:space="preserve">] [</w:t>
      </w:r>
      <w:hyperlink w:anchor="src-S41" w:history="1">
        <w:r>
          <w:rPr>
            <w:rStyle w:val="SourceLink"/>
          </w:rPr>
          <w:t xml:space="preserve">S41</w:t>
        </w:r>
      </w:hyperlink>
      <w:r>
        <w:t xml:space="preserve">] xAI powered it with 35 gas turbines without air pollution permits. [</w:t>
      </w:r>
      <w:hyperlink w:anchor="src-S20" w:history="1">
        <w:r>
          <w:rPr>
            <w:rStyle w:val="SourceLink"/>
          </w:rPr>
          <w:t xml:space="preserve">S20</w:t>
        </w:r>
      </w:hyperlink>
      <w:r>
        <w:t xml:space="preserve">] Shelby County already has the highest rate of children hospitalized for asthma in Tennessee. [</w:t>
      </w:r>
      <w:hyperlink w:anchor="src-S22" w:history="1">
        <w:r>
          <w:rPr>
            <w:rStyle w:val="SourceLink"/>
          </w:rPr>
          <w:t xml:space="preserve">S22</w:t>
        </w:r>
      </w:hyperlink>
      <w:r>
        <w:t xml:space="preserve">] At a public hearing, resident Alexis Humphreys held up her inhaler and said, in tears: “I can’t breathe at home, it smells like gas outside.” Then she asked: “How come I can’t breathe at home and y’all get to breathe at home?” [</w:t>
      </w:r>
      <w:hyperlink w:anchor="src-S20" w:history="1">
        <w:r>
          <w:rPr>
            <w:rStyle w:val="SourceLink"/>
          </w:rPr>
          <w:t xml:space="preserve">S20</w:t>
        </w:r>
      </w:hyperlink>
      <w:r>
        <w:t xml:space="preserve">]</w:t>
      </w:r>
    </w:p>
    <w:p>
      <w:pPr>
        <w:pStyle w:val="Speech"/>
      </w:pPr>
      <w:r>
        <w:t xml:space="preserve">Their water, their sleep, their land, the air they breathe: that is what hyperscale construction is costing Americans today.</w:t>
      </w:r>
    </w:p>
    <w:p>
      <w:pPr>
        <w:pStyle w:val="Speech"/>
      </w:pPr>
      <w:r>
        <w:rPr>
          <w:b/>
          <w:bCs/>
        </w:rPr>
        <w:t xml:space="preserve">My second contention: Rules first, then concrete.</w:t>
      </w:r>
    </w:p>
    <w:p>
      <w:pPr>
        <w:pStyle w:val="Speech"/>
      </w:pPr>
      <w:r>
        <w:t xml:space="preserve">Hyperscale data centers are being built under rules that were never written for them. Take electricity. Today, new power plants and power lines are paid for through everyone’s electricity bill. [</w:t>
      </w:r>
      <w:hyperlink w:anchor="src-S17" w:history="1">
        <w:r>
          <w:rPr>
            <w:rStyle w:val="SourceLink"/>
          </w:rPr>
          <w:t xml:space="preserve">S17</w:t>
        </w:r>
      </w:hyperlink>
      <w:r>
        <w:t xml:space="preserve">] On America’s largest power grid, serving 67 million people [</w:t>
      </w:r>
      <w:hyperlink w:anchor="src-S14" w:history="1">
        <w:r>
          <w:rPr>
            <w:rStyle w:val="SourceLink"/>
          </w:rPr>
          <w:t xml:space="preserve">S14</w:t>
        </w:r>
      </w:hyperlink>
      <w:r>
        <w:t xml:space="preserve">], data centers are adding 23 billion dollars to power costs through 2028 [</w:t>
      </w:r>
      <w:hyperlink w:anchor="src-S42" w:history="1">
        <w:r>
          <w:rPr>
            <w:rStyle w:val="SourceLink"/>
          </w:rPr>
          <w:t xml:space="preserve">S42</w:t>
        </w:r>
      </w:hyperlink>
      <w:r>
        <w:t xml:space="preserve">], partly for data centers not even built yet. [</w:t>
      </w:r>
      <w:hyperlink w:anchor="src-S16" w:history="1">
        <w:r>
          <w:rPr>
            <w:rStyle w:val="SourceLink"/>
          </w:rPr>
          <w:t xml:space="preserve">S16</w:t>
        </w:r>
      </w:hyperlink>
      <w:r>
        <w:t xml:space="preserve">] The grid’s independent watchdog calls the impact on customers “significant and irreversible” [</w:t>
      </w:r>
      <w:hyperlink w:anchor="src-S43" w:history="1">
        <w:r>
          <w:rPr>
            <w:rStyle w:val="SourceLink"/>
          </w:rPr>
          <w:t xml:space="preserve">S43</w:t>
        </w:r>
      </w:hyperlink>
      <w:r>
        <w:t xml:space="preserve">] and says large data centers should have to bring their own new power plants. [</w:t>
      </w:r>
      <w:hyperlink w:anchor="src-S42" w:history="1">
        <w:r>
          <w:rPr>
            <w:rStyle w:val="SourceLink"/>
          </w:rPr>
          <w:t xml:space="preserve">S42</w:t>
        </w:r>
      </w:hyperlink>
      <w:r>
        <w:t xml:space="preserve">] Today, that is only a voluntary promise to the White House. [</w:t>
      </w:r>
      <w:hyperlink w:anchor="src-S26" w:history="1">
        <w:r>
          <w:rPr>
            <w:rStyle w:val="SourceLink"/>
          </w:rPr>
          <w:t xml:space="preserve">S26</w:t>
        </w:r>
      </w:hyperlink>
      <w:r>
        <w:t xml:space="preserve">]</w:t>
      </w:r>
    </w:p>
    <w:p>
      <w:pPr>
        <w:pStyle w:val="Speech"/>
      </w:pPr>
      <w:r>
        <w:t xml:space="preserve">And the</w:t>
      </w:r>
      <w:r>
        <w:t xml:space="preserve"> </w:t>
      </w:r>
      <w:hyperlink w:anchor="gl-epa" w:history="1">
        <w:r>
          <w:rPr>
            <w:rStyle w:val="GlossaryLink"/>
          </w:rPr>
          <w:t xml:space="preserve">federal environmental agency</w:t>
        </w:r>
      </w:hyperlink>
      <w:r>
        <w:t xml:space="preserve"> </w:t>
      </w:r>
      <w:r>
        <w:t xml:space="preserve">closed the loophole for those gas turbines only after Boxtown had breathed their exhaust for over a year. [</w:t>
      </w:r>
      <w:hyperlink w:anchor="src-S29" w:history="1">
        <w:r>
          <w:rPr>
            <w:rStyle w:val="SourceLink"/>
          </w:rPr>
          <w:t xml:space="preserve">S29</w:t>
        </w:r>
      </w:hyperlink>
      <w:r>
        <w:t xml:space="preserve">] No federal law even requires data centers to report their water and electricity use. [</w:t>
      </w:r>
      <w:hyperlink w:anchor="src-S31" w:history="1">
        <w:r>
          <w:rPr>
            <w:rStyle w:val="SourceLink"/>
          </w:rPr>
          <w:t xml:space="preserve">S31</w:t>
        </w:r>
      </w:hyperlink>
      <w:r>
        <w:t xml:space="preserve">]</w:t>
      </w:r>
    </w:p>
    <w:p>
      <w:pPr>
        <w:pStyle w:val="Speech"/>
      </w:pPr>
      <w:r>
        <w:t xml:space="preserve">A moratorium gives us the chance to rewrite these rules before the concrete is poured, because once a campus stands, its costs are locked in for decades.</w:t>
      </w:r>
    </w:p>
    <w:p>
      <w:pPr>
        <w:pStyle w:val="Speech"/>
      </w:pPr>
      <w:r>
        <w:t xml:space="preserve">The Polk family deserves to go home. Alexis Humphreys deserves to breathe properly at home and all of South Haven doesn't want a constant buzzing in their ears as part of daily life. That is why we strongly affirm a moratorium on these hyperscale data centers.</w:t>
      </w:r>
    </w:p>
    <w:bookmarkEnd w:id="86"/>
    <w:bookmarkStart w:id="87" w:name="b2"/>
    <w:p>
      <w:pPr>
        <w:pStyle w:val="Heading2"/>
        <w:pageBreakBefore/>
      </w:pPr>
      <w:r>
        <w:t xml:space="preserve">B2 Constructive CONTRA</w:t>
      </w:r>
    </w:p>
    <w:p>
      <w:pPr>
        <w:pStyle w:val="Speech"/>
      </w:pPr>
      <w:r>
        <w:t xml:space="preserve">Today we are debating the motion: “Resolved: The US government should enact a</w:t>
      </w:r>
      <w:r>
        <w:t xml:space="preserve"> </w:t>
      </w:r>
      <w:hyperlink w:anchor="gl-moratorium" w:history="1">
        <w:r>
          <w:rPr>
            <w:rStyle w:val="GlossaryLink"/>
          </w:rPr>
          <w:t xml:space="preserve">moratorium</w:t>
        </w:r>
      </w:hyperlink>
      <w:r>
        <w:t xml:space="preserve"> </w:t>
      </w:r>
      <w:r>
        <w:t xml:space="preserve">on the construction of</w:t>
      </w:r>
      <w:r>
        <w:t xml:space="preserve"> </w:t>
      </w:r>
      <w:hyperlink w:anchor="gl-hyperscale" w:history="1">
        <w:r>
          <w:rPr>
            <w:rStyle w:val="GlossaryLink"/>
          </w:rPr>
          <w:t xml:space="preserve">hyperscale</w:t>
        </w:r>
      </w:hyperlink>
      <w:r>
        <w:t xml:space="preserve"> </w:t>
      </w:r>
      <w:r>
        <w:t xml:space="preserve">data centers.”</w:t>
      </w:r>
    </w:p>
    <w:p>
      <w:pPr>
        <w:pStyle w:val="Speech"/>
      </w:pPr>
      <w:r>
        <w:t xml:space="preserve">I am Daniel Müller, and we are on the side of the negation.</w:t>
      </w:r>
    </w:p>
    <w:p>
      <w:pPr>
        <w:pStyle w:val="Speech"/>
      </w:pPr>
      <w:r>
        <w:t xml:space="preserve">We agree to the definitions of a hyperscale data center and of a moratorium proposed by the affirmative side.</w:t>
      </w:r>
    </w:p>
    <w:p>
      <w:pPr>
        <w:pStyle w:val="Speech"/>
      </w:pPr>
      <w:r>
        <w:t xml:space="preserve">Two definitions first. According to the market research firm</w:t>
      </w:r>
      <w:r>
        <w:t xml:space="preserve"> </w:t>
      </w:r>
      <w:hyperlink w:anchor="gl-idc" w:history="1">
        <w:r>
          <w:rPr>
            <w:rStyle w:val="GlossaryLink"/>
          </w:rPr>
          <w:t xml:space="preserve">IDC</w:t>
        </w:r>
      </w:hyperlink>
      <w:r>
        <w:t xml:space="preserve">, a hyperscale data center is a facility with at least 5,000 servers on at least 930 square meters. [</w:t>
      </w:r>
      <w:hyperlink w:anchor="src-S2" w:history="1">
        <w:r>
          <w:rPr>
            <w:rStyle w:val="SourceLink"/>
          </w:rPr>
          <w:t xml:space="preserve">S2</w:t>
        </w:r>
      </w:hyperlink>
      <w:r>
        <w:t xml:space="preserve">]</w:t>
      </w:r>
    </w:p>
    <w:p>
      <w:pPr>
        <w:pStyle w:val="Speech"/>
      </w:pPr>
      <w:r>
        <w:t xml:space="preserve">I would like to add that we are aware that the definition of the term “Hypercaledatacenters” vary from source to source, but that the idea remains the same.</w:t>
      </w:r>
    </w:p>
    <w:p>
      <w:pPr>
        <w:pStyle w:val="Speech"/>
      </w:pPr>
      <w:r>
        <w:t xml:space="preserve">And the second definition we need to clarify: According to Cornell Law School, a moratorium is the suspension of an activity for a period of time, whether fixed-term, indefinite, or until a purpose has been fulfilled. [</w:t>
      </w:r>
      <w:hyperlink w:anchor="src-S1" w:history="1">
        <w:r>
          <w:rPr>
            <w:rStyle w:val="SourceLink"/>
          </w:rPr>
          <w:t xml:space="preserve">S1</w:t>
        </w:r>
      </w:hyperlink>
      <w:r>
        <w:t xml:space="preserve">]</w:t>
      </w:r>
    </w:p>
    <w:p>
      <w:pPr>
        <w:pStyle w:val="Speech"/>
      </w:pPr>
      <w:r>
        <w:rPr>
          <w:b/>
          <w:bCs/>
        </w:rPr>
        <w:t xml:space="preserve">My first contention is: A moratorium prevents nothing. It merely relocates.</w:t>
      </w:r>
    </w:p>
    <w:p>
      <w:pPr>
        <w:pStyle w:val="Speech"/>
      </w:pPr>
      <w:r>
        <w:t xml:space="preserve">Demand for AI is rising [</w:t>
      </w:r>
      <w:hyperlink w:anchor="src-S11" w:history="1">
        <w:r>
          <w:rPr>
            <w:rStyle w:val="SourceLink"/>
          </w:rPr>
          <w:t xml:space="preserve">S11</w:t>
        </w:r>
      </w:hyperlink>
      <w:r>
        <w:t xml:space="preserve">] and exceeds the available supply. [</w:t>
      </w:r>
      <w:hyperlink w:anchor="src-S6" w:history="1">
        <w:r>
          <w:rPr>
            <w:rStyle w:val="SourceLink"/>
          </w:rPr>
          <w:t xml:space="preserve">S6</w:t>
        </w:r>
      </w:hyperlink>
      <w:r>
        <w:t xml:space="preserve">] If data centers aren't built in the US, they will be built elsewhere, and US companies are already doing exactly that: "</w:t>
      </w:r>
      <w:hyperlink w:anchor="gl-stargate" w:history="1">
        <w:r>
          <w:rPr>
            <w:rStyle w:val="GlossaryLink"/>
          </w:rPr>
          <w:t xml:space="preserve">Stargate UAE</w:t>
        </w:r>
      </w:hyperlink>
      <w:r>
        <w:t xml:space="preserve">" is a one-</w:t>
      </w:r>
      <w:hyperlink w:anchor="gl-units" w:history="1">
        <w:r>
          <w:rPr>
            <w:rStyle w:val="GlossaryLink"/>
          </w:rPr>
          <w:t xml:space="preserve">gigawatt</w:t>
        </w:r>
      </w:hyperlink>
      <w:r>
        <w:t xml:space="preserve"> </w:t>
      </w:r>
      <w:r>
        <w:t xml:space="preserve">cluster in Abu Dhabi, built by G42 and operated by OpenAI and Oracle. [</w:t>
      </w:r>
      <w:hyperlink w:anchor="src-S3" w:history="1">
        <w:r>
          <w:rPr>
            <w:rStyle w:val="SourceLink"/>
          </w:rPr>
          <w:t xml:space="preserve">S3</w:t>
        </w:r>
      </w:hyperlink>
      <w:r>
        <w:t xml:space="preserve">]</w:t>
      </w:r>
    </w:p>
    <w:p>
      <w:pPr>
        <w:pStyle w:val="Speech"/>
      </w:pPr>
      <w:r>
        <w:t xml:space="preserve">Singapore shows the pattern. In 2019, it effectively stopped new data centers. In neighboring Malaysia, capacity grew, according to the analytics firm DC Byte, from 10 megawatts at the start of 2021 to over 1,500 in 2024. The trade outlet w.media attributes this to Singapore's moratorium.</w:t>
      </w:r>
    </w:p>
    <w:p>
      <w:pPr>
        <w:pStyle w:val="Speech"/>
      </w:pPr>
      <w:r>
        <w:t xml:space="preserve">Three harms follow.</w:t>
      </w:r>
    </w:p>
    <w:p>
      <w:pPr>
        <w:pStyle w:val="Speech"/>
        <w:numPr>
          <w:ilvl w:val="0"/>
          <w:numId w:val="1012"/>
        </w:numPr>
      </w:pPr>
      <w:r>
        <w:t xml:space="preserve">First, emissions rise: many countries to which data centers are relocated, including the UAE, have a worse electricity mix than the US, with its 57% share of fossil-based generation, according to ourworldindata.org. [</w:t>
      </w:r>
      <w:hyperlink w:anchor="src-S5" w:history="1">
        <w:r>
          <w:rPr>
            <w:rStyle w:val="SourceLink"/>
          </w:rPr>
          <w:t xml:space="preserve">S5</w:t>
        </w:r>
      </w:hyperlink>
      <w:r>
        <w:t xml:space="preserve">]</w:t>
      </w:r>
    </w:p>
    <w:p>
      <w:pPr>
        <w:pStyle w:val="Speech"/>
        <w:numPr>
          <w:ilvl w:val="0"/>
          <w:numId w:val="1012"/>
        </w:numPr>
      </w:pPr>
      <w:r>
        <w:t xml:space="preserve">Second, investment and control move abroad: the host country regulates electricity, water, and operations, and it gets the economic boost. (because these countries are most likely-asian-african…)</w:t>
      </w:r>
    </w:p>
    <w:p>
      <w:pPr>
        <w:pStyle w:val="Speech"/>
        <w:numPr>
          <w:ilvl w:val="0"/>
          <w:numId w:val="1012"/>
        </w:numPr>
      </w:pPr>
      <w:r>
        <w:t xml:space="preserve">Third, the relocation is permanent, while the moratorium is temporary. A campus in Abu Dhabi doesn't disappear when the deadline expires. (The emission and the control moves permantly abroad, wobei aber die Inention eines Moratorium nur temporär ist)</w:t>
      </w:r>
    </w:p>
    <w:p>
      <w:pPr>
        <w:pStyle w:val="Speech"/>
      </w:pPr>
      <w:r>
        <w:rPr>
          <w:b/>
          <w:bCs/>
        </w:rPr>
        <w:t xml:space="preserve">My second contention: The US could lose its AI lead.</w:t>
      </w:r>
    </w:p>
    <w:p>
      <w:pPr>
        <w:pStyle w:val="Speech"/>
      </w:pPr>
      <w:r>
        <w:t xml:space="preserve">Why is it important for the US to not lose the AI Race.</w:t>
      </w:r>
    </w:p>
    <w:p>
      <w:pPr>
        <w:pStyle w:val="Speech"/>
      </w:pPr>
      <w:r>
        <w:t xml:space="preserve">According to the</w:t>
      </w:r>
      <w:r>
        <w:t xml:space="preserve"> </w:t>
      </w:r>
      <w:hyperlink w:anchor="gl-iea" w:history="1">
        <w:r>
          <w:rPr>
            <w:rStyle w:val="GlossaryLink"/>
          </w:rPr>
          <w:t xml:space="preserve">IEA</w:t>
        </w:r>
      </w:hyperlink>
      <w:r>
        <w:t xml:space="preserve">, data center electricity consumption grew by 17%, and that of AI-focused data centers by 50%. [</w:t>
      </w:r>
      <w:hyperlink w:anchor="src-S9" w:history="1">
        <w:r>
          <w:rPr>
            <w:rStyle w:val="SourceLink"/>
          </w:rPr>
          <w:t xml:space="preserve">S9</w:t>
        </w:r>
      </w:hyperlink>
      <w:r>
        <w:t xml:space="preserve">] So AI is the main driver of hyperscale construction, because hyperscale facilities are more efficient, and therefore cheaper, than smaller ones. [</w:t>
      </w:r>
      <w:hyperlink w:anchor="src-S10" w:history="1">
        <w:r>
          <w:rPr>
            <w:rStyle w:val="SourceLink"/>
          </w:rPr>
          <w:t xml:space="preserve">10</w:t>
        </w:r>
      </w:hyperlink>
      <w:r>
        <w:t xml:space="preserve">] Today,</w:t>
      </w:r>
      <w:r>
        <w:t xml:space="preserve"> </w:t>
      </w:r>
      <w:hyperlink w:anchor="gl-artificial-analysis" w:history="1">
        <w:r>
          <w:rPr>
            <w:rStyle w:val="GlossaryLink"/>
          </w:rPr>
          <w:t xml:space="preserve">artificialanalysis.ai</w:t>
        </w:r>
      </w:hyperlink>
      <w:r>
        <w:t xml:space="preserve"> </w:t>
      </w:r>
      <w:r>
        <w:t xml:space="preserve">names the American Claude Opus 5.5 the most powerful AI model. [</w:t>
      </w:r>
      <w:hyperlink w:anchor="src-S7" w:history="1">
        <w:r>
          <w:rPr>
            <w:rStyle w:val="SourceLink"/>
          </w:rPr>
          <w:t xml:space="preserve">S7</w:t>
        </w:r>
      </w:hyperlink>
      <w:r>
        <w:t xml:space="preserve">]</w:t>
      </w:r>
    </w:p>
    <w:p>
      <w:pPr>
        <w:pStyle w:val="Speech"/>
      </w:pPr>
      <w:r>
        <w:t xml:space="preserve">Here is a simple argument with two premises. First, US AI companies want to keep having the best models. Second, training new models costs money, and that money comes largely from users paying for existing models.</w:t>
      </w:r>
    </w:p>
    <w:p>
      <w:pPr>
        <w:pStyle w:val="Speech"/>
      </w:pPr>
      <w:r>
        <w:t xml:space="preserve">A moratorium leaves companies two options, both bad.</w:t>
      </w:r>
    </w:p>
    <w:p>
      <w:pPr>
        <w:pStyle w:val="Speech"/>
      </w:pPr>
      <w:r>
        <w:rPr>
          <w:b/>
          <w:bCs/>
        </w:rPr>
        <w:t xml:space="preserve">Option one:</w:t>
      </w:r>
      <w:r>
        <w:t xml:space="preserve"> </w:t>
      </w:r>
      <w:r>
        <w:t xml:space="preserve">they build many small data centers just below the hyperscale threshold. The problems the moratorium targets remain and even grow, since one hyperscale facility is more efficient.</w:t>
      </w:r>
    </w:p>
    <w:p>
      <w:pPr>
        <w:pStyle w:val="Speech"/>
      </w:pPr>
      <w:r>
        <w:rPr>
          <w:b/>
          <w:bCs/>
        </w:rPr>
        <w:t xml:space="preserve">Option two:</w:t>
      </w:r>
      <w:r>
        <w:t xml:space="preserve"> </w:t>
      </w:r>
      <w:r>
        <w:t xml:space="preserve">Computing power is scarce. AI companies therefore face a trade-off: every unit of compute used to train future models cannot be used to serve current customers. A moratorium makes that trade-off even harsher. If firms prioritize training, customer services suffer and revenue declines. If they prioritize customers, innovation slows and competitors catch up. Either way, they lose ground. Eventually, companies reach a point where revenue is no longer sufficient to fund further development. At that moment, the United States ceases to lead the AI race, and users as well as businesses will turn to foreign alternatives that continue improving their models without the same restrictions. [Based on pure logic]</w:t>
      </w:r>
    </w:p>
    <w:p>
      <w:pPr>
        <w:pStyle w:val="Speech"/>
      </w:pPr>
      <w:r>
        <w:t xml:space="preserve">Why does that matter? In September 2025,</w:t>
      </w:r>
      <w:r>
        <w:t xml:space="preserve"> </w:t>
      </w:r>
      <w:hyperlink w:anchor="gl-caisi" w:history="1">
        <w:r>
          <w:rPr>
            <w:rStyle w:val="GlossaryLink"/>
          </w:rPr>
          <w:t xml:space="preserve">NIST</w:t>
        </w:r>
      </w:hyperlink>
      <w:r>
        <w:t xml:space="preserve"> </w:t>
      </w:r>
      <w:r>
        <w:t xml:space="preserve">found that AI agents based on</w:t>
      </w:r>
      <w:r>
        <w:t xml:space="preserve"> </w:t>
      </w:r>
      <w:hyperlink w:anchor="gl-deepseek" w:history="1">
        <w:r>
          <w:rPr>
            <w:rStyle w:val="GlossaryLink"/>
          </w:rPr>
          <w:t xml:space="preserve">DeepSeek</w:t>
        </w:r>
      </w:hyperlink>
      <w:r>
        <w:t xml:space="preserve"> </w:t>
      </w:r>
      <w:r>
        <w:t xml:space="preserve">followed malicious instructions twelve times more often than US models and repeated four times as many narratives of the Chinese Communist Party. [</w:t>
      </w:r>
      <w:hyperlink w:anchor="src-S8" w:history="1">
        <w:r>
          <w:rPr>
            <w:rStyle w:val="SourceLink"/>
          </w:rPr>
          <w:t xml:space="preserve">S8</w:t>
        </w:r>
      </w:hyperlink>
      <w:r>
        <w:t xml:space="preserve">] Every month of construction freeze pushes users and companies toward those models.</w:t>
      </w:r>
    </w:p>
    <w:p>
      <w:pPr>
        <w:pStyle w:val="Speech"/>
      </w:pPr>
      <w:r>
        <w:t xml:space="preserve">So a moratorium exports the problems, hands over control, or makes things worse, and it risks the AI lead. Therefore, we take the side of negation here. Thank you.</w:t>
      </w:r>
    </w:p>
    <w:bookmarkEnd w:id="87"/>
    <w:bookmarkEnd w:id="88"/>
    <w:bookmarkStart w:id="126" w:name="part-c"/>
    <w:p>
      <w:pPr>
        <w:pStyle w:val="Heading1"/>
        <w:pageBreakBefore/>
      </w:pPr>
      <w:r>
        <w:t xml:space="preserve">Part C – Pro-Arguments → Contra-Rebuttals → Pro-Frontline</w:t>
      </w:r>
    </w:p>
    <w:bookmarkStart w:id="94" w:name="p1"/>
    <w:p>
      <w:pPr>
        <w:pStyle w:val="Heading2"/>
      </w:pPr>
      <w:r>
        <w:t xml:space="preserve">P1 Electricity Prices: Households Pay the Bill</w:t>
      </w:r>
    </w:p>
    <w:bookmarkStart w:id="89" w:name="p1-speech"/>
    <w:p>
      <w:pPr>
        <w:pStyle w:val="Heading3"/>
      </w:pPr>
      <w:r>
        <w:t xml:space="preserve">Speech version</w:t>
      </w:r>
    </w:p>
    <w:p>
      <w:pPr>
        <w:pStyle w:val="Speech"/>
      </w:pPr>
      <w:r>
        <w:t xml:space="preserve">At this point, I would like to bring in a new argument: electricity prices – because in the end, it is households that pay the bill.</w:t>
      </w:r>
    </w:p>
    <w:p>
      <w:pPr>
        <w:pStyle w:val="Speech"/>
      </w:pPr>
      <w:r>
        <w:t xml:space="preserve">First, demand is exploding. According to</w:t>
      </w:r>
      <w:r>
        <w:t xml:space="preserve"> </w:t>
      </w:r>
      <w:hyperlink w:anchor="gl-lbnl" w:history="1">
        <w:r>
          <w:rPr>
            <w:rStyle w:val="GlossaryLink"/>
          </w:rPr>
          <w:t xml:space="preserve">Lawrence Berkeley National Laboratory</w:t>
        </w:r>
      </w:hyperlink>
      <w:r>
        <w:t xml:space="preserve">, a research lab of the US Department of Energy, data centers could use 11.8 percent of all US electricity by 2030 – up from 4.7 percent in 2024. [</w:t>
      </w:r>
      <w:hyperlink w:anchor="src-S12" w:history="1">
        <w:r>
          <w:rPr>
            <w:rStyle w:val="SourceLink"/>
          </w:rPr>
          <w:t xml:space="preserve">S12</w:t>
        </w:r>
      </w:hyperlink>
      <w:r>
        <w:t xml:space="preserve">]</w:t>
      </w:r>
    </w:p>
    <w:p>
      <w:pPr>
        <w:pStyle w:val="Speech"/>
      </w:pPr>
      <w:r>
        <w:t xml:space="preserve">Second, supply cannot keep up.</w:t>
      </w:r>
      <w:r>
        <w:t xml:space="preserve"> </w:t>
      </w:r>
      <w:hyperlink w:anchor="gl-pjm" w:history="1">
        <w:r>
          <w:rPr>
            <w:rStyle w:val="GlossaryLink"/>
          </w:rPr>
          <w:t xml:space="preserve">PJM</w:t>
        </w:r>
      </w:hyperlink>
      <w:r>
        <w:t xml:space="preserve">, the operator of America’s largest power grid with about 67 million people, buys power plant capacity in an auction. That auction has hit its</w:t>
      </w:r>
      <w:r>
        <w:t xml:space="preserve"> </w:t>
      </w:r>
      <w:hyperlink w:anchor="gl-price-cap" w:history="1">
        <w:r>
          <w:rPr>
            <w:rStyle w:val="GlossaryLink"/>
          </w:rPr>
          <w:t xml:space="preserve">price cap</w:t>
        </w:r>
      </w:hyperlink>
      <w:r>
        <w:t xml:space="preserve"> </w:t>
      </w:r>
      <w:r>
        <w:t xml:space="preserve">three times in a row – and still missed its</w:t>
      </w:r>
      <w:r>
        <w:t xml:space="preserve"> </w:t>
      </w:r>
      <w:hyperlink w:anchor="gl-reserve" w:history="1">
        <w:r>
          <w:rPr>
            <w:rStyle w:val="GlossaryLink"/>
          </w:rPr>
          <w:t xml:space="preserve">safety target</w:t>
        </w:r>
      </w:hyperlink>
      <w:r>
        <w:t xml:space="preserve">. [</w:t>
      </w:r>
      <w:hyperlink w:anchor="src-S14" w:history="1">
        <w:r>
          <w:rPr>
            <w:rStyle w:val="SourceLink"/>
          </w:rPr>
          <w:t xml:space="preserve">S14</w:t>
        </w:r>
      </w:hyperlink>
      <w:r>
        <w:t xml:space="preserve">]</w:t>
      </w:r>
    </w:p>
    <w:p>
      <w:pPr>
        <w:pStyle w:val="Speech"/>
      </w:pPr>
      <w:r>
        <w:t xml:space="preserve">Third, this shortage lands on our bills. The</w:t>
      </w:r>
      <w:r>
        <w:t xml:space="preserve"> </w:t>
      </w:r>
      <w:hyperlink w:anchor="gl-pew" w:history="1">
        <w:r>
          <w:rPr>
            <w:rStyle w:val="GlossaryLink"/>
          </w:rPr>
          <w:t xml:space="preserve">Pew Research Center</w:t>
        </w:r>
      </w:hyperlink>
      <w:r>
        <w:t xml:space="preserve">, a nonpartisan research institute, reports that one single auction added about 18 dollars a month for families in Western Maryland and 16 dollars in Ohio. [</w:t>
      </w:r>
      <w:hyperlink w:anchor="src-S15" w:history="1">
        <w:r>
          <w:rPr>
            <w:rStyle w:val="SourceLink"/>
          </w:rPr>
          <w:t xml:space="preserve">S15</w:t>
        </w:r>
      </w:hyperlink>
      <w:r>
        <w:t xml:space="preserve">] PJM’s official</w:t>
      </w:r>
      <w:r>
        <w:t xml:space="preserve"> </w:t>
      </w:r>
      <w:hyperlink w:anchor="gl-monitor" w:history="1">
        <w:r>
          <w:rPr>
            <w:rStyle w:val="GlossaryLink"/>
          </w:rPr>
          <w:t xml:space="preserve">market watchdog</w:t>
        </w:r>
      </w:hyperlink>
      <w:r>
        <w:t xml:space="preserve">, Monitoring Analytics, found that 6.2 billion dollars of one auction’s costs were for data centers that have not even been built yet. [</w:t>
      </w:r>
      <w:hyperlink w:anchor="src-S16" w:history="1">
        <w:r>
          <w:rPr>
            <w:rStyle w:val="SourceLink"/>
          </w:rPr>
          <w:t xml:space="preserve">S16</w:t>
        </w:r>
      </w:hyperlink>
      <w:r>
        <w:t xml:space="preserve">] And Harvard Law School’s Electricity Law Initiative puts it plainly: the public is forced “to pay for infrastructure designed to supply a handful of wealthy corporations.” [</w:t>
      </w:r>
      <w:hyperlink w:anchor="src-S17" w:history="1">
        <w:r>
          <w:rPr>
            <w:rStyle w:val="SourceLink"/>
          </w:rPr>
          <w:t xml:space="preserve">S17</w:t>
        </w:r>
      </w:hyperlink>
      <w:r>
        <w:t xml:space="preserve">]</w:t>
      </w:r>
    </w:p>
    <w:p>
      <w:pPr>
        <w:pStyle w:val="Speech"/>
      </w:pPr>
      <w:r>
        <w:t xml:space="preserve">Electricity shouldn’t be a luxury. Low-income families already spend 8.1 percent of their income on energy. [</w:t>
      </w:r>
      <w:hyperlink w:anchor="src-S83" w:history="1">
        <w:r>
          <w:rPr>
            <w:rStyle w:val="SourceLink"/>
          </w:rPr>
          <w:t xml:space="preserve">S83</w:t>
        </w:r>
      </w:hyperlink>
      <w:r>
        <w:t xml:space="preserve">] A</w:t>
      </w:r>
      <w:r>
        <w:t xml:space="preserve"> </w:t>
      </w:r>
      <w:hyperlink w:anchor="gl-moratorium" w:history="1">
        <w:r>
          <w:rPr>
            <w:rStyle w:val="GlossaryLink"/>
          </w:rPr>
          <w:t xml:space="preserve">moratorium</w:t>
        </w:r>
      </w:hyperlink>
      <w:r>
        <w:t xml:space="preserve"> </w:t>
      </w:r>
      <w:r>
        <w:t xml:space="preserve">stops new data centers from adding to that bill – until the companies that cause the costs are made to pay them.</w:t>
      </w:r>
    </w:p>
    <w:p>
      <w:pPr>
        <w:pStyle w:val="NavLink"/>
      </w:pPr>
      <w:hyperlink w:anchor="p1-chain" w:history="1">
        <w:r>
          <w:rPr>
            <w:rStyle w:val="NavLinkChar"/>
          </w:rPr>
          <w:t xml:space="preserve">→ Chain of Reasoning (Backup)</w:t>
        </w:r>
      </w:hyperlink>
    </w:p>
    <w:bookmarkEnd w:id="89"/>
    <w:bookmarkStart w:id="90" w:name="p1-rebuttal"/>
    <w:p>
      <w:pPr>
        <w:pStyle w:val="Heading3"/>
      </w:pPr>
      <w:r>
        <w:t xml:space="preserve">Rebuttal (Contra)</w:t>
      </w:r>
    </w:p>
    <w:p>
      <w:pPr>
        <w:pStyle w:val="Compact"/>
        <w:numPr>
          <w:ilvl w:val="0"/>
          <w:numId w:val="1013"/>
        </w:numPr>
      </w:pPr>
      <w:r>
        <w:rPr>
          <w:b/>
          <w:bCs/>
        </w:rPr>
        <w:t xml:space="preserve">R1</w:t>
      </w:r>
      <w:r>
        <w:t xml:space="preserve"> </w:t>
      </w:r>
      <w:r>
        <w:t xml:space="preserve">“Prices rise for many reasons – gas prices, old power plants closing, weather – not because of data centers.”</w:t>
      </w:r>
    </w:p>
    <w:p>
      <w:pPr>
        <w:pStyle w:val="Compact"/>
        <w:numPr>
          <w:ilvl w:val="0"/>
          <w:numId w:val="1013"/>
        </w:numPr>
      </w:pPr>
      <w:r>
        <w:rPr>
          <w:b/>
          <w:bCs/>
        </w:rPr>
        <w:t xml:space="preserve">R2</w:t>
      </w:r>
      <w:r>
        <w:t xml:space="preserve"> </w:t>
      </w:r>
      <w:r>
        <w:t xml:space="preserve">“Data centers already pay their own way: according to the</w:t>
      </w:r>
      <w:r>
        <w:t xml:space="preserve"> </w:t>
      </w:r>
      <w:hyperlink w:anchor="gl-eei" w:history="1">
        <w:r>
          <w:rPr>
            <w:rStyle w:val="GlossaryLink"/>
          </w:rPr>
          <w:t xml:space="preserve">Edison Electric Institute</w:t>
        </w:r>
      </w:hyperlink>
      <w:r>
        <w:t xml:space="preserve"> </w:t>
      </w:r>
      <w:r>
        <w:t xml:space="preserve">25 states have</w:t>
      </w:r>
      <w:r>
        <w:t xml:space="preserve"> </w:t>
      </w:r>
      <w:hyperlink w:anchor="gl-tariff" w:history="1">
        <w:r>
          <w:rPr>
            <w:rStyle w:val="GlossaryLink"/>
          </w:rPr>
          <w:t xml:space="preserve">special tariffs for large customers</w:t>
        </w:r>
      </w:hyperlink>
      <w:r>
        <w:t xml:space="preserve"> </w:t>
      </w:r>
      <w:r>
        <w:t xml:space="preserve">[</w:t>
      </w:r>
      <w:hyperlink w:anchor="src-S27" w:history="1">
        <w:r>
          <w:rPr>
            <w:rStyle w:val="SourceLink"/>
          </w:rPr>
          <w:t xml:space="preserve">S27</w:t>
        </w:r>
      </w:hyperlink>
      <w:r>
        <w:t xml:space="preserve">],</w:t>
      </w:r>
      <w:r>
        <w:t xml:space="preserve"> </w:t>
      </w:r>
      <w:hyperlink w:anchor="gl-aep" w:history="1">
        <w:r>
          <w:rPr>
            <w:rStyle w:val="GlossaryLink"/>
          </w:rPr>
          <w:t xml:space="preserve">AEP Ohio</w:t>
        </w:r>
      </w:hyperlink>
      <w:r>
        <w:t xml:space="preserve">, one of the largest US electric utilities, makes data centers pay for at least 85% of the capacity they reserve for 12 years [</w:t>
      </w:r>
      <w:hyperlink w:anchor="src-S56" w:history="1">
        <w:r>
          <w:rPr>
            <w:rStyle w:val="SourceLink"/>
          </w:rPr>
          <w:t xml:space="preserve">S56</w:t>
        </w:r>
      </w:hyperlink>
      <w:r>
        <w:t xml:space="preserve">], and seven tech companies signed the</w:t>
      </w:r>
      <w:r>
        <w:t xml:space="preserve"> </w:t>
      </w:r>
      <w:hyperlink w:anchor="gl-pledge" w:history="1">
        <w:r>
          <w:rPr>
            <w:rStyle w:val="GlossaryLink"/>
          </w:rPr>
          <w:t xml:space="preserve">White House pledge</w:t>
        </w:r>
      </w:hyperlink>
      <w:r>
        <w:t xml:space="preserve"> </w:t>
      </w:r>
      <w:r>
        <w:t xml:space="preserve">to pay full grid costs [</w:t>
      </w:r>
      <w:hyperlink w:anchor="src-S26" w:history="1">
        <w:r>
          <w:rPr>
            <w:rStyle w:val="SourceLink"/>
          </w:rPr>
          <w:t xml:space="preserve">S26</w:t>
        </w:r>
      </w:hyperlink>
      <w:r>
        <w:t xml:space="preserve">].”</w:t>
      </w:r>
    </w:p>
    <w:p>
      <w:pPr>
        <w:pStyle w:val="Compact"/>
        <w:numPr>
          <w:ilvl w:val="0"/>
          <w:numId w:val="1013"/>
        </w:numPr>
      </w:pPr>
      <w:r>
        <w:rPr>
          <w:b/>
          <w:bCs/>
        </w:rPr>
        <w:t xml:space="preserve">R3</w:t>
      </w:r>
      <w:r>
        <w:t xml:space="preserve"> </w:t>
      </w:r>
      <w:r>
        <w:t xml:space="preserve">“The price cap protects households.” [</w:t>
      </w:r>
      <w:hyperlink w:anchor="src-S14" w:history="1">
        <w:r>
          <w:rPr>
            <w:rStyle w:val="SourceLink"/>
          </w:rPr>
          <w:t xml:space="preserve">S14</w:t>
        </w:r>
      </w:hyperlink>
      <w:r>
        <w:t xml:space="preserve">]</w:t>
      </w:r>
    </w:p>
    <w:p>
      <w:pPr>
        <w:pStyle w:val="Compact"/>
        <w:numPr>
          <w:ilvl w:val="0"/>
          <w:numId w:val="1013"/>
        </w:numPr>
      </w:pPr>
      <w:r>
        <w:rPr>
          <w:b/>
          <w:bCs/>
        </w:rPr>
        <w:t xml:space="preserve">R4</w:t>
      </w:r>
      <w:r>
        <w:t xml:space="preserve"> </w:t>
      </w:r>
      <w:r>
        <w:t xml:space="preserve">“Many data centers make their own electricity, so they don’t burden the grid.”</w:t>
      </w:r>
    </w:p>
    <w:bookmarkEnd w:id="90"/>
    <w:bookmarkStart w:id="91" w:name="p1-frontline"/>
    <w:p>
      <w:pPr>
        <w:pStyle w:val="Heading3"/>
      </w:pPr>
      <w:r>
        <w:t xml:space="preserve">Frontline (Pro)</w:t>
      </w:r>
    </w:p>
    <w:p>
      <w:pPr>
        <w:pStyle w:val="Compact"/>
        <w:numPr>
          <w:ilvl w:val="0"/>
          <w:numId w:val="1014"/>
        </w:numPr>
      </w:pPr>
      <w:r>
        <w:rPr>
          <w:b/>
          <w:bCs/>
        </w:rPr>
        <w:t xml:space="preserve">F1 (→ R1)</w:t>
      </w:r>
      <w:r>
        <w:t xml:space="preserve"> </w:t>
      </w:r>
      <w:r>
        <w:t xml:space="preserve">Monitoring Analytics, LLC (the official Independent Market Monitor for PJM) calculated the market with and without data centers. Its result: “Data center load growth is the primary reason for recent and expected capacity market conditions” [</w:t>
      </w:r>
      <w:hyperlink w:anchor="src-S16" w:history="1">
        <w:r>
          <w:rPr>
            <w:rStyle w:val="SourceLink"/>
          </w:rPr>
          <w:t xml:space="preserve">S16</w:t>
        </w:r>
      </w:hyperlink>
      <w:r>
        <w:t xml:space="preserve">]. In the 2025/26 auction alone, that meant about +$18 per month for households in Western Maryland and +$16 in Ohio, as the Pew Research Center (a nonpartisan research institute) reports [</w:t>
      </w:r>
      <w:hyperlink w:anchor="src-S15" w:history="1">
        <w:r>
          <w:rPr>
            <w:rStyle w:val="SourceLink"/>
          </w:rPr>
          <w:t xml:space="preserve">S15</w:t>
        </w:r>
      </w:hyperlink>
      <w:r>
        <w:t xml:space="preserve">].</w:t>
      </w:r>
    </w:p>
    <w:p>
      <w:pPr>
        <w:pStyle w:val="Compact"/>
        <w:numPr>
          <w:ilvl w:val="0"/>
          <w:numId w:val="1014"/>
        </w:numPr>
      </w:pPr>
      <w:r>
        <w:rPr>
          <w:b/>
          <w:bCs/>
        </w:rPr>
        <w:t xml:space="preserve">F2 (→ R1)</w:t>
      </w:r>
      <w:r>
        <w:t xml:space="preserve"> </w:t>
      </w:r>
      <w:r>
        <w:t xml:space="preserve">Gas prices, weather and old power plants exist with or without data centers. They cannot explain a difference that only appears when data center demand is added to the calculation [</w:t>
      </w:r>
      <w:hyperlink w:anchor="src-S16" w:history="1">
        <w:r>
          <w:rPr>
            <w:rStyle w:val="SourceLink"/>
          </w:rPr>
          <w:t xml:space="preserve">S16</w:t>
        </w:r>
      </w:hyperlink>
      <w:r>
        <w:t xml:space="preserve">,</w:t>
      </w:r>
      <w:r>
        <w:t xml:space="preserve"> </w:t>
      </w:r>
      <w:hyperlink w:anchor="src-S42" w:history="1">
        <w:r>
          <w:rPr>
            <w:rStyle w:val="SourceLink"/>
          </w:rPr>
          <w:t xml:space="preserve">S42</w:t>
        </w:r>
      </w:hyperlink>
      <w:r>
        <w:t xml:space="preserve">].</w:t>
      </w:r>
    </w:p>
    <w:p>
      <w:pPr>
        <w:pStyle w:val="Compact"/>
        <w:numPr>
          <w:ilvl w:val="0"/>
          <w:numId w:val="1014"/>
        </w:numPr>
      </w:pPr>
      <w:r>
        <w:rPr>
          <w:b/>
          <w:bCs/>
        </w:rPr>
        <w:t xml:space="preserve">F3 (→ R2)</w:t>
      </w:r>
    </w:p>
    <w:p>
      <w:pPr>
        <w:pStyle w:val="Compact"/>
        <w:numPr>
          <w:ilvl w:val="1"/>
          <w:numId w:val="1015"/>
        </w:numPr>
      </w:pPr>
      <w:r>
        <w:t xml:space="preserve">The White House pledge is voluntary and has no enforcement mechanism [</w:t>
      </w:r>
      <w:hyperlink w:anchor="src-S26" w:history="1">
        <w:r>
          <w:rPr>
            <w:rStyle w:val="SourceLink"/>
          </w:rPr>
          <w:t xml:space="preserve">S26</w:t>
        </w:r>
      </w:hyperlink>
      <w:r>
        <w:t xml:space="preserve">].</w:t>
      </w:r>
    </w:p>
    <w:p>
      <w:pPr>
        <w:pStyle w:val="Compact"/>
        <w:numPr>
          <w:ilvl w:val="1"/>
          <w:numId w:val="1015"/>
        </w:numPr>
      </w:pPr>
      <w:r>
        <w:t xml:space="preserve">Only 25 of 50 states have a large-customer tariff, so 25 do not [</w:t>
      </w:r>
      <w:hyperlink w:anchor="src-S27" w:history="1">
        <w:r>
          <w:rPr>
            <w:rStyle w:val="SourceLink"/>
          </w:rPr>
          <w:t xml:space="preserve">S27</w:t>
        </w:r>
      </w:hyperlink>
      <w:r>
        <w:t xml:space="preserve">].</w:t>
      </w:r>
    </w:p>
    <w:p>
      <w:pPr>
        <w:pStyle w:val="Compact"/>
        <w:numPr>
          <w:ilvl w:val="1"/>
          <w:numId w:val="1015"/>
        </w:numPr>
      </w:pPr>
      <w:r>
        <w:t xml:space="preserve">AEP Ohio’s rule protects the customers of one utility in one state [</w:t>
      </w:r>
      <w:hyperlink w:anchor="src-S56" w:history="1">
        <w:r>
          <w:rPr>
            <w:rStyle w:val="SourceLink"/>
          </w:rPr>
          <w:t xml:space="preserve">S56</w:t>
        </w:r>
      </w:hyperlink>
      <w:r>
        <w:t xml:space="preserve">].</w:t>
      </w:r>
    </w:p>
    <w:p>
      <w:pPr>
        <w:pStyle w:val="Compact"/>
        <w:numPr>
          <w:ilvl w:val="1"/>
          <w:numId w:val="1015"/>
        </w:numPr>
      </w:pPr>
      <w:r>
        <w:t xml:space="preserve">Monitoring Analytics says the damage already done is “significant and irreversible” [</w:t>
      </w:r>
      <w:hyperlink w:anchor="src-S43" w:history="1">
        <w:r>
          <w:rPr>
            <w:rStyle w:val="SourceLink"/>
          </w:rPr>
          <w:t xml:space="preserve">S43</w:t>
        </w:r>
      </w:hyperlink>
      <w:r>
        <w:t xml:space="preserve">]. No new tariff can refund it.</w:t>
      </w:r>
    </w:p>
    <w:p>
      <w:pPr>
        <w:pStyle w:val="Compact"/>
        <w:numPr>
          <w:ilvl w:val="0"/>
          <w:numId w:val="1014"/>
        </w:numPr>
      </w:pPr>
      <w:r>
        <w:rPr>
          <w:b/>
          <w:bCs/>
        </w:rPr>
        <w:t xml:space="preserve">F4 (→ R3)</w:t>
      </w:r>
      <w:r>
        <w:t xml:space="preserve"> </w:t>
      </w:r>
      <w:r>
        <w:t xml:space="preserve">PJM itself says price caps “do not solve the underlying supply-demand imbalance” [</w:t>
      </w:r>
      <w:hyperlink w:anchor="src-S14" w:history="1">
        <w:r>
          <w:rPr>
            <w:rStyle w:val="SourceLink"/>
          </w:rPr>
          <w:t xml:space="preserve">S14</w:t>
        </w:r>
      </w:hyperlink>
      <w:r>
        <w:t xml:space="preserve">]. The cap limits the price, not the shortage: the safety buffer is only about 14.7% instead of 20% [</w:t>
      </w:r>
      <w:hyperlink w:anchor="src-S14" w:history="1">
        <w:r>
          <w:rPr>
            <w:rStyle w:val="SourceLink"/>
          </w:rPr>
          <w:t xml:space="preserve">S14</w:t>
        </w:r>
      </w:hyperlink>
      <w:r>
        <w:t xml:space="preserve">]. The cap is also temporary and ends after the 2029/30 auction [</w:t>
      </w:r>
      <w:hyperlink w:anchor="src-S80" w:history="1">
        <w:r>
          <w:rPr>
            <w:rStyle w:val="SourceLink"/>
          </w:rPr>
          <w:t xml:space="preserve">S80</w:t>
        </w:r>
      </w:hyperlink>
      <w:r>
        <w:t xml:space="preserve">]. And where there is no such cap, prices go even higher: in the neighboring</w:t>
      </w:r>
      <w:r>
        <w:t xml:space="preserve"> </w:t>
      </w:r>
      <w:hyperlink w:anchor="gl-miso" w:history="1">
        <w:r>
          <w:rPr>
            <w:rStyle w:val="GlossaryLink"/>
          </w:rPr>
          <w:t xml:space="preserve">MISO</w:t>
        </w:r>
      </w:hyperlink>
      <w:r>
        <w:t xml:space="preserve"> </w:t>
      </w:r>
      <w:r>
        <w:t xml:space="preserve">market, the summer price reached $666.50 per</w:t>
      </w:r>
      <w:r>
        <w:t xml:space="preserve"> </w:t>
      </w:r>
      <w:hyperlink w:anchor="gl-units" w:history="1">
        <w:r>
          <w:rPr>
            <w:rStyle w:val="GlossaryLink"/>
          </w:rPr>
          <w:t xml:space="preserve">megawatt</w:t>
        </w:r>
      </w:hyperlink>
      <w:r>
        <w:t xml:space="preserve">-day in 2025/26 – about twice PJM’s cap [</w:t>
      </w:r>
      <w:hyperlink w:anchor="src-S81" w:history="1">
        <w:r>
          <w:rPr>
            <w:rStyle w:val="SourceLink"/>
          </w:rPr>
          <w:t xml:space="preserve">S81</w:t>
        </w:r>
      </w:hyperlink>
      <w:r>
        <w:t xml:space="preserve">].</w:t>
      </w:r>
    </w:p>
    <w:p>
      <w:pPr>
        <w:pStyle w:val="Compact"/>
        <w:numPr>
          <w:ilvl w:val="0"/>
          <w:numId w:val="1014"/>
        </w:numPr>
      </w:pPr>
      <w:r>
        <w:rPr>
          <w:b/>
          <w:bCs/>
        </w:rPr>
        <w:t xml:space="preserve">F5 (→ R4)</w:t>
      </w:r>
      <w:r>
        <w:t xml:space="preserve"> </w:t>
      </w:r>
      <w:r>
        <w:t xml:space="preserve">“Own power” usually means gas turbines or diesel generators right next to people’s homes. That does not remove the cost; it only moves it – from the electricity bill into the air people breathe and into their sleep.</w:t>
      </w:r>
    </w:p>
    <w:p>
      <w:pPr>
        <w:pStyle w:val="Compact"/>
        <w:numPr>
          <w:ilvl w:val="1"/>
          <w:numId w:val="1016"/>
        </w:numPr>
      </w:pPr>
      <w:r>
        <w:t xml:space="preserve">In Memphis, Elon Musk’s AI company</w:t>
      </w:r>
      <w:r>
        <w:t xml:space="preserve"> </w:t>
      </w:r>
      <w:hyperlink w:anchor="gl-xai" w:history="1">
        <w:r>
          <w:rPr>
            <w:rStyle w:val="GlossaryLink"/>
          </w:rPr>
          <w:t xml:space="preserve">xAI</w:t>
        </w:r>
      </w:hyperlink>
      <w:r>
        <w:t xml:space="preserve"> </w:t>
      </w:r>
      <w:r>
        <w:t xml:space="preserve">ran 35 gas turbines without air pollution permits [</w:t>
      </w:r>
      <w:hyperlink w:anchor="src-S20" w:history="1">
        <w:r>
          <w:rPr>
            <w:rStyle w:val="SourceLink"/>
          </w:rPr>
          <w:t xml:space="preserve">S20</w:t>
        </w:r>
      </w:hyperlink>
      <w:r>
        <w:t xml:space="preserve">].</w:t>
      </w:r>
    </w:p>
    <w:p>
      <w:pPr>
        <w:pStyle w:val="Compact"/>
        <w:numPr>
          <w:ilvl w:val="1"/>
          <w:numId w:val="1016"/>
        </w:numPr>
      </w:pPr>
      <w:r>
        <w:t xml:space="preserve">In Southaven, Mississippi, more than 10,000 people live in the area affected by turbine noise, and residents are suing [</w:t>
      </w:r>
      <w:hyperlink w:anchor="src-S38" w:history="1">
        <w:r>
          <w:rPr>
            <w:rStyle w:val="SourceLink"/>
          </w:rPr>
          <w:t xml:space="preserve">S38</w:t>
        </w:r>
      </w:hyperlink>
      <w:r>
        <w:t xml:space="preserve">].</w:t>
      </w:r>
    </w:p>
    <w:p>
      <w:pPr>
        <w:pStyle w:val="Compact"/>
        <w:numPr>
          <w:ilvl w:val="1"/>
          <w:numId w:val="1016"/>
        </w:numPr>
      </w:pPr>
      <w:r>
        <w:t xml:space="preserve">“Own power” rarely means “off the grid”: xAI’s supercomputer still gets 150 megawatts from the public grid, approved by the</w:t>
      </w:r>
      <w:r>
        <w:t xml:space="preserve"> </w:t>
      </w:r>
      <w:hyperlink w:anchor="gl-tva" w:history="1">
        <w:r>
          <w:rPr>
            <w:rStyle w:val="GlossaryLink"/>
          </w:rPr>
          <w:t xml:space="preserve">Tennessee Valley Authority</w:t>
        </w:r>
      </w:hyperlink>
      <w:r>
        <w:t xml:space="preserve"> </w:t>
      </w:r>
      <w:r>
        <w:t xml:space="preserve">(TVA, a federally owned power company) [</w:t>
      </w:r>
      <w:hyperlink w:anchor="src-S40" w:history="1">
        <w:r>
          <w:rPr>
            <w:rStyle w:val="SourceLink"/>
          </w:rPr>
          <w:t xml:space="preserve">S40</w:t>
        </w:r>
      </w:hyperlink>
      <w:r>
        <w:t xml:space="preserve">].</w:t>
      </w:r>
    </w:p>
    <w:p>
      <w:pPr>
        <w:pStyle w:val="Compact"/>
        <w:numPr>
          <w:ilvl w:val="1"/>
          <w:numId w:val="1016"/>
        </w:numPr>
      </w:pPr>
      <w:r>
        <w:t xml:space="preserve">Even Monitoring Analytics’ call for large data centers to bring their own new power plants is only a recommendation, not a rule [</w:t>
      </w:r>
      <w:hyperlink w:anchor="src-S42" w:history="1">
        <w:r>
          <w:rPr>
            <w:rStyle w:val="SourceLink"/>
          </w:rPr>
          <w:t xml:space="preserve">S42</w:t>
        </w:r>
      </w:hyperlink>
      <w:r>
        <w:t xml:space="preserve">].</w:t>
      </w:r>
    </w:p>
    <w:bookmarkEnd w:id="91"/>
    <w:bookmarkStart w:id="93" w:name="p1-chain"/>
    <w:p>
      <w:pPr>
        <w:pStyle w:val="Heading3"/>
      </w:pPr>
      <w:r>
        <w:t xml:space="preserve">Chain of Reasoning (Backup)</w:t>
      </w:r>
    </w:p>
    <w:p>
      <w:pPr>
        <w:pStyle w:val="NavLink"/>
      </w:pPr>
      <w:hyperlink w:anchor="p1-speech" w:history="1">
        <w:r>
          <w:rPr>
            <w:rStyle w:val="NavLinkChar"/>
          </w:rPr>
          <w:t xml:space="preserve">↑ Back to the speech version</w:t>
        </w:r>
      </w:hyperlink>
    </w:p>
    <w:p>
      <w:pPr>
        <w:numPr>
          <w:ilvl w:val="0"/>
          <w:numId w:val="1017"/>
        </w:numPr>
      </w:pPr>
      <w:r>
        <w:rPr>
          <w:b/>
          <w:bCs/>
        </w:rPr>
        <w:t xml:space="preserve">Demand shock.</w:t>
      </w:r>
      <w:r>
        <w:t xml:space="preserve"> </w:t>
      </w:r>
      <w:r>
        <w:t xml:space="preserve">According to Lawrence Berkeley National Laboratory (LBNL, a national research laboratory of the US Department of Energy), the share of US electricity used by data centers could rise from 4.7% (2024) to 11.8% (2030) [</w:t>
      </w:r>
      <w:hyperlink w:anchor="src-S12" w:history="1">
        <w:r>
          <w:rPr>
            <w:rStyle w:val="SourceLink"/>
          </w:rPr>
          <w:t xml:space="preserve">S12</w:t>
        </w:r>
      </w:hyperlink>
      <w:r>
        <w:t xml:space="preserve">]. The International Energy Agency (IEA, the intergovernmental energy organization in Paris, of which the US is a member) expects data centers to account for nearly half of the growth in US electricity demand through 2030 [</w:t>
      </w:r>
      <w:hyperlink w:anchor="src-S13" w:history="1">
        <w:r>
          <w:rPr>
            <w:rStyle w:val="SourceLink"/>
          </w:rPr>
          <w:t xml:space="preserve">S13</w:t>
        </w:r>
      </w:hyperlink>
      <w:r>
        <w:t xml:space="preserve">].</w:t>
      </w:r>
    </w:p>
    <w:p>
      <w:pPr>
        <w:numPr>
          <w:ilvl w:val="0"/>
          <w:numId w:val="1017"/>
        </w:numPr>
      </w:pPr>
      <w:r>
        <w:rPr>
          <w:b/>
          <w:bCs/>
        </w:rPr>
        <w:t xml:space="preserve">Supply is lagging behind.</w:t>
      </w:r>
      <w:r>
        <w:t xml:space="preserve"> </w:t>
      </w:r>
      <w:r>
        <w:t xml:space="preserve">PJM Interconnection is the non-profit operator of the largest US power grid, serving about 67 million people in the eastern US. It buys "capacity" in an auction: power plants are paid in advance to be on standby when they are needed [</w:t>
      </w:r>
      <w:hyperlink w:anchor="src-S14" w:history="1">
        <w:r>
          <w:rPr>
            <w:rStyle w:val="SourceLink"/>
          </w:rPr>
          <w:t xml:space="preserve">S14</w:t>
        </w:r>
      </w:hyperlink>
      <w:r>
        <w:t xml:space="preserve">]. That auction hit the price cap three times in a row – $329.17 (2026/27), $333.44 (2027/28) and $325 (2028/29) per megawatt per day [</w:t>
      </w:r>
      <w:hyperlink w:anchor="src-S14" w:history="1">
        <w:r>
          <w:rPr>
            <w:rStyle w:val="SourceLink"/>
          </w:rPr>
          <w:t xml:space="preserve">S14</w:t>
        </w:r>
      </w:hyperlink>
      <w:r>
        <w:t xml:space="preserve">,</w:t>
      </w:r>
      <w:r>
        <w:t xml:space="preserve"> </w:t>
      </w:r>
      <w:hyperlink w:anchor="src-S80" w:history="1">
        <w:r>
          <w:rPr>
            <w:rStyle w:val="SourceLink"/>
          </w:rPr>
          <w:t xml:space="preserve">S80</w:t>
        </w:r>
      </w:hyperlink>
      <w:r>
        <w:t xml:space="preserve">]. It still missed its reliability target: the safety buffer is only about 14.7% instead of 20% [</w:t>
      </w:r>
      <w:hyperlink w:anchor="src-S14" w:history="1">
        <w:r>
          <w:rPr>
            <w:rStyle w:val="SourceLink"/>
          </w:rPr>
          <w:t xml:space="preserve">S14</w:t>
        </w:r>
      </w:hyperlink>
      <w:r>
        <w:t xml:space="preserve">].</w:t>
      </w:r>
    </w:p>
    <w:p>
      <w:pPr>
        <w:numPr>
          <w:ilvl w:val="0"/>
          <w:numId w:val="1017"/>
        </w:numPr>
      </w:pPr>
      <w:r>
        <w:rPr>
          <w:b/>
          <w:bCs/>
        </w:rPr>
        <w:t xml:space="preserve">Scarcity (Knappheit) means costs for everyone.</w:t>
      </w:r>
      <w:r>
        <w:t xml:space="preserve"> </w:t>
      </w:r>
      <w:r>
        <w:t xml:space="preserve">The Pew Research Center (a nonpartisan research institute in Washington, D.C.) reports that data centers caused about $9.3 billion in additional costs in the 2025/26 auction. For households, that means about +$18 per month in Western Maryland and +$16 per month in Ohio [</w:t>
      </w:r>
      <w:hyperlink w:anchor="src-S15" w:history="1">
        <w:r>
          <w:rPr>
            <w:rStyle w:val="SourceLink"/>
          </w:rPr>
          <w:t xml:space="preserve">S15</w:t>
        </w:r>
      </w:hyperlink>
      <w:r>
        <w:t xml:space="preserve">].</w:t>
      </w:r>
    </w:p>
    <w:p>
      <w:pPr>
        <w:numPr>
          <w:ilvl w:val="0"/>
          <w:numId w:val="1017"/>
        </w:numPr>
      </w:pPr>
      <w:r>
        <w:rPr>
          <w:b/>
          <w:bCs/>
        </w:rPr>
        <w:t xml:space="preserve">We pay for data centers that don't exist yet.</w:t>
      </w:r>
      <w:r>
        <w:t xml:space="preserve"> </w:t>
      </w:r>
      <w:r>
        <w:t xml:space="preserve">Monitoring Analytics, LLC (the official Independent Market Monitor for PJM, i.e. the company appointed to watch PJM's market) calculated the December 2025 auction with and without data centers:</w:t>
      </w:r>
    </w:p>
    <w:p>
      <w:pPr>
        <w:pStyle w:val="Compact"/>
        <w:numPr>
          <w:ilvl w:val="1"/>
          <w:numId w:val="1018"/>
        </w:numPr>
      </w:pPr>
      <w:r>
        <w:t xml:space="preserve">Data centers account for $6.5 billion of the $16.4 billion in capacity costs (40%).</w:t>
      </w:r>
    </w:p>
    <w:p>
      <w:pPr>
        <w:pStyle w:val="Compact"/>
        <w:numPr>
          <w:ilvl w:val="1"/>
          <w:numId w:val="1018"/>
        </w:numPr>
      </w:pPr>
      <w:r>
        <w:t xml:space="preserve">$6.2 billion of that is for data centers that have not been built yet and are only expected to connect by June 2027 [</w:t>
      </w:r>
      <w:hyperlink w:anchor="src-S16" w:history="1">
        <w:r>
          <w:rPr>
            <w:rStyle w:val="SourceLink"/>
          </w:rPr>
          <w:t xml:space="preserve">S16</w:t>
        </w:r>
      </w:hyperlink>
      <w:r>
        <w:t xml:space="preserve">].</w:t>
      </w:r>
    </w:p>
    <w:p>
      <w:pPr>
        <w:pStyle w:val="Compact"/>
        <w:numPr>
          <w:ilvl w:val="1"/>
          <w:numId w:val="1018"/>
        </w:numPr>
      </w:pPr>
      <w:r>
        <w:t xml:space="preserve">Across three auctions, data center load added $23.1 billion [</w:t>
      </w:r>
      <w:hyperlink w:anchor="src-S42" w:history="1">
        <w:r>
          <w:rPr>
            <w:rStyle w:val="SourceLink"/>
          </w:rPr>
          <w:t xml:space="preserve">S42</w:t>
        </w:r>
      </w:hyperlink>
      <w:r>
        <w:t xml:space="preserve">].</w:t>
      </w:r>
    </w:p>
    <w:p>
      <w:pPr>
        <w:numPr>
          <w:ilvl w:val="0"/>
          <w:numId w:val="1000"/>
        </w:numPr>
      </w:pPr>
      <w:r>
        <w:t xml:space="preserve">→ A construction freeze keeps new, not-yet-started projects out of future demand forecasts → less projected scarcity → less upward pressure on capacity prices.</w:t>
      </w:r>
    </w:p>
    <w:p>
      <w:pPr>
        <w:numPr>
          <w:ilvl w:val="0"/>
          <w:numId w:val="1017"/>
        </w:numPr>
      </w:pPr>
      <w:r>
        <w:rPr>
          <w:b/>
          <w:bCs/>
        </w:rPr>
        <w:t xml:space="preserve">The structure passes the bill to everyone.</w:t>
      </w:r>
      <w:r>
        <w:t xml:space="preserve"> </w:t>
      </w:r>
      <w:r>
        <w:t xml:space="preserve">The Electricity Law Initiative at Harvard Law School (a research program on energy law) analyzed nearly 50 regulatory proceedings. It concludes: "The very same utility rate structures … are now forcing the public to pay for infrastructure designed to supply a handful of wealthy corporations." [</w:t>
      </w:r>
      <w:hyperlink w:anchor="src-S17" w:history="1">
        <w:r>
          <w:rPr>
            <w:rStyle w:val="SourceLink"/>
          </w:rPr>
          <w:t xml:space="preserve">S17</w:t>
        </w:r>
      </w:hyperlink>
      <w:r>
        <w:t xml:space="preserve">]</w:t>
      </w:r>
    </w:p>
    <w:p>
      <w:pPr>
        <w:numPr>
          <w:ilvl w:val="0"/>
          <w:numId w:val="1017"/>
        </w:numPr>
      </w:pPr>
      <w:r>
        <w:rPr>
          <w:b/>
          <w:bCs/>
        </w:rPr>
        <w:t xml:space="preserve">Impact.</w:t>
      </w:r>
      <w:r>
        <w:t xml:space="preserve"> </w:t>
      </w:r>
      <w:r>
        <w:t xml:space="preserve">Electricity is a basic necessity – no family can opt out of heating, cooling or a working fridge. Higher bills hit poor families hardest. According to the American Council for an Energy-Efficient Economy (ACEEE, a non-profit research organization), low-income households spend a median 8.1% of their income on energy, compared with 3.1% for all households [</w:t>
      </w:r>
      <w:hyperlink w:anchor="src-S83" w:history="1">
        <w:r>
          <w:rPr>
            <w:rStyle w:val="SourceLink"/>
          </w:rPr>
          <w:t xml:space="preserve">S83</w:t>
        </w:r>
      </w:hyperlink>
      <w:r>
        <w:t xml:space="preserve">]. And the damage lasts: Monitoring Analytics speaks of "a significant and irreversible impact on PJM customers that will be paid through May 31, 2028" [</w:t>
      </w:r>
      <w:hyperlink w:anchor="src-S43" w:history="1">
        <w:r>
          <w:rPr>
            <w:rStyle w:val="SourceLink"/>
          </w:rPr>
          <w:t xml:space="preserve">S43</w:t>
        </w:r>
      </w:hyperlink>
      <w:r>
        <w:t xml:space="preserve">]. A moratorium stops new projects from adding to this bill until binding rules make data centers pay their own way.</w:t>
      </w:r>
    </w:p>
    <w:bookmarkStart w:id="92" w:name="p1-further"/>
    <w:p>
      <w:pPr>
        <w:pStyle w:val="Heading4"/>
      </w:pPr>
      <w:r>
        <w:t xml:space="preserve">Further explanation: AEP, large-customer tariffs and the price cap</w:t>
      </w:r>
    </w:p>
    <w:p>
      <w:pPr>
        <w:pStyle w:val="FirstParagraph"/>
      </w:pPr>
      <w:r>
        <w:rPr>
          <w:b/>
          <w:bCs/>
        </w:rPr>
        <w:t xml:space="preserve">Explanation for R2: Who is AEP, and what is a large-customer tariff?</w:t>
      </w:r>
    </w:p>
    <w:p>
      <w:pPr>
        <w:pStyle w:val="Compact"/>
        <w:numPr>
          <w:ilvl w:val="0"/>
          <w:numId w:val="1019"/>
        </w:numPr>
      </w:pPr>
      <w:r>
        <w:rPr>
          <w:b/>
          <w:bCs/>
        </w:rPr>
        <w:t xml:space="preserve">AEP:</w:t>
      </w:r>
      <w:r>
        <w:t xml:space="preserve"> </w:t>
      </w:r>
      <w:r>
        <w:t xml:space="preserve">American Electric Power is one of the largest US electric utilities (more than 5 million customers in 11 states, headquartered in Columbus, Ohio) [</w:t>
      </w:r>
      <w:hyperlink w:anchor="src-S79" w:history="1">
        <w:r>
          <w:rPr>
            <w:rStyle w:val="SourceLink"/>
          </w:rPr>
          <w:t xml:space="preserve">S79</w:t>
        </w:r>
      </w:hyperlink>
      <w:r>
        <w:t xml:space="preserve">]. AEP Ohio is its Ohio branch.</w:t>
      </w:r>
    </w:p>
    <w:p>
      <w:pPr>
        <w:pStyle w:val="Compact"/>
        <w:numPr>
          <w:ilvl w:val="0"/>
          <w:numId w:val="1019"/>
        </w:numPr>
      </w:pPr>
      <w:r>
        <w:rPr>
          <w:b/>
          <w:bCs/>
        </w:rPr>
        <w:t xml:space="preserve">Large-customer tariff:</w:t>
      </w:r>
      <w:r>
        <w:t xml:space="preserve"> </w:t>
      </w:r>
      <w:r>
        <w:t xml:space="preserve">a special set of price rules for very big electricity customers. In July 2025, the Public Utilities Commission of Ohio (PUCO, Ohio's state utility regulator) approved such a tariff for AEP Ohio. New large data centers must pay for at least 85% of the capacity they reserve, for 12 years, even if they use less; if they cancel, they pay an exit fee [</w:t>
      </w:r>
      <w:hyperlink w:anchor="src-S56" w:history="1">
        <w:r>
          <w:rPr>
            <w:rStyle w:val="SourceLink"/>
          </w:rPr>
          <w:t xml:space="preserve">S56</w:t>
        </w:r>
      </w:hyperlink>
      <w:r>
        <w:t xml:space="preserve">].</w:t>
      </w:r>
    </w:p>
    <w:p>
      <w:pPr>
        <w:pStyle w:val="Compact"/>
        <w:numPr>
          <w:ilvl w:val="0"/>
          <w:numId w:val="1019"/>
        </w:numPr>
      </w:pPr>
      <w:r>
        <w:rPr>
          <w:b/>
          <w:bCs/>
        </w:rPr>
        <w:t xml:space="preserve">The 25 states:</w:t>
      </w:r>
      <w:r>
        <w:t xml:space="preserve"> </w:t>
      </w:r>
      <w:r>
        <w:t xml:space="preserve">this count comes from the Edison Electric Institute (EEI, the trade association of US investor-owned power companies) [</w:t>
      </w:r>
      <w:hyperlink w:anchor="src-S27" w:history="1">
        <w:r>
          <w:rPr>
            <w:rStyle w:val="SourceLink"/>
          </w:rPr>
          <w:t xml:space="preserve">S27</w:t>
        </w:r>
      </w:hyperlink>
      <w:r>
        <w:t xml:space="preserve">].</w:t>
      </w:r>
    </w:p>
    <w:p>
      <w:pPr>
        <w:pStyle w:val="Compact"/>
        <w:numPr>
          <w:ilvl w:val="0"/>
          <w:numId w:val="1019"/>
        </w:numPr>
      </w:pPr>
      <w:r>
        <w:rPr>
          <w:b/>
          <w:bCs/>
        </w:rPr>
        <w:t xml:space="preserve">The White House pledge:</w:t>
      </w:r>
      <w:r>
        <w:t xml:space="preserve"> </w:t>
      </w:r>
      <w:r>
        <w:t xml:space="preserve">the "Ratepayer Protection Pledge" from March 2026 [</w:t>
      </w:r>
      <w:hyperlink w:anchor="src-S26" w:history="1">
        <w:r>
          <w:rPr>
            <w:rStyle w:val="SourceLink"/>
          </w:rPr>
          <w:t xml:space="preserve">S26</w:t>
        </w:r>
      </w:hyperlink>
      <w:r>
        <w:t xml:space="preserve">].</w:t>
      </w:r>
    </w:p>
    <w:p>
      <w:pPr>
        <w:pStyle w:val="FirstParagraph"/>
      </w:pPr>
      <w:r>
        <w:rPr>
          <w:b/>
          <w:bCs/>
        </w:rPr>
        <w:t xml:space="preserve">Explanation for R3: What is the price cap – and does it exist elsewhere?</w:t>
      </w:r>
    </w:p>
    <w:p>
      <w:pPr>
        <w:pStyle w:val="BodyText"/>
      </w:pPr>
      <w:r>
        <w:t xml:space="preserve">In PJM's capacity auction, power plants bid to be on standby. The price cap is the highest price the auction may reach (in dollars per megawatt of standby capacity per day); there is also a minimum price, the "floor". Together they are called a "price collar".</w:t>
      </w:r>
    </w:p>
    <w:p>
      <w:pPr>
        <w:pStyle w:val="BodyText"/>
      </w:pPr>
      <w:r>
        <w:t xml:space="preserve">How it came about: in 2024 the auction jumped to a record $269.92. Pennsylvania's Governor Josh Shapiro then filed a complaint with FERC (the Federal Energy Regulatory Commission, the federal agency that oversees interstate electricity markets). PJM settled in January 2025, and FERC approved the cap in April 2025: the maximum was lowered from about $500 to about $325, with a floor of about $175. In April 2026, FERC accepted an extension through the 2029/30 auction [</w:t>
      </w:r>
      <w:hyperlink w:anchor="src-S80" w:history="1">
        <w:r>
          <w:rPr>
            <w:rStyle w:val="SourceLink"/>
          </w:rPr>
          <w:t xml:space="preserve">S80</w:t>
        </w:r>
      </w:hyperlink>
      <w:r>
        <w:t xml:space="preserve">].</w:t>
      </w:r>
    </w:p>
    <w:p>
      <w:pPr>
        <w:pStyle w:val="BodyText"/>
      </w:pPr>
      <w:r>
        <w:t xml:space="preserve">The cap protects households from even higher prices, but it does not create a single new power plant.</w:t>
      </w:r>
    </w:p>
    <w:p>
      <w:pPr>
        <w:pStyle w:val="Caption"/>
      </w:pPr>
      <w:r>
        <w:rPr>
          <w:b/>
          <w:bCs/>
        </w:rPr>
        <w:t xml:space="preserve">Table 1 – PJM capacity auctions and the price cap</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746"/>
        <w:gridCol w:w="2209"/>
        <w:gridCol w:w="4234"/>
        <w:gridCol w:w="1223"/>
      </w:tblGrid>
      <w:tr>
        <w:trPr>
          <w:tblHeader w:val="true"/>
        </w:trPr>
        <w:tc>
          <w:tcPr>
            <w:tcW w:w="1746" w:type="dxa"/>
            <w:shd w:val="clear" w:color="auto" w:fill="DCE6F2"/>
          </w:tcPr>
          <w:p>
            <w:pPr>
              <w:pStyle w:val="TableText"/>
              <w:jc w:val="left"/>
            </w:pPr>
            <w:r>
              <w:rPr>
                <w:b/>
              </w:rPr>
              <w:t xml:space="preserve">Delivery year</w:t>
            </w:r>
          </w:p>
        </w:tc>
        <w:tc>
          <w:tcPr>
            <w:tcW w:w="2209" w:type="dxa"/>
            <w:shd w:val="clear" w:color="auto" w:fill="DCE6F2"/>
          </w:tcPr>
          <w:p>
            <w:pPr>
              <w:pStyle w:val="TableText"/>
              <w:jc w:val="left"/>
            </w:pPr>
            <w:r>
              <w:rPr>
                <w:b/>
              </w:rPr>
              <w:t xml:space="preserve">Clearing price (per MW-day)</w:t>
            </w:r>
          </w:p>
        </w:tc>
        <w:tc>
          <w:tcPr>
            <w:tcW w:w="4234" w:type="dxa"/>
            <w:shd w:val="clear" w:color="auto" w:fill="DCE6F2"/>
          </w:tcPr>
          <w:p>
            <w:pPr>
              <w:pStyle w:val="TableText"/>
              <w:jc w:val="left"/>
            </w:pPr>
            <w:r>
              <w:rPr>
                <w:b/>
              </w:rPr>
              <w:t xml:space="preserve">What happened</w:t>
            </w:r>
          </w:p>
        </w:tc>
        <w:tc>
          <w:tcPr>
            <w:tcW w:w="1223" w:type="dxa"/>
            <w:shd w:val="clear" w:color="auto" w:fill="DCE6F2"/>
          </w:tcPr>
          <w:p>
            <w:pPr>
              <w:pStyle w:val="TableText"/>
              <w:jc w:val="left"/>
            </w:pPr>
            <w:r>
              <w:rPr>
                <w:b/>
              </w:rPr>
              <w:t xml:space="preserve">Source</w:t>
            </w:r>
          </w:p>
        </w:tc>
      </w:tr>
      <w:tr>
        <w:tc>
          <w:tcPr>
            <w:tcW w:w="1746" w:type="dxa"/>
          </w:tcPr>
          <w:p>
            <w:pPr>
              <w:pStyle w:val="TableText"/>
              <w:jc w:val="left"/>
            </w:pPr>
            <w:r>
              <w:t xml:space="preserve">2025/26</w:t>
            </w:r>
          </w:p>
        </w:tc>
        <w:tc>
          <w:tcPr>
            <w:tcW w:w="2209" w:type="dxa"/>
          </w:tcPr>
          <w:p>
            <w:pPr>
              <w:pStyle w:val="TableText"/>
              <w:jc w:val="left"/>
            </w:pPr>
            <w:r>
              <w:t xml:space="preserve">$269.92</w:t>
            </w:r>
          </w:p>
        </w:tc>
        <w:tc>
          <w:tcPr>
            <w:tcW w:w="4234" w:type="dxa"/>
          </w:tcPr>
          <w:p>
            <w:pPr>
              <w:pStyle w:val="TableText"/>
              <w:jc w:val="left"/>
            </w:pPr>
            <w:r>
              <w:t xml:space="preserve">Record price; no cap existed yet. Pennsylvania challenged PJM at FERC.</w:t>
            </w:r>
          </w:p>
        </w:tc>
        <w:tc>
          <w:tcPr>
            <w:tcW w:w="1223" w:type="dxa"/>
          </w:tcPr>
          <w:p>
            <w:pPr>
              <w:pStyle w:val="TableText"/>
              <w:jc w:val="left"/>
            </w:pPr>
            <w:r>
              <w:t xml:space="preserve">[</w:t>
            </w:r>
            <w:hyperlink w:anchor="src-S80" w:history="1">
              <w:r>
                <w:rPr>
                  <w:rStyle w:val="SourceLink"/>
                </w:rPr>
                <w:t xml:space="preserve">S80</w:t>
              </w:r>
            </w:hyperlink>
            <w:r>
              <w:t xml:space="preserve">]</w:t>
            </w:r>
          </w:p>
        </w:tc>
      </w:tr>
      <w:tr>
        <w:tc>
          <w:tcPr>
            <w:tcW w:w="1746" w:type="dxa"/>
          </w:tcPr>
          <w:p>
            <w:pPr>
              <w:pStyle w:val="TableText"/>
              <w:jc w:val="left"/>
            </w:pPr>
            <w:r>
              <w:t xml:space="preserve">2026/27</w:t>
            </w:r>
          </w:p>
        </w:tc>
        <w:tc>
          <w:tcPr>
            <w:tcW w:w="2209" w:type="dxa"/>
          </w:tcPr>
          <w:p>
            <w:pPr>
              <w:pStyle w:val="TableText"/>
              <w:jc w:val="left"/>
            </w:pPr>
            <w:r>
              <w:t xml:space="preserve">$329.17</w:t>
            </w:r>
          </w:p>
        </w:tc>
        <w:tc>
          <w:tcPr>
            <w:tcW w:w="4234" w:type="dxa"/>
          </w:tcPr>
          <w:p>
            <w:pPr>
              <w:pStyle w:val="TableText"/>
              <w:jc w:val="left"/>
            </w:pPr>
            <w:r>
              <w:t xml:space="preserve">First auction with the cap – cleared exactly at the cap.</w:t>
            </w:r>
          </w:p>
        </w:tc>
        <w:tc>
          <w:tcPr>
            <w:tcW w:w="1223" w:type="dxa"/>
          </w:tcPr>
          <w:p>
            <w:pPr>
              <w:pStyle w:val="TableText"/>
              <w:jc w:val="left"/>
            </w:pPr>
            <w:r>
              <w:t xml:space="preserve">[</w:t>
            </w:r>
            <w:hyperlink w:anchor="src-S14" w:history="1">
              <w:r>
                <w:rPr>
                  <w:rStyle w:val="SourceLink"/>
                </w:rPr>
                <w:t xml:space="preserve">S14</w:t>
              </w:r>
            </w:hyperlink>
            <w:r>
              <w:t xml:space="preserve">,</w:t>
            </w:r>
            <w:r>
              <w:t xml:space="preserve"> </w:t>
            </w:r>
            <w:hyperlink w:anchor="src-S80" w:history="1">
              <w:r>
                <w:rPr>
                  <w:rStyle w:val="SourceLink"/>
                </w:rPr>
                <w:t xml:space="preserve">S80</w:t>
              </w:r>
            </w:hyperlink>
            <w:r>
              <w:t xml:space="preserve">]</w:t>
            </w:r>
          </w:p>
        </w:tc>
      </w:tr>
      <w:tr>
        <w:tc>
          <w:tcPr>
            <w:tcW w:w="1746" w:type="dxa"/>
          </w:tcPr>
          <w:p>
            <w:pPr>
              <w:pStyle w:val="TableText"/>
              <w:jc w:val="left"/>
            </w:pPr>
            <w:r>
              <w:t xml:space="preserve">2027/28</w:t>
            </w:r>
          </w:p>
        </w:tc>
        <w:tc>
          <w:tcPr>
            <w:tcW w:w="2209" w:type="dxa"/>
          </w:tcPr>
          <w:p>
            <w:pPr>
              <w:pStyle w:val="TableText"/>
              <w:jc w:val="left"/>
            </w:pPr>
            <w:r>
              <w:t xml:space="preserve">$333.44</w:t>
            </w:r>
          </w:p>
        </w:tc>
        <w:tc>
          <w:tcPr>
            <w:tcW w:w="4234" w:type="dxa"/>
          </w:tcPr>
          <w:p>
            <w:pPr>
              <w:pStyle w:val="TableText"/>
              <w:jc w:val="left"/>
            </w:pPr>
            <w:r>
              <w:t xml:space="preserve">At the cap again; 6,516.6 MW short of the reliability target.</w:t>
            </w:r>
          </w:p>
        </w:tc>
        <w:tc>
          <w:tcPr>
            <w:tcW w:w="1223" w:type="dxa"/>
          </w:tcPr>
          <w:p>
            <w:pPr>
              <w:pStyle w:val="TableText"/>
              <w:jc w:val="left"/>
            </w:pPr>
            <w:r>
              <w:t xml:space="preserve">[</w:t>
            </w:r>
            <w:hyperlink w:anchor="src-S16" w:history="1">
              <w:r>
                <w:rPr>
                  <w:rStyle w:val="SourceLink"/>
                </w:rPr>
                <w:t xml:space="preserve">S16</w:t>
              </w:r>
            </w:hyperlink>
            <w:r>
              <w:t xml:space="preserve">,</w:t>
            </w:r>
            <w:r>
              <w:t xml:space="preserve"> </w:t>
            </w:r>
            <w:hyperlink w:anchor="src-S80" w:history="1">
              <w:r>
                <w:rPr>
                  <w:rStyle w:val="SourceLink"/>
                </w:rPr>
                <w:t xml:space="preserve">S80</w:t>
              </w:r>
            </w:hyperlink>
            <w:r>
              <w:t xml:space="preserve">]</w:t>
            </w:r>
          </w:p>
        </w:tc>
      </w:tr>
      <w:tr>
        <w:tc>
          <w:tcPr>
            <w:tcW w:w="1746" w:type="dxa"/>
          </w:tcPr>
          <w:p>
            <w:pPr>
              <w:pStyle w:val="TableText"/>
              <w:jc w:val="left"/>
            </w:pPr>
            <w:r>
              <w:t xml:space="preserve">2028/29</w:t>
            </w:r>
          </w:p>
        </w:tc>
        <w:tc>
          <w:tcPr>
            <w:tcW w:w="2209" w:type="dxa"/>
          </w:tcPr>
          <w:p>
            <w:pPr>
              <w:pStyle w:val="TableText"/>
              <w:jc w:val="left"/>
            </w:pPr>
            <w:r>
              <w:t xml:space="preserve">$325.00</w:t>
            </w:r>
          </w:p>
        </w:tc>
        <w:tc>
          <w:tcPr>
            <w:tcW w:w="4234" w:type="dxa"/>
          </w:tcPr>
          <w:p>
            <w:pPr>
              <w:pStyle w:val="TableText"/>
              <w:jc w:val="left"/>
            </w:pPr>
            <w:r>
              <w:t xml:space="preserve">At the cap for the third time; 6,831 MW below the reliability standard, buffer ~14.7% instead of 20%.</w:t>
            </w:r>
          </w:p>
        </w:tc>
        <w:tc>
          <w:tcPr>
            <w:tcW w:w="1223" w:type="dxa"/>
          </w:tcPr>
          <w:p>
            <w:pPr>
              <w:pStyle w:val="TableText"/>
              <w:jc w:val="left"/>
            </w:pPr>
            <w:r>
              <w:t xml:space="preserve">[</w:t>
            </w:r>
            <w:hyperlink w:anchor="src-S14" w:history="1">
              <w:r>
                <w:rPr>
                  <w:rStyle w:val="SourceLink"/>
                </w:rPr>
                <w:t xml:space="preserve">S14</w:t>
              </w:r>
            </w:hyperlink>
            <w:r>
              <w:t xml:space="preserve">,</w:t>
            </w:r>
            <w:r>
              <w:t xml:space="preserve"> </w:t>
            </w:r>
            <w:hyperlink w:anchor="src-S80" w:history="1">
              <w:r>
                <w:rPr>
                  <w:rStyle w:val="SourceLink"/>
                </w:rPr>
                <w:t xml:space="preserve">S80</w:t>
              </w:r>
            </w:hyperlink>
            <w:r>
              <w:t xml:space="preserve">]</w:t>
            </w:r>
          </w:p>
        </w:tc>
      </w:tr>
      <w:tr>
        <w:tc>
          <w:tcPr>
            <w:tcW w:w="1746" w:type="dxa"/>
          </w:tcPr>
          <w:p>
            <w:pPr>
              <w:pStyle w:val="TableText"/>
              <w:jc w:val="left"/>
            </w:pPr>
            <w:r>
              <w:t xml:space="preserve">2029/30</w:t>
            </w:r>
          </w:p>
        </w:tc>
        <w:tc>
          <w:tcPr>
            <w:tcW w:w="2209" w:type="dxa"/>
          </w:tcPr>
          <w:p>
            <w:pPr>
              <w:pStyle w:val="TableText"/>
              <w:jc w:val="left"/>
            </w:pPr>
            <w:r>
              <w:t xml:space="preserve">cap $325 / floor $175</w:t>
            </w:r>
          </w:p>
        </w:tc>
        <w:tc>
          <w:tcPr>
            <w:tcW w:w="4234" w:type="dxa"/>
          </w:tcPr>
          <w:p>
            <w:pPr>
              <w:pStyle w:val="TableText"/>
              <w:jc w:val="left"/>
            </w:pPr>
            <w:r>
              <w:t xml:space="preserve">Last auction under the current cap – after that it ends unless extended again.</w:t>
            </w:r>
          </w:p>
        </w:tc>
        <w:tc>
          <w:tcPr>
            <w:tcW w:w="1223" w:type="dxa"/>
          </w:tcPr>
          <w:p>
            <w:pPr>
              <w:pStyle w:val="TableText"/>
              <w:jc w:val="left"/>
            </w:pPr>
            <w:r>
              <w:t xml:space="preserve">[</w:t>
            </w:r>
            <w:hyperlink w:anchor="src-S80" w:history="1">
              <w:r>
                <w:rPr>
                  <w:rStyle w:val="SourceLink"/>
                </w:rPr>
                <w:t xml:space="preserve">S80</w:t>
              </w:r>
            </w:hyperlink>
            <w:r>
              <w:t xml:space="preserve">]</w:t>
            </w:r>
          </w:p>
        </w:tc>
      </w:tr>
    </w:tbl>
    <w:p>
      <w:pPr>
        <w:pStyle w:val="Caption"/>
        <w:spacing w:before="200"/>
      </w:pPr>
      <w:r>
        <w:rPr>
          <w:b/>
          <w:bCs/>
        </w:rPr>
        <w:t xml:space="preserve">Table 2 – Price limits at other US grid operators</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838"/>
        <w:gridCol w:w="1675"/>
        <w:gridCol w:w="3675"/>
        <w:gridCol w:w="1224"/>
      </w:tblGrid>
      <w:tr>
        <w:trPr>
          <w:tblHeader w:val="true"/>
        </w:trPr>
        <w:tc>
          <w:tcPr>
            <w:tcW w:w="2838" w:type="dxa"/>
            <w:shd w:val="clear" w:color="auto" w:fill="DCE6F2"/>
          </w:tcPr>
          <w:p>
            <w:pPr>
              <w:pStyle w:val="TableText"/>
              <w:jc w:val="left"/>
            </w:pPr>
            <w:r>
              <w:rPr>
                <w:b/>
              </w:rPr>
              <w:t xml:space="preserve">Grid operator (region)</w:t>
            </w:r>
          </w:p>
        </w:tc>
        <w:tc>
          <w:tcPr>
            <w:tcW w:w="1675" w:type="dxa"/>
            <w:shd w:val="clear" w:color="auto" w:fill="DCE6F2"/>
          </w:tcPr>
          <w:p>
            <w:pPr>
              <w:pStyle w:val="TableText"/>
              <w:jc w:val="left"/>
            </w:pPr>
            <w:r>
              <w:rPr>
                <w:b/>
              </w:rPr>
              <w:t xml:space="preserve">Capacity auction?</w:t>
            </w:r>
          </w:p>
        </w:tc>
        <w:tc>
          <w:tcPr>
            <w:tcW w:w="3675" w:type="dxa"/>
            <w:shd w:val="clear" w:color="auto" w:fill="DCE6F2"/>
          </w:tcPr>
          <w:p>
            <w:pPr>
              <w:pStyle w:val="TableText"/>
              <w:jc w:val="left"/>
            </w:pPr>
            <w:r>
              <w:rPr>
                <w:b/>
              </w:rPr>
              <w:t xml:space="preserve">Price limit and example</w:t>
            </w:r>
          </w:p>
        </w:tc>
        <w:tc>
          <w:tcPr>
            <w:tcW w:w="1224" w:type="dxa"/>
            <w:shd w:val="clear" w:color="auto" w:fill="DCE6F2"/>
          </w:tcPr>
          <w:p>
            <w:pPr>
              <w:pStyle w:val="TableText"/>
              <w:jc w:val="left"/>
            </w:pPr>
            <w:r>
              <w:rPr>
                <w:b/>
              </w:rPr>
              <w:t xml:space="preserve">Source</w:t>
            </w:r>
          </w:p>
        </w:tc>
      </w:tr>
      <w:tr>
        <w:tc>
          <w:tcPr>
            <w:tcW w:w="2838" w:type="dxa"/>
          </w:tcPr>
          <w:p>
            <w:pPr>
              <w:pStyle w:val="TableText"/>
              <w:jc w:val="left"/>
            </w:pPr>
            <w:r>
              <w:t xml:space="preserve">PJM Interconnection (eastern US, about 67 million people)</w:t>
            </w:r>
          </w:p>
        </w:tc>
        <w:tc>
          <w:tcPr>
            <w:tcW w:w="1675" w:type="dxa"/>
          </w:tcPr>
          <w:p>
            <w:pPr>
              <w:pStyle w:val="TableText"/>
              <w:jc w:val="left"/>
            </w:pPr>
            <w:r>
              <w:t xml:space="preserve">Yes</w:t>
            </w:r>
          </w:p>
        </w:tc>
        <w:tc>
          <w:tcPr>
            <w:tcW w:w="3675" w:type="dxa"/>
          </w:tcPr>
          <w:p>
            <w:pPr>
              <w:pStyle w:val="TableText"/>
              <w:jc w:val="left"/>
            </w:pPr>
            <w:r>
              <w:t xml:space="preserve">Price collar: max. about $325, min. about $175 per MW-day (2026/27–2029/30); hit the cap three times in a row.</w:t>
            </w:r>
          </w:p>
        </w:tc>
        <w:tc>
          <w:tcPr>
            <w:tcW w:w="1224" w:type="dxa"/>
          </w:tcPr>
          <w:p>
            <w:pPr>
              <w:pStyle w:val="TableText"/>
              <w:jc w:val="left"/>
            </w:pPr>
            <w:r>
              <w:t xml:space="preserve">[</w:t>
            </w:r>
            <w:hyperlink w:anchor="src-S14" w:history="1">
              <w:r>
                <w:rPr>
                  <w:rStyle w:val="SourceLink"/>
                </w:rPr>
                <w:t xml:space="preserve">S14</w:t>
              </w:r>
            </w:hyperlink>
            <w:r>
              <w:t xml:space="preserve">,</w:t>
            </w:r>
            <w:r>
              <w:t xml:space="preserve"> </w:t>
            </w:r>
            <w:hyperlink w:anchor="src-S80" w:history="1">
              <w:r>
                <w:rPr>
                  <w:rStyle w:val="SourceLink"/>
                </w:rPr>
                <w:t xml:space="preserve">S80</w:t>
              </w:r>
            </w:hyperlink>
            <w:r>
              <w:t xml:space="preserve">]</w:t>
            </w:r>
          </w:p>
        </w:tc>
      </w:tr>
      <w:tr>
        <w:tc>
          <w:tcPr>
            <w:tcW w:w="2838" w:type="dxa"/>
          </w:tcPr>
          <w:p>
            <w:pPr>
              <w:pStyle w:val="TableText"/>
              <w:jc w:val="left"/>
            </w:pPr>
            <w:r>
              <w:t xml:space="preserve">MISO – Midcontinent Independent System Operator (Midwest and parts of the South)</w:t>
            </w:r>
          </w:p>
        </w:tc>
        <w:tc>
          <w:tcPr>
            <w:tcW w:w="1675" w:type="dxa"/>
          </w:tcPr>
          <w:p>
            <w:pPr>
              <w:pStyle w:val="TableText"/>
              <w:jc w:val="left"/>
            </w:pPr>
            <w:r>
              <w:t xml:space="preserve">Yes (seasonal auction)</w:t>
            </w:r>
          </w:p>
        </w:tc>
        <w:tc>
          <w:tcPr>
            <w:tcW w:w="3675" w:type="dxa"/>
          </w:tcPr>
          <w:p>
            <w:pPr>
              <w:pStyle w:val="TableText"/>
              <w:jc w:val="left"/>
            </w:pPr>
            <w:r>
              <w:t xml:space="preserve">No negotiated cap like PJM's; prices follow an administrative demand curve. Summer 2025/26: $666.50 per MW-day – about twice PJM's cap.</w:t>
            </w:r>
          </w:p>
        </w:tc>
        <w:tc>
          <w:tcPr>
            <w:tcW w:w="1224" w:type="dxa"/>
          </w:tcPr>
          <w:p>
            <w:pPr>
              <w:pStyle w:val="TableText"/>
              <w:jc w:val="left"/>
            </w:pPr>
            <w:r>
              <w:t xml:space="preserve">[</w:t>
            </w:r>
            <w:hyperlink w:anchor="src-S81" w:history="1">
              <w:r>
                <w:rPr>
                  <w:rStyle w:val="SourceLink"/>
                </w:rPr>
                <w:t xml:space="preserve">S81</w:t>
              </w:r>
            </w:hyperlink>
            <w:r>
              <w:t xml:space="preserve">]</w:t>
            </w:r>
          </w:p>
        </w:tc>
      </w:tr>
      <w:tr>
        <w:tc>
          <w:tcPr>
            <w:tcW w:w="2838" w:type="dxa"/>
          </w:tcPr>
          <w:p>
            <w:pPr>
              <w:pStyle w:val="TableText"/>
              <w:jc w:val="left"/>
            </w:pPr>
            <w:r>
              <w:t xml:space="preserve">ERCOT – Electric Reliability Council of Texas (most of Texas)</w:t>
            </w:r>
          </w:p>
        </w:tc>
        <w:tc>
          <w:tcPr>
            <w:tcW w:w="1675" w:type="dxa"/>
          </w:tcPr>
          <w:p>
            <w:pPr>
              <w:pStyle w:val="TableText"/>
              <w:jc w:val="left"/>
            </w:pPr>
            <w:r>
              <w:t xml:space="preserve">No ("energy-only" market)</w:t>
            </w:r>
          </w:p>
        </w:tc>
        <w:tc>
          <w:tcPr>
            <w:tcW w:w="3675" w:type="dxa"/>
          </w:tcPr>
          <w:p>
            <w:pPr>
              <w:pStyle w:val="TableText"/>
              <w:jc w:val="left"/>
            </w:pPr>
            <w:r>
              <w:t xml:space="preserve">Limits the price of electricity itself: max. $5,000 per MWh (until 2021: $9,000); in emergencies max. $2,000 per MWh.</w:t>
            </w:r>
          </w:p>
        </w:tc>
        <w:tc>
          <w:tcPr>
            <w:tcW w:w="1224" w:type="dxa"/>
          </w:tcPr>
          <w:p>
            <w:pPr>
              <w:pStyle w:val="TableText"/>
              <w:jc w:val="left"/>
            </w:pPr>
            <w:r>
              <w:t xml:space="preserve">[</w:t>
            </w:r>
            <w:hyperlink w:anchor="src-S82" w:history="1">
              <w:r>
                <w:rPr>
                  <w:rStyle w:val="SourceLink"/>
                </w:rPr>
                <w:t xml:space="preserve">S82</w:t>
              </w:r>
            </w:hyperlink>
            <w:r>
              <w:t xml:space="preserve">]</w:t>
            </w:r>
          </w:p>
        </w:tc>
      </w:tr>
    </w:tbl>
    <w:p>
      <w:pPr>
        <w:pStyle w:val="BodyText"/>
        <w:spacing w:before="200"/>
      </w:pPr>
      <w:r>
        <w:rPr>
          <w:b/>
          <w:bCs/>
        </w:rPr>
        <w:t xml:space="preserve">In short:</w:t>
      </w:r>
      <w:r>
        <w:t xml:space="preserve"> </w:t>
      </w:r>
      <w:r>
        <w:t xml:space="preserve">Yes, other grid operators have price limits too, but in different forms. Where there is no cap like PJM's, the price can go much higher: MISO's summer 2025/26 price was about twice PJM's cap [</w:t>
      </w:r>
      <w:hyperlink w:anchor="src-S81" w:history="1">
        <w:r>
          <w:rPr>
            <w:rStyle w:val="SourceLink"/>
          </w:rPr>
          <w:t xml:space="preserve">S81</w:t>
        </w:r>
      </w:hyperlink>
      <w:r>
        <w:t xml:space="preserve">]. Texas has no capacity auction at all and caps the price of electricity instead [</w:t>
      </w:r>
      <w:hyperlink w:anchor="src-S82" w:history="1">
        <w:r>
          <w:rPr>
            <w:rStyle w:val="SourceLink"/>
          </w:rPr>
          <w:t xml:space="preserve">S82</w:t>
        </w:r>
      </w:hyperlink>
      <w:r>
        <w:t xml:space="preserve">].</w:t>
      </w:r>
    </w:p>
    <w:bookmarkEnd w:id="92"/>
    <w:bookmarkEnd w:id="93"/>
    <w:bookmarkEnd w:id="94"/>
    <w:bookmarkStart w:id="97" w:name="p2"/>
    <w:p>
      <w:pPr>
        <w:pStyle w:val="Heading2"/>
        <w:pageBreakBefore/>
      </w:pPr>
      <w:r>
        <w:t xml:space="preserve">P2 Security of Supply: The Grid Can't Keep Up</w:t>
      </w:r>
    </w:p>
    <w:p>
      <w:pPr>
        <w:pStyle w:val="HeadingNote"/>
      </w:pPr>
      <w:r>
        <w:rPr>
          <w:i/>
          <w:iCs/>
        </w:rPr>
        <w:t xml:space="preserve">(I won’t use the argument)</w:t>
      </w:r>
    </w:p>
    <w:p>
      <w:pPr>
        <w:pStyle w:val="BodyText"/>
      </w:pPr>
      <w:r>
        <w:rPr>
          <w:b/>
          <w:bCs/>
        </w:rPr>
        <w:t xml:space="preserve">What Pro argues:</w:t>
      </w:r>
      <w:r>
        <w:t xml:space="preserve"> </w:t>
      </w:r>
      <w:r>
        <w:t xml:space="preserve">Data centers add demand faster than power plants can be built.</w:t>
      </w:r>
      <w:r>
        <w:t xml:space="preserve"> </w:t>
      </w:r>
      <w:hyperlink w:anchor="gl-pjm" w:history="1">
        <w:r>
          <w:rPr>
            <w:rStyle w:val="GlossaryLink"/>
          </w:rPr>
          <w:t xml:space="preserve">PJM</w:t>
        </w:r>
      </w:hyperlink>
      <w:r>
        <w:t xml:space="preserve"> </w:t>
      </w:r>
      <w:r>
        <w:t xml:space="preserve">is 6,831</w:t>
      </w:r>
      <w:r>
        <w:t xml:space="preserve"> </w:t>
      </w:r>
      <w:hyperlink w:anchor="gl-units" w:history="1">
        <w:r>
          <w:rPr>
            <w:rStyle w:val="GlossaryLink"/>
          </w:rPr>
          <w:t xml:space="preserve">MW</w:t>
        </w:r>
      </w:hyperlink>
      <w:r>
        <w:t xml:space="preserve"> </w:t>
      </w:r>
      <w:r>
        <w:t xml:space="preserve">below its reliability standard [</w:t>
      </w:r>
      <w:hyperlink w:anchor="src-S14" w:history="1">
        <w:r>
          <w:rPr>
            <w:rStyle w:val="SourceLink"/>
          </w:rPr>
          <w:t xml:space="preserve">S14</w:t>
        </w:r>
      </w:hyperlink>
      <w:r>
        <w:t xml:space="preserve">],</w:t>
      </w:r>
      <w:r>
        <w:t xml:space="preserve"> </w:t>
      </w:r>
      <w:hyperlink w:anchor="gl-nerc" w:history="1">
        <w:r>
          <w:rPr>
            <w:rStyle w:val="GlossaryLink"/>
          </w:rPr>
          <w:t xml:space="preserve">NERC</w:t>
        </w:r>
      </w:hyperlink>
      <w:r>
        <w:t xml:space="preserve"> </w:t>
      </w:r>
      <w:r>
        <w:t xml:space="preserve">sees elevated or high risk in 13 of 23 regions [</w:t>
      </w:r>
      <w:hyperlink w:anchor="src-S45" w:history="1">
        <w:r>
          <w:rPr>
            <w:rStyle w:val="SourceLink"/>
          </w:rPr>
          <w:t xml:space="preserve">S45</w:t>
        </w:r>
      </w:hyperlink>
      <w:r>
        <w:t xml:space="preserve">], and in 2024, 60 data centers dropped off the Virginia grid at once [</w:t>
      </w:r>
      <w:hyperlink w:anchor="src-S44" w:history="1">
        <w:r>
          <w:rPr>
            <w:rStyle w:val="SourceLink"/>
          </w:rPr>
          <w:t xml:space="preserve">S44</w:t>
        </w:r>
      </w:hyperlink>
      <w:r>
        <w:t xml:space="preserve">]. So, Pro says, a</w:t>
      </w:r>
      <w:r>
        <w:t xml:space="preserve"> </w:t>
      </w:r>
      <w:hyperlink w:anchor="gl-moratorium" w:history="1">
        <w:r>
          <w:rPr>
            <w:rStyle w:val="GlossaryLink"/>
          </w:rPr>
          <w:t xml:space="preserve">moratorium</w:t>
        </w:r>
      </w:hyperlink>
      <w:r>
        <w:t xml:space="preserve"> </w:t>
      </w:r>
      <w:r>
        <w:t xml:space="preserve">is needed to prevent blackouts.</w:t>
      </w:r>
    </w:p>
    <w:p>
      <w:pPr>
        <w:pStyle w:val="BodyText"/>
      </w:pPr>
      <w:r>
        <w:rPr>
          <w:b/>
          <w:bCs/>
        </w:rPr>
        <w:t xml:space="preserve">Notes (What said the opponent):</w:t>
      </w:r>
    </w:p>
    <w:bookmarkStart w:id="96" w:name="p2-contra"/>
    <w:p>
      <w:pPr>
        <w:pStyle w:val="Heading3"/>
      </w:pPr>
      <w:r>
        <w:t xml:space="preserve">For Contra</w:t>
      </w:r>
    </w:p>
    <w:bookmarkStart w:id="95" w:name="p2-contra-r1"/>
    <w:p>
      <w:pPr>
        <w:pStyle w:val="Heading4"/>
      </w:pPr>
      <w:r>
        <w:t xml:space="preserve">R1 – Data centers increasingly bring their own power</w:t>
      </w:r>
    </w:p>
    <w:p>
      <w:pPr>
        <w:pStyle w:val="FirstParagraph"/>
      </w:pPr>
      <w:r>
        <w:rPr>
          <w:b/>
          <w:bCs/>
        </w:rPr>
        <w:t xml:space="preserve">Claim:</w:t>
      </w:r>
      <w:r>
        <w:t xml:space="preserve"> </w:t>
      </w:r>
      <w:r>
        <w:t xml:space="preserve">The biggest data centers no longer rely only on the public grid. They are building and buying their own power plants, and new rules already require them to.</w:t>
      </w:r>
    </w:p>
    <w:p>
      <w:pPr>
        <w:pStyle w:val="BodyText"/>
      </w:pPr>
      <w:r>
        <w:rPr>
          <w:b/>
          <w:bCs/>
        </w:rPr>
        <w:t xml:space="preserve">Proof &amp; Examples:</w:t>
      </w:r>
    </w:p>
    <w:p>
      <w:pPr>
        <w:pStyle w:val="Compact"/>
        <w:numPr>
          <w:ilvl w:val="0"/>
          <w:numId w:val="1020"/>
        </w:numPr>
      </w:pPr>
      <w:r>
        <w:rPr>
          <w:b/>
          <w:bCs/>
        </w:rPr>
        <w:t xml:space="preserve">Off-grid power plant:</w:t>
      </w:r>
      <w:r>
        <w:t xml:space="preserve"> </w:t>
      </w:r>
      <w:r>
        <w:t xml:space="preserve">Chevron (the US oil and gas company) signed a 20-year contract in June 2026 to supply a Microsoft data center in West Texas from its own 2.67 GW gas power plant. The plant will initially not be connected to the public grid [</w:t>
      </w:r>
      <w:hyperlink w:anchor="src-S84" w:history="1">
        <w:r>
          <w:rPr>
            <w:rStyle w:val="SourceLink"/>
          </w:rPr>
          <w:t xml:space="preserve">S84</w:t>
        </w:r>
      </w:hyperlink>
      <w:r>
        <w:t xml:space="preserve">].</w:t>
      </w:r>
    </w:p>
    <w:p>
      <w:pPr>
        <w:pStyle w:val="Compact"/>
        <w:numPr>
          <w:ilvl w:val="0"/>
          <w:numId w:val="1020"/>
        </w:numPr>
      </w:pPr>
      <w:r>
        <w:rPr>
          <w:b/>
          <w:bCs/>
        </w:rPr>
        <w:t xml:space="preserve">The trend:</w:t>
      </w:r>
      <w:r>
        <w:t xml:space="preserve"> </w:t>
      </w:r>
      <w:r>
        <w:t xml:space="preserve">more than a third of the roughly 252 GW of gas power plants in development in the US are meant to power data centers directly on site, according to</w:t>
      </w:r>
      <w:r>
        <w:t xml:space="preserve"> </w:t>
      </w:r>
      <w:hyperlink w:anchor="gl-gem" w:history="1">
        <w:r>
          <w:rPr>
            <w:rStyle w:val="GlossaryLink"/>
          </w:rPr>
          <w:t xml:space="preserve">Global Energy Monitor</w:t>
        </w:r>
      </w:hyperlink>
      <w:r>
        <w:t xml:space="preserve"> </w:t>
      </w:r>
      <w:r>
        <w:t xml:space="preserve">(an independent research organization that tracks power plant projects) [</w:t>
      </w:r>
      <w:hyperlink w:anchor="src-S49" w:history="1">
        <w:r>
          <w:rPr>
            <w:rStyle w:val="SourceLink"/>
          </w:rPr>
          <w:t xml:space="preserve">S49</w:t>
        </w:r>
      </w:hyperlink>
      <w:r>
        <w:t xml:space="preserve">].</w:t>
      </w:r>
    </w:p>
    <w:p>
      <w:pPr>
        <w:pStyle w:val="Compact"/>
        <w:numPr>
          <w:ilvl w:val="0"/>
          <w:numId w:val="1020"/>
        </w:numPr>
      </w:pPr>
      <w:r>
        <w:rPr>
          <w:b/>
          <w:bCs/>
        </w:rPr>
        <w:t xml:space="preserve">The industry’s plans:</w:t>
      </w:r>
      <w:r>
        <w:t xml:space="preserve"> </w:t>
      </w:r>
      <w:r>
        <w:t xml:space="preserve">in a survey by Bloom Energy (a maker of fuel cells – an interested party), about one third of data center decision-makers expect their sites to run on 100% on-site power by 2030 [</w:t>
      </w:r>
      <w:hyperlink w:anchor="src-S86" w:history="1">
        <w:r>
          <w:rPr>
            <w:rStyle w:val="SourceLink"/>
          </w:rPr>
          <w:t xml:space="preserve">S86</w:t>
        </w:r>
      </w:hyperlink>
      <w:r>
        <w:t xml:space="preserve">].</w:t>
      </w:r>
    </w:p>
    <w:p>
      <w:pPr>
        <w:pStyle w:val="Compact"/>
        <w:numPr>
          <w:ilvl w:val="0"/>
          <w:numId w:val="1020"/>
        </w:numPr>
      </w:pPr>
      <w:r>
        <w:rPr>
          <w:b/>
          <w:bCs/>
        </w:rPr>
        <w:t xml:space="preserve">The rules already demand it:</w:t>
      </w:r>
    </w:p>
    <w:p>
      <w:pPr>
        <w:pStyle w:val="Compact"/>
        <w:numPr>
          <w:ilvl w:val="1"/>
          <w:numId w:val="1021"/>
        </w:numPr>
      </w:pPr>
      <w:r>
        <w:t xml:space="preserve">Seven tech companies pledged to the White House to “build, bring or buy” their own power and to pay the full grid costs [</w:t>
      </w:r>
      <w:hyperlink w:anchor="src-S26" w:history="1">
        <w:r>
          <w:rPr>
            <w:rStyle w:val="SourceLink"/>
          </w:rPr>
          <w:t xml:space="preserve">S26</w:t>
        </w:r>
      </w:hyperlink>
      <w:r>
        <w:t xml:space="preserve">].</w:t>
      </w:r>
    </w:p>
    <w:p>
      <w:pPr>
        <w:pStyle w:val="Compact"/>
        <w:numPr>
          <w:ilvl w:val="1"/>
          <w:numId w:val="1021"/>
        </w:numPr>
      </w:pPr>
      <w:r>
        <w:t xml:space="preserve">Texas’</w:t>
      </w:r>
      <w:r>
        <w:t xml:space="preserve"> </w:t>
      </w:r>
      <w:hyperlink w:anchor="gl-sb6" w:history="1">
        <w:r>
          <w:rPr>
            <w:rStyle w:val="GlossaryLink"/>
          </w:rPr>
          <w:t xml:space="preserve">Senate Bill 6</w:t>
        </w:r>
      </w:hyperlink>
      <w:r>
        <w:t xml:space="preserve"> </w:t>
      </w:r>
      <w:r>
        <w:t xml:space="preserve">requires large loads of 75 MW and more to switch to their own generation or cut their demand in grid emergencies [</w:t>
      </w:r>
      <w:hyperlink w:anchor="src-S71" w:history="1">
        <w:r>
          <w:rPr>
            <w:rStyle w:val="SourceLink"/>
          </w:rPr>
          <w:t xml:space="preserve">S71</w:t>
        </w:r>
      </w:hyperlink>
      <w:r>
        <w:t xml:space="preserve">].</w:t>
      </w:r>
    </w:p>
    <w:bookmarkEnd w:id="95"/>
    <w:bookmarkEnd w:id="96"/>
    <w:bookmarkEnd w:id="97"/>
    <w:bookmarkStart w:id="103" w:name="p3"/>
    <w:p>
      <w:pPr>
        <w:pStyle w:val="Heading2"/>
        <w:pageBreakBefore/>
      </w:pPr>
      <w:r>
        <w:t xml:space="preserve">P3 Climate &amp; Health: Gas Lock-in and Air Pollution</w:t>
      </w:r>
    </w:p>
    <w:bookmarkStart w:id="98" w:name="p3-speech"/>
    <w:p>
      <w:pPr>
        <w:pStyle w:val="Heading3"/>
      </w:pPr>
      <w:r>
        <w:t xml:space="preserve">Speech version</w:t>
      </w:r>
    </w:p>
    <w:p>
      <w:pPr>
        <w:pStyle w:val="Speech"/>
      </w:pPr>
      <w:r>
        <w:t xml:space="preserve">Let me turn to our next argument: climate and health.</w:t>
      </w:r>
    </w:p>
    <w:p>
      <w:pPr>
        <w:pStyle w:val="Speech"/>
      </w:pPr>
      <w:hyperlink w:anchor="gl-hyperscale" w:history="1">
        <w:r>
          <w:rPr>
            <w:rStyle w:val="GlossaryLink"/>
          </w:rPr>
          <w:t xml:space="preserve">Hyperscale</w:t>
        </w:r>
      </w:hyperlink>
      <w:r>
        <w:t xml:space="preserve"> </w:t>
      </w:r>
      <w:r>
        <w:t xml:space="preserve">data centers are not powered by sunshine. According to the</w:t>
      </w:r>
      <w:r>
        <w:t xml:space="preserve"> </w:t>
      </w:r>
      <w:hyperlink w:anchor="gl-pew" w:history="1">
        <w:r>
          <w:rPr>
            <w:rStyle w:val="GlossaryLink"/>
          </w:rPr>
          <w:t xml:space="preserve">Pew Research Center</w:t>
        </w:r>
      </w:hyperlink>
      <w:r>
        <w:t xml:space="preserve">, a nonpartisan research institute, using data from the</w:t>
      </w:r>
      <w:r>
        <w:t xml:space="preserve"> </w:t>
      </w:r>
      <w:hyperlink w:anchor="gl-iea" w:history="1">
        <w:r>
          <w:rPr>
            <w:rStyle w:val="GlossaryLink"/>
          </w:rPr>
          <w:t xml:space="preserve">International Energy Agency</w:t>
        </w:r>
      </w:hyperlink>
      <w:r>
        <w:t xml:space="preserve">, more than 40 percent of US data center electricity in 2024 came from gas and about 15 percent from coal. [</w:t>
      </w:r>
      <w:hyperlink w:anchor="src-S15" w:history="1">
        <w:r>
          <w:rPr>
            <w:rStyle w:val="SourceLink"/>
          </w:rPr>
          <w:t xml:space="preserve">S15</w:t>
        </w:r>
      </w:hyperlink>
      <w:r>
        <w:t xml:space="preserve">]</w:t>
      </w:r>
    </w:p>
    <w:p>
      <w:pPr>
        <w:pStyle w:val="Speech"/>
      </w:pPr>
      <w:r>
        <w:t xml:space="preserve">And it is getting worse.</w:t>
      </w:r>
      <w:r>
        <w:t xml:space="preserve"> </w:t>
      </w:r>
      <w:hyperlink w:anchor="gl-gem" w:history="1">
        <w:r>
          <w:rPr>
            <w:rStyle w:val="GlossaryLink"/>
          </w:rPr>
          <w:t xml:space="preserve">Global Energy Monitor</w:t>
        </w:r>
      </w:hyperlink>
      <w:r>
        <w:t xml:space="preserve">, an independent research group that tracks power plants worldwide, found that in 2025 the gas power capacity in development in the US almost tripled to about 252</w:t>
      </w:r>
      <w:r>
        <w:t xml:space="preserve"> </w:t>
      </w:r>
      <w:hyperlink w:anchor="gl-units" w:history="1">
        <w:r>
          <w:rPr>
            <w:rStyle w:val="GlossaryLink"/>
          </w:rPr>
          <w:t xml:space="preserve">gigawatts</w:t>
        </w:r>
      </w:hyperlink>
      <w:r>
        <w:t xml:space="preserve"> </w:t>
      </w:r>
      <w:r>
        <w:t xml:space="preserve">– more than in any other country, including China. More than a third of it is meant to power data centers directly on site. [</w:t>
      </w:r>
      <w:hyperlink w:anchor="src-S49" w:history="1">
        <w:r>
          <w:rPr>
            <w:rStyle w:val="SourceLink"/>
          </w:rPr>
          <w:t xml:space="preserve">S49</w:t>
        </w:r>
      </w:hyperlink>
      <w:r>
        <w:t xml:space="preserve">]</w:t>
      </w:r>
    </w:p>
    <w:p>
      <w:pPr>
        <w:pStyle w:val="Speech"/>
      </w:pPr>
      <w:r>
        <w:t xml:space="preserve">Here is what that looks like on the ground.</w:t>
      </w:r>
      <w:r>
        <w:t xml:space="preserve"> </w:t>
      </w:r>
      <w:r>
        <w:rPr>
          <w:rStyle w:val="Optional"/>
        </w:rPr>
        <w:t xml:space="preserve">[In Louisiana, regulators approved three new gas plants for Meta’s “Hyperion” campus – and the utility</w:t>
      </w:r>
      <w:r>
        <w:rPr>
          <w:rStyle w:val="Optional"/>
        </w:rPr>
        <w:t xml:space="preserve"> </w:t>
      </w:r>
      <w:hyperlink w:anchor="gl-entergy" w:history="1">
        <w:r>
          <w:rPr>
            <w:rStyle w:val="GlossaryLink"/>
          </w:rPr>
          <w:t xml:space="preserve">Entergy</w:t>
        </w:r>
      </w:hyperlink>
      <w:r>
        <w:rPr>
          <w:rStyle w:val="Optional"/>
        </w:rPr>
        <w:t xml:space="preserve"> </w:t>
      </w:r>
      <w:r>
        <w:rPr>
          <w:rStyle w:val="Optional"/>
        </w:rPr>
        <w:t xml:space="preserve">wants seven more. [</w:t>
      </w:r>
      <w:hyperlink w:anchor="src-S50" w:history="1">
        <w:r>
          <w:rPr>
            <w:rStyle w:val="SourceLink"/>
          </w:rPr>
          <w:t xml:space="preserve">S50</w:t>
        </w:r>
      </w:hyperlink>
      <w:r>
        <w:rPr>
          <w:rStyle w:val="Optional"/>
        </w:rPr>
        <w:t xml:space="preserve">]]</w:t>
      </w:r>
      <w:r>
        <w:t xml:space="preserve"> </w:t>
      </w:r>
      <w:r>
        <w:t xml:space="preserve">In Vineland, New Jersey, 62 gas generators ran without permits.</w:t>
      </w:r>
      <w:r>
        <w:t xml:space="preserve"> </w:t>
      </w:r>
      <w:hyperlink w:anchor="gl-floodlight" w:history="1">
        <w:r>
          <w:rPr>
            <w:rStyle w:val="GlossaryLink"/>
          </w:rPr>
          <w:t xml:space="preserve">Floodlight</w:t>
        </w:r>
      </w:hyperlink>
      <w:r>
        <w:t xml:space="preserve">, a nonprofit newsroom, exposed them with thermal drones, and the state fined the company 1.07 million dollars. [</w:t>
      </w:r>
      <w:hyperlink w:anchor="src-S92" w:history="1">
        <w:r>
          <w:rPr>
            <w:rStyle w:val="SourceLink"/>
          </w:rPr>
          <w:t xml:space="preserve">S92</w:t>
        </w:r>
      </w:hyperlink>
      <w:r>
        <w:t xml:space="preserve">,</w:t>
      </w:r>
      <w:r>
        <w:t xml:space="preserve"> </w:t>
      </w:r>
      <w:hyperlink w:anchor="src-S76" w:history="1">
        <w:r>
          <w:rPr>
            <w:rStyle w:val="SourceLink"/>
          </w:rPr>
          <w:t xml:space="preserve">S76</w:t>
        </w:r>
      </w:hyperlink>
      <w:r>
        <w:t xml:space="preserve">] A researcher estimates they released about 140 tons of smog-forming</w:t>
      </w:r>
      <w:r>
        <w:t xml:space="preserve"> </w:t>
      </w:r>
      <w:hyperlink w:anchor="gl-nox" w:history="1">
        <w:r>
          <w:rPr>
            <w:rStyle w:val="GlossaryLink"/>
          </w:rPr>
          <w:t xml:space="preserve">nitrogen oxides</w:t>
        </w:r>
      </w:hyperlink>
      <w:r>
        <w:t xml:space="preserve"> </w:t>
      </w:r>
      <w:r>
        <w:t xml:space="preserve">– more than the 100 tons per year at which federal clean air law already treats a facility as a “</w:t>
      </w:r>
      <w:hyperlink w:anchor="gl-clean-air-act" w:history="1">
        <w:r>
          <w:rPr>
            <w:rStyle w:val="GlossaryLink"/>
          </w:rPr>
          <w:t xml:space="preserve">major source</w:t>
        </w:r>
      </w:hyperlink>
      <w:r>
        <w:t xml:space="preserve">” of pollution. [</w:t>
      </w:r>
      <w:hyperlink w:anchor="src-S76" w:history="1">
        <w:r>
          <w:rPr>
            <w:rStyle w:val="SourceLink"/>
          </w:rPr>
          <w:t xml:space="preserve">S76</w:t>
        </w:r>
      </w:hyperlink>
      <w:r>
        <w:t xml:space="preserve">,</w:t>
      </w:r>
      <w:r>
        <w:t xml:space="preserve"> </w:t>
      </w:r>
      <w:hyperlink w:anchor="src-S93" w:history="1">
        <w:r>
          <w:rPr>
            <w:rStyle w:val="SourceLink"/>
          </w:rPr>
          <w:t xml:space="preserve">S93</w:t>
        </w:r>
      </w:hyperlink>
      <w:r>
        <w:t xml:space="preserve">]</w:t>
      </w:r>
      <w:r>
        <w:t xml:space="preserve"> </w:t>
      </w:r>
      <w:r>
        <w:rPr>
          <w:rStyle w:val="Optional"/>
        </w:rPr>
        <w:t xml:space="preserve">[And in Sterling, Virginia, a data center ran diesel generators for almost 24 hours during a “Code Red” air-quality alert, while the state regulator admitted it had “no regulatory authority to stop these actions.” [</w:t>
      </w:r>
      <w:hyperlink w:anchor="src-S77" w:history="1">
        <w:r>
          <w:rPr>
            <w:rStyle w:val="SourceLink"/>
          </w:rPr>
          <w:t xml:space="preserve">S77</w:t>
        </w:r>
      </w:hyperlink>
      <w:r>
        <w:rPr>
          <w:rStyle w:val="Optional"/>
        </w:rPr>
        <w:t xml:space="preserve">]]</w:t>
      </w:r>
    </w:p>
    <w:p>
      <w:pPr>
        <w:pStyle w:val="Speech"/>
      </w:pPr>
      <w:r>
        <w:t xml:space="preserve">This harms our health. Researchers from Caltech and UC Riverside estimate that data center air pollution could cause health costs of more than 20 billion dollars a year by 2028 – and up to 200 times more per household in disadvantaged communities. [</w:t>
      </w:r>
      <w:hyperlink w:anchor="src-S51" w:history="1">
        <w:r>
          <w:rPr>
            <w:rStyle w:val="SourceLink"/>
          </w:rPr>
          <w:t xml:space="preserve">S51</w:t>
        </w:r>
      </w:hyperlink>
      <w:r>
        <w:t xml:space="preserve">]</w:t>
      </w:r>
    </w:p>
    <w:p>
      <w:pPr>
        <w:pStyle w:val="Speech"/>
      </w:pPr>
      <w:r>
        <w:t xml:space="preserve">And it heats the planet. The International Energy Agency, the intergovernmental energy organization in Paris, projects emissions from data center electricity to rise from 180 to 300 million tonnes of CO2 by 2035. [</w:t>
      </w:r>
      <w:hyperlink w:anchor="src-S13" w:history="1">
        <w:r>
          <w:rPr>
            <w:rStyle w:val="SourceLink"/>
          </w:rPr>
          <w:t xml:space="preserve">S13</w:t>
        </w:r>
      </w:hyperlink>
      <w:r>
        <w:t xml:space="preserve">] Those extra 120 million tonnes every year equal the exhaust of about 26 million additional cars. [</w:t>
      </w:r>
      <w:hyperlink w:anchor="src-S94" w:history="1">
        <w:r>
          <w:rPr>
            <w:rStyle w:val="SourceLink"/>
          </w:rPr>
          <w:t xml:space="preserve">S94</w:t>
        </w:r>
      </w:hyperlink>
      <w:r>
        <w:t xml:space="preserve">] And the</w:t>
      </w:r>
      <w:r>
        <w:t xml:space="preserve"> </w:t>
      </w:r>
      <w:hyperlink w:anchor="gl-ipcc" w:history="1">
        <w:r>
          <w:rPr>
            <w:rStyle w:val="GlossaryLink"/>
          </w:rPr>
          <w:t xml:space="preserve">Intergovernmental Panel on Climate Change</w:t>
        </w:r>
      </w:hyperlink>
      <w:r>
        <w:t xml:space="preserve">, the UN body for climate science, warns: “Every increment of global warming will intensify multiple and concurrent hazards.” [</w:t>
      </w:r>
      <w:hyperlink w:anchor="src-S95" w:history="1">
        <w:r>
          <w:rPr>
            <w:rStyle w:val="SourceLink"/>
          </w:rPr>
          <w:t xml:space="preserve">S95</w:t>
        </w:r>
      </w:hyperlink>
      <w:r>
        <w:t xml:space="preserve">]</w:t>
      </w:r>
    </w:p>
    <w:p>
      <w:pPr>
        <w:pStyle w:val="Speech"/>
      </w:pPr>
      <w:r>
        <w:t xml:space="preserve">Once a gas plant is built, it runs for decades. That is why we need a</w:t>
      </w:r>
      <w:r>
        <w:t xml:space="preserve"> </w:t>
      </w:r>
      <w:hyperlink w:anchor="gl-moratorium" w:history="1">
        <w:r>
          <w:rPr>
            <w:rStyle w:val="GlossaryLink"/>
          </w:rPr>
          <w:t xml:space="preserve">moratorium</w:t>
        </w:r>
      </w:hyperlink>
      <w:r>
        <w:t xml:space="preserve"> </w:t>
      </w:r>
      <w:r>
        <w:t xml:space="preserve">now: no new gas</w:t>
      </w:r>
      <w:r>
        <w:t xml:space="preserve"> </w:t>
      </w:r>
      <w:hyperlink w:anchor="gl-lock-in" w:history="1">
        <w:r>
          <w:rPr>
            <w:rStyle w:val="GlossaryLink"/>
          </w:rPr>
          <w:t xml:space="preserve">lock-in</w:t>
        </w:r>
      </w:hyperlink>
      <w:r>
        <w:t xml:space="preserve"> </w:t>
      </w:r>
      <w:r>
        <w:t xml:space="preserve">until clean power and “permits before turbines” are the law.</w:t>
      </w:r>
    </w:p>
    <w:p>
      <w:pPr>
        <w:pStyle w:val="NavLink"/>
      </w:pPr>
      <w:hyperlink w:anchor="p3-chain" w:history="1">
        <w:r>
          <w:rPr>
            <w:rStyle w:val="NavLinkChar"/>
          </w:rPr>
          <w:t xml:space="preserve">→ Chain of Reasoning (Backup)</w:t>
        </w:r>
      </w:hyperlink>
    </w:p>
    <w:bookmarkEnd w:id="98"/>
    <w:bookmarkStart w:id="99" w:name="p3-rebuttal"/>
    <w:p>
      <w:pPr>
        <w:pStyle w:val="Heading3"/>
      </w:pPr>
      <w:r>
        <w:t xml:space="preserve">Rebuttal (Contra)</w:t>
      </w:r>
    </w:p>
    <w:p>
      <w:pPr>
        <w:pStyle w:val="Compact"/>
        <w:numPr>
          <w:ilvl w:val="0"/>
          <w:numId w:val="1022"/>
        </w:numPr>
      </w:pPr>
      <w:r>
        <w:rPr>
          <w:b/>
          <w:bCs/>
        </w:rPr>
        <w:t xml:space="preserve">R1</w:t>
      </w:r>
      <w:r>
        <w:t xml:space="preserve"> </w:t>
      </w:r>
      <w:r>
        <w:t xml:space="preserve">“Hyperscalers are the biggest buyers of new clean power in the world. According to</w:t>
      </w:r>
      <w:r>
        <w:t xml:space="preserve"> </w:t>
      </w:r>
      <w:hyperlink w:anchor="gl-bnef" w:history="1">
        <w:r>
          <w:rPr>
            <w:rStyle w:val="GlossaryLink"/>
          </w:rPr>
          <w:t xml:space="preserve">BloombergNEF</w:t>
        </w:r>
      </w:hyperlink>
      <w:r>
        <w:t xml:space="preserve"> </w:t>
      </w:r>
      <w:r>
        <w:t xml:space="preserve">(the energy research service of the financial data company Bloomberg), Meta signed 10.24 GW and Amazon 10.22 GW of clean power contracts in 2025 alone – the two largest corporate buyers worldwide. Meta, Amazon, Google and Microsoft together made 49% of all corporate clean-power purchases globally [</w:t>
      </w:r>
      <w:hyperlink w:anchor="src-S96" w:history="1">
        <w:r>
          <w:rPr>
            <w:rStyle w:val="SourceLink"/>
          </w:rPr>
          <w:t xml:space="preserve">S96</w:t>
        </w:r>
      </w:hyperlink>
      <w:r>
        <w:t xml:space="preserve">]. Even leaving nuclear aside – only 23% of Meta’s and Amazon’s contracts were nuclear – most of it is renewable power such as solar and wind [</w:t>
      </w:r>
      <w:hyperlink w:anchor="src-S96" w:history="1">
        <w:r>
          <w:rPr>
            <w:rStyle w:val="SourceLink"/>
          </w:rPr>
          <w:t xml:space="preserve">S96</w:t>
        </w:r>
      </w:hyperlink>
      <w:r>
        <w:t xml:space="preserve">]. These long-term contracts (called</w:t>
      </w:r>
      <w:r>
        <w:t xml:space="preserve"> </w:t>
      </w:r>
      <w:hyperlink w:anchor="gl-ppa" w:history="1">
        <w:r>
          <w:rPr>
            <w:rStyle w:val="GlossaryLink"/>
          </w:rPr>
          <w:t xml:space="preserve">PPAs</w:t>
        </w:r>
      </w:hyperlink>
      <w:r>
        <w:t xml:space="preserve">, power purchase agreements) are what make new wind and solar farms bankable. And we have no choice anyway: if the US stops building, it loses the AI race, with the security risks we showed in C3 [</w:t>
      </w:r>
      <w:hyperlink w:anchor="src-S7" w:history="1">
        <w:r>
          <w:rPr>
            <w:rStyle w:val="SourceLink"/>
          </w:rPr>
          <w:t xml:space="preserve">S7</w:t>
        </w:r>
      </w:hyperlink>
      <w:r>
        <w:t xml:space="preserve">,</w:t>
      </w:r>
      <w:r>
        <w:t xml:space="preserve"> </w:t>
      </w:r>
      <w:hyperlink w:anchor="src-S8" w:history="1">
        <w:r>
          <w:rPr>
            <w:rStyle w:val="SourceLink"/>
          </w:rPr>
          <w:t xml:space="preserve">S8</w:t>
        </w:r>
      </w:hyperlink>
      <w:r>
        <w:t xml:space="preserve">].”</w:t>
      </w:r>
    </w:p>
    <w:p>
      <w:pPr>
        <w:pStyle w:val="Compact"/>
        <w:numPr>
          <w:ilvl w:val="0"/>
          <w:numId w:val="1022"/>
        </w:numPr>
      </w:pPr>
      <w:r>
        <w:rPr>
          <w:b/>
          <w:bCs/>
        </w:rPr>
        <w:t xml:space="preserve">R2</w:t>
      </w:r>
      <w:r>
        <w:t xml:space="preserve"> </w:t>
      </w:r>
      <w:r>
        <w:t xml:space="preserve">“AI can cut emissions. The IEA (the intergovernmental energy organization in Paris) calculates that if existing AI applications were widely used, they could avoid about 1,400 million tonnes of CO2 in 2035 – about 5% of all energy-related emissions [</w:t>
      </w:r>
      <w:hyperlink w:anchor="src-S97" w:history="1">
        <w:r>
          <w:rPr>
            <w:rStyle w:val="SourceLink"/>
          </w:rPr>
          <w:t xml:space="preserve">S97</w:t>
        </w:r>
      </w:hyperlink>
      <w:r>
        <w:t xml:space="preserve">]. That is roughly four to five times what data centers themselves will emit (300 million tonnes [</w:t>
      </w:r>
      <w:hyperlink w:anchor="src-S13" w:history="1">
        <w:r>
          <w:rPr>
            <w:rStyle w:val="SourceLink"/>
          </w:rPr>
          <w:t xml:space="preserve">S13</w:t>
        </w:r>
      </w:hyperlink>
      <w:r>
        <w:t xml:space="preserve">]).”</w:t>
      </w:r>
      <w:r>
        <w:t xml:space="preserve"> </w:t>
      </w:r>
      <w:r>
        <w:rPr>
          <w:i/>
          <w:iCs/>
        </w:rPr>
        <w:t xml:space="preserve">(nur bis hierhin lesen)</w:t>
      </w:r>
    </w:p>
    <w:p>
      <w:pPr>
        <w:pStyle w:val="Compact"/>
        <w:numPr>
          <w:ilvl w:val="1"/>
          <w:numId w:val="1023"/>
        </w:numPr>
      </w:pPr>
      <w:r>
        <w:rPr>
          <w:b/>
          <w:bCs/>
        </w:rPr>
        <w:t xml:space="preserve">Why this is not a wild claim:</w:t>
      </w:r>
      <w:r>
        <w:t xml:space="preserve"> </w:t>
      </w:r>
      <w:r>
        <w:t xml:space="preserve">it is an IEA scenario with clear assumptions, built from very ordinary uses of AI [</w:t>
      </w:r>
      <w:hyperlink w:anchor="src-S97" w:history="1">
        <w:r>
          <w:rPr>
            <w:rStyle w:val="SourceLink"/>
          </w:rPr>
          <w:t xml:space="preserve">S97</w:t>
        </w:r>
      </w:hyperlink>
      <w:r>
        <w:t xml:space="preserve">]:</w:t>
      </w:r>
    </w:p>
    <w:p>
      <w:pPr>
        <w:pStyle w:val="Compact"/>
        <w:numPr>
          <w:ilvl w:val="2"/>
          <w:numId w:val="1024"/>
        </w:numPr>
      </w:pPr>
      <w:r>
        <w:t xml:space="preserve">In buildings, AI-controlled heating and cooling saves about 10% of energy.</w:t>
      </w:r>
    </w:p>
    <w:p>
      <w:pPr>
        <w:pStyle w:val="Compact"/>
        <w:numPr>
          <w:ilvl w:val="2"/>
          <w:numId w:val="1024"/>
        </w:numPr>
      </w:pPr>
      <w:r>
        <w:t xml:space="preserve">In transport, better route planning and driving saves 5–10%.</w:t>
      </w:r>
    </w:p>
    <w:p>
      <w:pPr>
        <w:pStyle w:val="Compact"/>
        <w:numPr>
          <w:ilvl w:val="2"/>
          <w:numId w:val="1024"/>
        </w:numPr>
      </w:pPr>
      <w:r>
        <w:t xml:space="preserve">In industry and power grids, AI optimizes processes.</w:t>
      </w:r>
    </w:p>
    <w:p>
      <w:pPr>
        <w:pStyle w:val="Compact"/>
        <w:numPr>
          <w:ilvl w:val="2"/>
          <w:numId w:val="1024"/>
        </w:numPr>
      </w:pPr>
      <w:r>
        <w:t xml:space="preserve">Future breakthroughs are not even included.</w:t>
      </w:r>
    </w:p>
    <w:p>
      <w:pPr>
        <w:pStyle w:val="Compact"/>
        <w:numPr>
          <w:ilvl w:val="0"/>
          <w:numId w:val="1022"/>
        </w:numPr>
      </w:pPr>
      <w:r>
        <w:rPr>
          <w:b/>
          <w:bCs/>
        </w:rPr>
        <w:t xml:space="preserve">R3</w:t>
      </w:r>
      <w:r>
        <w:t xml:space="preserve"> </w:t>
      </w:r>
      <w:r>
        <w:t xml:space="preserve">“If they build abroad, emissions are higher. According to</w:t>
      </w:r>
      <w:r>
        <w:t xml:space="preserve"> </w:t>
      </w:r>
      <w:hyperlink w:anchor="gl-ember" w:history="1">
        <w:r>
          <w:rPr>
            <w:rStyle w:val="GlossaryLink"/>
          </w:rPr>
          <w:t xml:space="preserve">Ember</w:t>
        </w:r>
      </w:hyperlink>
      <w:r>
        <w:t xml:space="preserve"> </w:t>
      </w:r>
      <w:r>
        <w:t xml:space="preserve">(an independent energy think tank), fossil fuels make up 57% of US electricity (2025), 68% in the UAE (2024) and 79% in Malaysia (2025) [</w:t>
      </w:r>
      <w:hyperlink w:anchor="src-S64" w:history="1">
        <w:r>
          <w:rPr>
            <w:rStyle w:val="SourceLink"/>
          </w:rPr>
          <w:t xml:space="preserve">S64</w:t>
        </w:r>
      </w:hyperlink>
      <w:r>
        <w:t xml:space="preserve">]. And we have no choice anyway: if the US stops building, others build – and the US loses the AI race. We already showed why that is bad: control moves abroad [</w:t>
      </w:r>
      <w:hyperlink w:anchor="src-S3" w:history="1">
        <w:r>
          <w:rPr>
            <w:rStyle w:val="SourceLink"/>
          </w:rPr>
          <w:t xml:space="preserve">S3</w:t>
        </w:r>
      </w:hyperlink>
      <w:r>
        <w:t xml:space="preserve">], and Chinese models carry documented security risks [</w:t>
      </w:r>
      <w:hyperlink w:anchor="src-S7" w:history="1">
        <w:r>
          <w:rPr>
            <w:rStyle w:val="SourceLink"/>
          </w:rPr>
          <w:t xml:space="preserve">S7</w:t>
        </w:r>
      </w:hyperlink>
      <w:r>
        <w:t xml:space="preserve">,</w:t>
      </w:r>
      <w:r>
        <w:t xml:space="preserve"> </w:t>
      </w:r>
      <w:hyperlink w:anchor="src-S8" w:history="1">
        <w:r>
          <w:rPr>
            <w:rStyle w:val="SourceLink"/>
          </w:rPr>
          <w:t xml:space="preserve">S8</w:t>
        </w:r>
      </w:hyperlink>
      <w:r>
        <w:t xml:space="preserve">].”</w:t>
      </w:r>
    </w:p>
    <w:p>
      <w:pPr>
        <w:pStyle w:val="Compact"/>
        <w:numPr>
          <w:ilvl w:val="0"/>
          <w:numId w:val="1022"/>
        </w:numPr>
      </w:pPr>
      <w:r>
        <w:rPr>
          <w:b/>
          <w:bCs/>
        </w:rPr>
        <w:t xml:space="preserve">R4</w:t>
      </w:r>
      <w:r>
        <w:t xml:space="preserve"> </w:t>
      </w:r>
      <w:r>
        <w:t xml:space="preserve">“The Memphis air tests found no dangerous levels. The City of Memphis had an independent, accredited laboratory test the air at three sites (Boxtown, Whitehaven, City Hall) in June 2025: every pollutant was either undetectable or well below safety limits [</w:t>
      </w:r>
      <w:hyperlink w:anchor="src-S98" w:history="1">
        <w:r>
          <w:rPr>
            <w:rStyle w:val="SourceLink"/>
          </w:rPr>
          <w:t xml:space="preserve">S98</w:t>
        </w:r>
      </w:hyperlink>
      <w:r>
        <w:t xml:space="preserve">].</w:t>
      </w:r>
      <w:r>
        <w:t xml:space="preserve"> </w:t>
      </w:r>
      <w:hyperlink w:anchor="gl-xai" w:history="1">
        <w:r>
          <w:rPr>
            <w:rStyle w:val="GlossaryLink"/>
          </w:rPr>
          <w:t xml:space="preserve">xAI</w:t>
        </w:r>
      </w:hyperlink>
      <w:r>
        <w:t xml:space="preserve"> </w:t>
      </w:r>
      <w:r>
        <w:t xml:space="preserve">received permits for 15 turbines [</w:t>
      </w:r>
      <w:hyperlink w:anchor="src-S20" w:history="1">
        <w:r>
          <w:rPr>
            <w:rStyle w:val="SourceLink"/>
          </w:rPr>
          <w:t xml:space="preserve">S20</w:t>
        </w:r>
      </w:hyperlink>
      <w:r>
        <w:t xml:space="preserve">], and the</w:t>
      </w:r>
      <w:r>
        <w:t xml:space="preserve"> </w:t>
      </w:r>
      <w:hyperlink w:anchor="gl-epa" w:history="1">
        <w:r>
          <w:rPr>
            <w:rStyle w:val="GlossaryLink"/>
          </w:rPr>
          <w:t xml:space="preserve">EPA</w:t>
        </w:r>
      </w:hyperlink>
      <w:r>
        <w:t xml:space="preserve"> </w:t>
      </w:r>
      <w:r>
        <w:t xml:space="preserve">(the US Environmental Protection Agency, the federal agency for environmental protection) closed the turbine loophole in January 2026 [</w:t>
      </w:r>
      <w:hyperlink w:anchor="src-S29" w:history="1">
        <w:r>
          <w:rPr>
            <w:rStyle w:val="SourceLink"/>
          </w:rPr>
          <w:t xml:space="preserve">S29</w:t>
        </w:r>
      </w:hyperlink>
      <w:r>
        <w:t xml:space="preserve">] – the system works.”</w:t>
      </w:r>
    </w:p>
    <w:bookmarkEnd w:id="99"/>
    <w:bookmarkStart w:id="100" w:name="p3-frontline"/>
    <w:p>
      <w:pPr>
        <w:pStyle w:val="Heading3"/>
      </w:pPr>
      <w:r>
        <w:t xml:space="preserve">Frontline (Pro)</w:t>
      </w:r>
    </w:p>
    <w:p>
      <w:pPr>
        <w:pStyle w:val="Compact"/>
        <w:numPr>
          <w:ilvl w:val="0"/>
          <w:numId w:val="1025"/>
        </w:numPr>
      </w:pPr>
      <w:r>
        <w:rPr>
          <w:b/>
          <w:bCs/>
        </w:rPr>
        <w:t xml:space="preserve">F1 (→ R1)</w:t>
      </w:r>
      <w:r>
        <w:t xml:space="preserve"> </w:t>
      </w:r>
      <w:r>
        <w:t xml:space="preserve">Nuclear is not a clean solution:</w:t>
      </w:r>
    </w:p>
    <w:p>
      <w:pPr>
        <w:pStyle w:val="Compact"/>
        <w:numPr>
          <w:ilvl w:val="1"/>
          <w:numId w:val="1026"/>
        </w:numPr>
      </w:pPr>
      <w:r>
        <w:rPr>
          <w:b/>
          <w:bCs/>
        </w:rPr>
        <w:t xml:space="preserve">Nuclear is low-carbon, but not renewable.</w:t>
      </w:r>
      <w:r>
        <w:t xml:space="preserve"> </w:t>
      </w:r>
      <w:r>
        <w:t xml:space="preserve">The US</w:t>
      </w:r>
      <w:r>
        <w:t xml:space="preserve"> </w:t>
      </w:r>
      <w:hyperlink w:anchor="gl-eia" w:history="1">
        <w:r>
          <w:rPr>
            <w:rStyle w:val="GlossaryLink"/>
          </w:rPr>
          <w:t xml:space="preserve">Energy Information Administration</w:t>
        </w:r>
      </w:hyperlink>
      <w:r>
        <w:t xml:space="preserve"> </w:t>
      </w:r>
      <w:r>
        <w:t xml:space="preserve">(EIA, the statistics agency of the US Department of Energy) classifies uranium as a nonrenewable energy source [</w:t>
      </w:r>
      <w:hyperlink w:anchor="src-S99" w:history="1">
        <w:r>
          <w:rPr>
            <w:rStyle w:val="SourceLink"/>
          </w:rPr>
          <w:t xml:space="preserve">S99</w:t>
        </w:r>
      </w:hyperlink>
      <w:r>
        <w:t xml:space="preserve">].</w:t>
      </w:r>
    </w:p>
    <w:p>
      <w:pPr>
        <w:pStyle w:val="Compact"/>
        <w:numPr>
          <w:ilvl w:val="1"/>
          <w:numId w:val="1026"/>
        </w:numPr>
      </w:pPr>
      <w:r>
        <w:rPr>
          <w:b/>
          <w:bCs/>
        </w:rPr>
        <w:t xml:space="preserve">The waste problem is unsolved.</w:t>
      </w:r>
      <w:r>
        <w:t xml:space="preserve"> </w:t>
      </w:r>
      <w:r>
        <w:t xml:space="preserve">The US still has no permanent disposal site; about 86,000 metric tons of spent nuclear fuel sit at 75 sites in 33 states, according to the</w:t>
      </w:r>
      <w:r>
        <w:t xml:space="preserve"> </w:t>
      </w:r>
      <w:hyperlink w:anchor="gl-gao" w:history="1">
        <w:r>
          <w:rPr>
            <w:rStyle w:val="GlossaryLink"/>
          </w:rPr>
          <w:t xml:space="preserve">Government Accountability Office</w:t>
        </w:r>
      </w:hyperlink>
      <w:r>
        <w:t xml:space="preserve"> </w:t>
      </w:r>
      <w:r>
        <w:t xml:space="preserve">(GAO, the independent audit agency of the US Congress) [</w:t>
      </w:r>
      <w:hyperlink w:anchor="src-S100" w:history="1">
        <w:r>
          <w:rPr>
            <w:rStyle w:val="SourceLink"/>
          </w:rPr>
          <w:t xml:space="preserve">S100</w:t>
        </w:r>
      </w:hyperlink>
      <w:r>
        <w:t xml:space="preserve">].</w:t>
      </w:r>
    </w:p>
    <w:p>
      <w:pPr>
        <w:pStyle w:val="Compact"/>
        <w:numPr>
          <w:ilvl w:val="1"/>
          <w:numId w:val="1026"/>
        </w:numPr>
      </w:pPr>
      <w:r>
        <w:rPr>
          <w:b/>
          <w:bCs/>
        </w:rPr>
        <w:t xml:space="preserve">It is too expensive and too slow.</w:t>
      </w:r>
      <w:r>
        <w:t xml:space="preserve"> </w:t>
      </w:r>
      <w:r>
        <w:t xml:space="preserve">Georgia’s Plant Vogtle (the newest US reactors) was finished in 2024, seven years late, at $36.8 billion – more than double the original estimate of about $14 billion [</w:t>
      </w:r>
      <w:hyperlink w:anchor="src-S101" w:history="1">
        <w:r>
          <w:rPr>
            <w:rStyle w:val="SourceLink"/>
          </w:rPr>
          <w:t xml:space="preserve">S101</w:t>
        </w:r>
      </w:hyperlink>
      <w:r>
        <w:t xml:space="preserve">]. The first US project for small modular reactors (NuScale in Idaho) was canceled in 2023 after its expected power price rose 53% to $89 per MWh [</w:t>
      </w:r>
      <w:hyperlink w:anchor="src-S102" w:history="1">
        <w:r>
          <w:rPr>
            <w:rStyle w:val="SourceLink"/>
          </w:rPr>
          <w:t xml:space="preserve">S102</w:t>
        </w:r>
      </w:hyperlink>
      <w:r>
        <w:t xml:space="preserve">].</w:t>
      </w:r>
    </w:p>
    <w:p>
      <w:pPr>
        <w:pStyle w:val="Compact"/>
        <w:numPr>
          <w:ilvl w:val="1"/>
          <w:numId w:val="1026"/>
        </w:numPr>
      </w:pPr>
      <w:r>
        <w:rPr>
          <w:b/>
          <w:bCs/>
        </w:rPr>
        <w:t xml:space="preserve">Even the “green” buyers are getting dirtier.</w:t>
      </w:r>
      <w:r>
        <w:t xml:space="preserve"> </w:t>
      </w:r>
      <w:r>
        <w:t xml:space="preserve">Microsoft’s emissions rose 25% in 2025 because of data center construction, and its own leaders admit that “sustainability solutions are not scaling fast enough to meet demand” [</w:t>
      </w:r>
      <w:hyperlink w:anchor="src-S103" w:history="1">
        <w:r>
          <w:rPr>
            <w:rStyle w:val="SourceLink"/>
          </w:rPr>
          <w:t xml:space="preserve">S103</w:t>
        </w:r>
      </w:hyperlink>
      <w:r>
        <w:t xml:space="preserve">].</w:t>
      </w:r>
    </w:p>
    <w:p>
      <w:pPr>
        <w:pStyle w:val="Compact"/>
        <w:numPr>
          <w:ilvl w:val="1"/>
          <w:numId w:val="1026"/>
        </w:numPr>
      </w:pPr>
      <w:r>
        <w:rPr>
          <w:b/>
          <w:bCs/>
        </w:rPr>
        <w:t xml:space="preserve">Contracts are not the power the data center actually uses:</w:t>
      </w:r>
      <w:r>
        <w:t xml:space="preserve"> </w:t>
      </w:r>
      <w:r>
        <w:t xml:space="preserve">today more than 40% of data center electricity comes from gas [</w:t>
      </w:r>
      <w:hyperlink w:anchor="src-S15" w:history="1">
        <w:r>
          <w:rPr>
            <w:rStyle w:val="SourceLink"/>
          </w:rPr>
          <w:t xml:space="preserve">S15</w:t>
        </w:r>
      </w:hyperlink>
      <w:r>
        <w:t xml:space="preserve">].</w:t>
      </w:r>
    </w:p>
    <w:p>
      <w:pPr>
        <w:pStyle w:val="Compact"/>
        <w:numPr>
          <w:ilvl w:val="0"/>
          <w:numId w:val="1025"/>
        </w:numPr>
      </w:pPr>
      <w:r>
        <w:rPr>
          <w:b/>
          <w:bCs/>
        </w:rPr>
        <w:t xml:space="preserve">F2 (→ R2)</w:t>
      </w:r>
      <w:r>
        <w:t xml:space="preserve"> </w:t>
      </w:r>
      <w:r>
        <w:t xml:space="preserve">The IEA itself says AI “is not a silver bullet and does not remove the need for proactive policy” [</w:t>
      </w:r>
      <w:hyperlink w:anchor="src-S13" w:history="1">
        <w:r>
          <w:rPr>
            <w:rStyle w:val="SourceLink"/>
          </w:rPr>
          <w:t xml:space="preserve">S13</w:t>
        </w:r>
      </w:hyperlink>
      <w:r>
        <w:t xml:space="preserve">]. It also says there is currently no momentum to ensure the widespread adoption that these savings require [</w:t>
      </w:r>
      <w:hyperlink w:anchor="src-S97" w:history="1">
        <w:r>
          <w:rPr>
            <w:rStyle w:val="SourceLink"/>
          </w:rPr>
          <w:t xml:space="preserve">S97</w:t>
        </w:r>
      </w:hyperlink>
      <w:r>
        <w:t xml:space="preserve">]. Proactive policy needs time, and a moratorium gives lawmakers exactly that time: write the rules first, before the next wave of gas plants is built.</w:t>
      </w:r>
    </w:p>
    <w:p>
      <w:pPr>
        <w:pStyle w:val="Compact"/>
        <w:numPr>
          <w:ilvl w:val="0"/>
          <w:numId w:val="1025"/>
        </w:numPr>
      </w:pPr>
      <w:r>
        <w:rPr>
          <w:b/>
          <w:bCs/>
        </w:rPr>
        <w:t xml:space="preserve">F3 (→ R4)</w:t>
      </w:r>
    </w:p>
    <w:p>
      <w:pPr>
        <w:pStyle w:val="Compact"/>
        <w:numPr>
          <w:ilvl w:val="1"/>
          <w:numId w:val="1027"/>
        </w:numPr>
      </w:pPr>
      <w:r>
        <w:t xml:space="preserve">The city’s tests were done on just two days (June 13 and 16, 2025). The closest test site was two miles from xAI, and the sensors were placed close to buildings, which could affect the results [</w:t>
      </w:r>
      <w:hyperlink w:anchor="src-S98" w:history="1">
        <w:r>
          <w:rPr>
            <w:rStyle w:val="SourceLink"/>
          </w:rPr>
          <w:t xml:space="preserve">S98</w:t>
        </w:r>
      </w:hyperlink>
      <w:r>
        <w:t xml:space="preserve">].</w:t>
      </w:r>
    </w:p>
    <w:p>
      <w:pPr>
        <w:pStyle w:val="Compact"/>
        <w:numPr>
          <w:ilvl w:val="1"/>
          <w:numId w:val="1027"/>
        </w:numPr>
      </w:pPr>
      <w:r>
        <w:t xml:space="preserve">The tests did not measure ozone, the main component of smog [</w:t>
      </w:r>
      <w:hyperlink w:anchor="src-S98" w:history="1">
        <w:r>
          <w:rPr>
            <w:rStyle w:val="SourceLink"/>
          </w:rPr>
          <w:t xml:space="preserve">S98</w:t>
        </w:r>
      </w:hyperlink>
      <w:r>
        <w:t xml:space="preserve">,</w:t>
      </w:r>
      <w:r>
        <w:t xml:space="preserve"> </w:t>
      </w:r>
      <w:hyperlink w:anchor="src-S20" w:history="1">
        <w:r>
          <w:rPr>
            <w:rStyle w:val="SourceLink"/>
          </w:rPr>
          <w:t xml:space="preserve">S20</w:t>
        </w:r>
      </w:hyperlink>
      <w:r>
        <w:t xml:space="preserve">]. In May 2026, the local group Memphis Community Against Pollution set up its own sensors and found ozone peaks [</w:t>
      </w:r>
      <w:hyperlink w:anchor="src-S98" w:history="1">
        <w:r>
          <w:rPr>
            <w:rStyle w:val="SourceLink"/>
          </w:rPr>
          <w:t xml:space="preserve">S98</w:t>
        </w:r>
      </w:hyperlink>
      <w:r>
        <w:t xml:space="preserve">].</w:t>
      </w:r>
    </w:p>
    <w:p>
      <w:pPr>
        <w:pStyle w:val="Compact"/>
        <w:numPr>
          <w:ilvl w:val="1"/>
          <w:numId w:val="1027"/>
        </w:numPr>
      </w:pPr>
      <w:r>
        <w:t xml:space="preserve">xAI’s permits came only after more than a year of operation; the EPA closed the loophole only in January 2026 [</w:t>
      </w:r>
      <w:hyperlink w:anchor="src-S29" w:history="1">
        <w:r>
          <w:rPr>
            <w:rStyle w:val="SourceLink"/>
          </w:rPr>
          <w:t xml:space="preserve">S29</w:t>
        </w:r>
      </w:hyperlink>
      <w:r>
        <w:t xml:space="preserve">].</w:t>
      </w:r>
    </w:p>
    <w:p>
      <w:pPr>
        <w:pStyle w:val="Compact"/>
        <w:numPr>
          <w:ilvl w:val="1"/>
          <w:numId w:val="1027"/>
        </w:numPr>
      </w:pPr>
      <w:r>
        <w:t xml:space="preserve">“The system works afterwards” is exactly our point: rules first. That is what the moratorium is for – making the rules before the damage.</w:t>
      </w:r>
    </w:p>
    <w:bookmarkEnd w:id="100"/>
    <w:bookmarkStart w:id="101" w:name="p3-further"/>
    <w:p>
      <w:pPr>
        <w:pStyle w:val="Heading3"/>
      </w:pPr>
      <w:r>
        <w:t xml:space="preserve">Further explanation (Warrant)</w:t>
      </w:r>
    </w:p>
    <w:p>
      <w:pPr>
        <w:pStyle w:val="FirstParagraph"/>
      </w:pPr>
      <w:r>
        <w:t xml:space="preserve">Burning gas releases nitrogen oxides (NOx). In sunlight they form ground-level ozone – smog – which triggers asthma attacks, especially in children. Burning gas also releases CO2, which heats the climate.</w:t>
      </w:r>
    </w:p>
    <w:p>
      <w:pPr>
        <w:pStyle w:val="BodyText"/>
      </w:pPr>
      <w:r>
        <w:t xml:space="preserve">“Lock-in” means: once a power plant is built, customers pay it off over decades, so it keeps running for decades. A gas plant built today for a data center will still burn gas long after the AI boom has changed.</w:t>
      </w:r>
    </w:p>
    <w:p>
      <w:pPr>
        <w:pStyle w:val="BodyText"/>
      </w:pPr>
      <w:r>
        <w:t xml:space="preserve">And the rules come too late. The US Environmental Protection Agency (EPA, the federal agency for environmental protection) closed the turbine loophole only in January 2026, after xAI’s turbines had run for over a year [</w:t>
      </w:r>
      <w:hyperlink w:anchor="src-S29" w:history="1">
        <w:r>
          <w:rPr>
            <w:rStyle w:val="SourceLink"/>
          </w:rPr>
          <w:t xml:space="preserve">S29</w:t>
        </w:r>
      </w:hyperlink>
      <w:r>
        <w:t xml:space="preserve">]. A moratorium stops new lock-in now; construction resumes when clean power and “permits before turbines” are law.</w:t>
      </w:r>
    </w:p>
    <w:bookmarkEnd w:id="101"/>
    <w:bookmarkStart w:id="102" w:name="p3-chain"/>
    <w:p>
      <w:pPr>
        <w:pStyle w:val="Heading3"/>
      </w:pPr>
      <w:r>
        <w:t xml:space="preserve">Chain of Reasoning (Backup)</w:t>
      </w:r>
    </w:p>
    <w:p>
      <w:pPr>
        <w:pStyle w:val="NavLink"/>
      </w:pPr>
      <w:hyperlink w:anchor="p3-speech" w:history="1">
        <w:r>
          <w:rPr>
            <w:rStyle w:val="NavLinkChar"/>
          </w:rPr>
          <w:t xml:space="preserve">↑ Back to the speech version</w:t>
        </w:r>
      </w:hyperlink>
    </w:p>
    <w:p>
      <w:pPr>
        <w:pStyle w:val="BodyText"/>
      </w:pPr>
      <w:r>
        <w:rPr>
          <w:b/>
          <w:bCs/>
        </w:rPr>
        <w:t xml:space="preserve">Claim:</w:t>
      </w:r>
      <w:r>
        <w:t xml:space="preserve"> </w:t>
      </w:r>
      <w:r>
        <w:t xml:space="preserve">Hyperscale construction drives a gas build-out that damages health today and the climate for decades. A moratorium stops new lock-in until clean-power and permit-first rules exist.</w:t>
      </w:r>
    </w:p>
    <w:p>
      <w:pPr>
        <w:pStyle w:val="BodyText"/>
      </w:pPr>
      <w:r>
        <w:rPr>
          <w:b/>
          <w:bCs/>
        </w:rPr>
        <w:t xml:space="preserve">Proof &amp; Examples:</w:t>
      </w:r>
    </w:p>
    <w:p>
      <w:pPr>
        <w:pStyle w:val="Compact"/>
        <w:numPr>
          <w:ilvl w:val="0"/>
          <w:numId w:val="1028"/>
        </w:numPr>
      </w:pPr>
      <w:r>
        <w:rPr>
          <w:b/>
          <w:bCs/>
        </w:rPr>
        <w:t xml:space="preserve">Data center power is mostly fossil today.</w:t>
      </w:r>
      <w:r>
        <w:t xml:space="preserve"> </w:t>
      </w:r>
      <w:r>
        <w:t xml:space="preserve">According to the Pew Research Center (a nonpartisan research institute in Washington, D.C.), which uses data from the International Energy Agency, more than 40% of US data center electricity came from gas and about 15% from coal in 2024 [</w:t>
      </w:r>
      <w:hyperlink w:anchor="src-S15" w:history="1">
        <w:r>
          <w:rPr>
            <w:rStyle w:val="SourceLink"/>
          </w:rPr>
          <w:t xml:space="preserve">S15</w:t>
        </w:r>
      </w:hyperlink>
      <w:r>
        <w:t xml:space="preserve">].</w:t>
      </w:r>
    </w:p>
    <w:p>
      <w:pPr>
        <w:pStyle w:val="Compact"/>
        <w:numPr>
          <w:ilvl w:val="0"/>
          <w:numId w:val="1028"/>
        </w:numPr>
      </w:pPr>
      <w:r>
        <w:rPr>
          <w:b/>
          <w:bCs/>
        </w:rPr>
        <w:t xml:space="preserve">A new gas wave.</w:t>
      </w:r>
      <w:r>
        <w:t xml:space="preserve"> </w:t>
      </w:r>
      <w:r>
        <w:t xml:space="preserve">According to Global Energy Monitor (an independent research organization that tracks power plant projects worldwide), the gas power capacity in development in the US almost tripled in 2025 to about 252 GW – the most of any country, more than China. More than a third of it is meant to power data centers directly on site [</w:t>
      </w:r>
      <w:hyperlink w:anchor="src-S49" w:history="1">
        <w:r>
          <w:rPr>
            <w:rStyle w:val="SourceLink"/>
          </w:rPr>
          <w:t xml:space="preserve">S49</w:t>
        </w:r>
      </w:hyperlink>
      <w:r>
        <w:t xml:space="preserve">].</w:t>
      </w:r>
    </w:p>
    <w:p>
      <w:pPr>
        <w:pStyle w:val="Compact"/>
        <w:numPr>
          <w:ilvl w:val="0"/>
          <w:numId w:val="1028"/>
        </w:numPr>
      </w:pPr>
      <w:r>
        <w:rPr>
          <w:b/>
          <w:bCs/>
        </w:rPr>
        <w:t xml:space="preserve">Concrete cases:</w:t>
      </w:r>
    </w:p>
    <w:p>
      <w:pPr>
        <w:pStyle w:val="Compact"/>
        <w:numPr>
          <w:ilvl w:val="1"/>
          <w:numId w:val="1029"/>
        </w:numPr>
      </w:pPr>
      <w:r>
        <w:rPr>
          <w:b/>
          <w:bCs/>
        </w:rPr>
        <w:t xml:space="preserve">Louisiana:</w:t>
      </w:r>
      <w:r>
        <w:t xml:space="preserve"> </w:t>
      </w:r>
      <w:r>
        <w:t xml:space="preserve">regulators approved three new gas plants (about 2.25 GW) for Meta's "Hyperion" campus in August 2025; the utility Entergy (the local power company) now wants seven more [</w:t>
      </w:r>
      <w:hyperlink w:anchor="src-S50" w:history="1">
        <w:r>
          <w:rPr>
            <w:rStyle w:val="SourceLink"/>
          </w:rPr>
          <w:t xml:space="preserve">S50</w:t>
        </w:r>
      </w:hyperlink>
      <w:r>
        <w:t xml:space="preserve">].</w:t>
      </w:r>
    </w:p>
    <w:p>
      <w:pPr>
        <w:pStyle w:val="Compact"/>
        <w:numPr>
          <w:ilvl w:val="1"/>
          <w:numId w:val="1029"/>
        </w:numPr>
      </w:pPr>
      <w:r>
        <w:rPr>
          <w:b/>
          <w:bCs/>
        </w:rPr>
        <w:t xml:space="preserve">Vineland, New Jersey:</w:t>
      </w:r>
      <w:r>
        <w:t xml:space="preserve"> </w:t>
      </w:r>
      <w:r>
        <w:t xml:space="preserve">62 gas generators ran without permits. They were exposed by Floodlight, an independent, nonpartisan nonprofit newsroom that investigates who is holding back climate action; its story ran with The Guardian. Floodlight's drone footage from mid-August 2026 showed at least 45 of the 62 generators running, about a mile from two schools [</w:t>
      </w:r>
      <w:hyperlink w:anchor="src-S92" w:history="1">
        <w:r>
          <w:rPr>
            <w:rStyle w:val="SourceLink"/>
          </w:rPr>
          <w:t xml:space="preserve">S92</w:t>
        </w:r>
      </w:hyperlink>
      <w:r>
        <w:t xml:space="preserve">]. New Jersey's Department of Environmental Protection (the state environmental agency) later fined the company $1.07 million [</w:t>
      </w:r>
      <w:hyperlink w:anchor="src-S76" w:history="1">
        <w:r>
          <w:rPr>
            <w:rStyle w:val="SourceLink"/>
          </w:rPr>
          <w:t xml:space="preserve">S76</w:t>
        </w:r>
      </w:hyperlink>
      <w:r>
        <w:t xml:space="preserve">]. A Rutgers University researcher estimates about 140 tons of nitrogen oxides (NOx) were released [</w:t>
      </w:r>
      <w:hyperlink w:anchor="src-S76" w:history="1">
        <w:r>
          <w:rPr>
            <w:rStyle w:val="SourceLink"/>
          </w:rPr>
          <w:t xml:space="preserve">S76</w:t>
        </w:r>
      </w:hyperlink>
      <w:r>
        <w:t xml:space="preserve">].</w:t>
      </w:r>
    </w:p>
    <w:p>
      <w:pPr>
        <w:pStyle w:val="Compact"/>
        <w:numPr>
          <w:ilvl w:val="2"/>
          <w:numId w:val="1030"/>
        </w:numPr>
      </w:pPr>
      <w:r>
        <w:rPr>
          <w:b/>
          <w:bCs/>
        </w:rPr>
        <w:t xml:space="preserve">What 140 tons means:</w:t>
      </w:r>
      <w:r>
        <w:t xml:space="preserve"> </w:t>
      </w:r>
      <w:r>
        <w:t xml:space="preserve">under the federal Clean Air Act, a facility that can emit 100 tons of a pollutant per year counts as a "major source" and needs the strictest permit. New Jersey's own threshold for NOx is even lower, at 25 tons per year ⚠ [</w:t>
      </w:r>
      <w:hyperlink w:anchor="src-S93" w:history="1">
        <w:r>
          <w:rPr>
            <w:rStyle w:val="SourceLink"/>
          </w:rPr>
          <w:t xml:space="preserve">S93</w:t>
        </w:r>
      </w:hyperlink>
      <w:r>
        <w:t xml:space="preserve">]. Here, more than the federal annual threshold was released within a few months of unpermitted operation. Floodlight links these emissions to asthma, heart attacks and premature death [</w:t>
      </w:r>
      <w:hyperlink w:anchor="src-S92" w:history="1">
        <w:r>
          <w:rPr>
            <w:rStyle w:val="SourceLink"/>
          </w:rPr>
          <w:t xml:space="preserve">S92</w:t>
        </w:r>
      </w:hyperlink>
      <w:r>
        <w:t xml:space="preserve">].</w:t>
      </w:r>
    </w:p>
    <w:p>
      <w:pPr>
        <w:pStyle w:val="Compact"/>
        <w:numPr>
          <w:ilvl w:val="1"/>
          <w:numId w:val="1029"/>
        </w:numPr>
      </w:pPr>
      <w:r>
        <w:rPr>
          <w:b/>
          <w:bCs/>
        </w:rPr>
        <w:t xml:space="preserve">Sterling, Virginia:</w:t>
      </w:r>
      <w:r>
        <w:t xml:space="preserve"> </w:t>
      </w:r>
      <w:r>
        <w:t xml:space="preserve">a data center ran diesel backup generators for almost 24 hours during a "Code Red" air-quality alert. The state regulator said it had "no regulatory authority to stop these actions" [</w:t>
      </w:r>
      <w:hyperlink w:anchor="src-S77" w:history="1">
        <w:r>
          <w:rPr>
            <w:rStyle w:val="SourceLink"/>
          </w:rPr>
          <w:t xml:space="preserve">S77</w:t>
        </w:r>
      </w:hyperlink>
      <w:r>
        <w:t xml:space="preserve">].</w:t>
      </w:r>
    </w:p>
    <w:p>
      <w:pPr>
        <w:pStyle w:val="Compact"/>
        <w:numPr>
          <w:ilvl w:val="0"/>
          <w:numId w:val="1028"/>
        </w:numPr>
      </w:pPr>
      <w:r>
        <w:rPr>
          <w:b/>
          <w:bCs/>
        </w:rPr>
        <w:t xml:space="preserve">Health cost.</w:t>
      </w:r>
      <w:r>
        <w:t xml:space="preserve"> </w:t>
      </w:r>
      <w:r>
        <w:t xml:space="preserve">Researchers from the California Institute of Technology (Caltech) and the University of California, Riverside estimate that air pollution linked to US data centers could cause public health costs of more than $20 billion per year by 2028. The burden per household could be up to 200 times higher in disadvantaged communities (preprint study, not final) [</w:t>
      </w:r>
      <w:hyperlink w:anchor="src-S51" w:history="1">
        <w:r>
          <w:rPr>
            <w:rStyle w:val="SourceLink"/>
          </w:rPr>
          <w:t xml:space="preserve">S51</w:t>
        </w:r>
      </w:hyperlink>
      <w:r>
        <w:t xml:space="preserve">].</w:t>
      </w:r>
    </w:p>
    <w:p>
      <w:pPr>
        <w:pStyle w:val="Compact"/>
        <w:numPr>
          <w:ilvl w:val="0"/>
          <w:numId w:val="1028"/>
        </w:numPr>
      </w:pPr>
      <w:r>
        <w:rPr>
          <w:b/>
          <w:bCs/>
        </w:rPr>
        <w:t xml:space="preserve">Climate.</w:t>
      </w:r>
      <w:r>
        <w:t xml:space="preserve"> </w:t>
      </w:r>
      <w:r>
        <w:t xml:space="preserve">The International Energy Agency (IEA, the intergovernmental energy organization in Paris, of which the US is a member) projects emissions from data center electricity to rise from 180 to 300 million tonnes of CO2 by 2035 (base case, global) [</w:t>
      </w:r>
      <w:hyperlink w:anchor="src-S13" w:history="1">
        <w:r>
          <w:rPr>
            <w:rStyle w:val="SourceLink"/>
          </w:rPr>
          <w:t xml:space="preserve">S13</w:t>
        </w:r>
      </w:hyperlink>
      <w:r>
        <w:t xml:space="preserve">].</w:t>
      </w:r>
    </w:p>
    <w:p>
      <w:pPr>
        <w:pStyle w:val="Compact"/>
        <w:numPr>
          <w:ilvl w:val="1"/>
          <w:numId w:val="1031"/>
        </w:numPr>
      </w:pPr>
      <w:r>
        <w:rPr>
          <w:b/>
          <w:bCs/>
        </w:rPr>
        <w:t xml:space="preserve">What these extra emissions mean for humanity:</w:t>
      </w:r>
    </w:p>
    <w:p>
      <w:pPr>
        <w:pStyle w:val="Compact"/>
        <w:numPr>
          <w:ilvl w:val="2"/>
          <w:numId w:val="1032"/>
        </w:numPr>
      </w:pPr>
      <w:r>
        <w:t xml:space="preserve">The additional 120 million tonnes per year equal the CO2 of about 26 million additional cars. The US Environmental Protection Agency puts a typical passenger car at about 4.6 tonnes of CO2 per year [</w:t>
      </w:r>
      <w:hyperlink w:anchor="src-S94" w:history="1">
        <w:r>
          <w:rPr>
            <w:rStyle w:val="SourceLink"/>
          </w:rPr>
          <w:t xml:space="preserve">S94</w:t>
        </w:r>
      </w:hyperlink>
      <w:r>
        <w:t xml:space="preserve">].</w:t>
      </w:r>
    </w:p>
    <w:p>
      <w:pPr>
        <w:pStyle w:val="Compact"/>
        <w:numPr>
          <w:ilvl w:val="2"/>
          <w:numId w:val="1032"/>
        </w:numPr>
      </w:pPr>
      <w:r>
        <w:t xml:space="preserve">The Intergovernmental Panel on Climate Change (IPCC, the UN body that assesses climate science) finds with high confidence: "Every increment of global warming will intensify multiple and concurrent hazards" [</w:t>
      </w:r>
      <w:hyperlink w:anchor="src-S95" w:history="1">
        <w:r>
          <w:rPr>
            <w:rStyle w:val="SourceLink"/>
          </w:rPr>
          <w:t xml:space="preserve">S95</w:t>
        </w:r>
      </w:hyperlink>
      <w:r>
        <w:t xml:space="preserve">].</w:t>
      </w:r>
    </w:p>
    <w:p>
      <w:pPr>
        <w:pStyle w:val="Compact"/>
        <w:numPr>
          <w:ilvl w:val="2"/>
          <w:numId w:val="1032"/>
        </w:numPr>
      </w:pPr>
      <w:r>
        <w:t xml:space="preserve">In plain words: every additional tonne makes dangers such as extreme heat, floods and droughts more likely, and they increasingly hit at the same time.</w:t>
      </w:r>
    </w:p>
    <w:p>
      <w:pPr>
        <w:pStyle w:val="Compact"/>
        <w:numPr>
          <w:ilvl w:val="2"/>
          <w:numId w:val="1032"/>
        </w:numPr>
      </w:pPr>
      <w:hyperlink w:anchor="p3-further" w:history="1">
        <w:r>
          <w:rPr>
            <w:rStyle w:val="NavLinkChar"/>
          </w:rPr>
          <w:t xml:space="preserve">(→ see Further explanation)</w:t>
        </w:r>
      </w:hyperlink>
    </w:p>
    <w:p>
      <w:pPr>
        <w:pStyle w:val="FirstParagraph"/>
      </w:pPr>
      <w:r>
        <w:rPr>
          <w:b/>
          <w:bCs/>
        </w:rPr>
        <w:t xml:space="preserve">Judge Impact:</w:t>
      </w:r>
      <w:r>
        <w:t xml:space="preserve"> </w:t>
      </w:r>
      <w:r>
        <w:t xml:space="preserve">This is about children breathing at home and about a climate bill our generation will pay. Every gas plant built for a data center is a decades-long bet – paid through everyone's electricity bill [</w:t>
      </w:r>
      <w:hyperlink w:anchor="src-S17" w:history="1">
        <w:r>
          <w:rPr>
            <w:rStyle w:val="SourceLink"/>
          </w:rPr>
          <w:t xml:space="preserve">S17</w:t>
        </w:r>
      </w:hyperlink>
      <w:r>
        <w:t xml:space="preserve">] and everyone's lungs [</w:t>
      </w:r>
      <w:hyperlink w:anchor="src-S22" w:history="1">
        <w:r>
          <w:rPr>
            <w:rStyle w:val="SourceLink"/>
          </w:rPr>
          <w:t xml:space="preserve">S22</w:t>
        </w:r>
      </w:hyperlink>
      <w:r>
        <w:t xml:space="preserve">,</w:t>
      </w:r>
      <w:r>
        <w:t xml:space="preserve"> </w:t>
      </w:r>
      <w:hyperlink w:anchor="src-S51" w:history="1">
        <w:r>
          <w:rPr>
            <w:rStyle w:val="SourceLink"/>
          </w:rPr>
          <w:t xml:space="preserve">S51</w:t>
        </w:r>
      </w:hyperlink>
      <w:r>
        <w:t xml:space="preserve">].</w:t>
      </w:r>
    </w:p>
    <w:bookmarkEnd w:id="102"/>
    <w:bookmarkEnd w:id="103"/>
    <w:bookmarkStart w:id="110" w:name="p4"/>
    <w:p>
      <w:pPr>
        <w:pStyle w:val="Heading2"/>
        <w:pageBreakBefore/>
      </w:pPr>
      <w:r>
        <w:t xml:space="preserve">P4 Water in Drought-Prone Areas</w:t>
      </w:r>
    </w:p>
    <w:p>
      <w:pPr>
        <w:pStyle w:val="HeadingNote"/>
      </w:pPr>
      <w:r>
        <w:rPr>
          <w:i/>
          <w:iCs/>
        </w:rPr>
        <w:t xml:space="preserve">(wir haben das in unseren COnstructive)</w:t>
      </w:r>
    </w:p>
    <w:bookmarkStart w:id="104" w:name="p4-speech"/>
    <w:p>
      <w:pPr>
        <w:pStyle w:val="Heading3"/>
      </w:pPr>
      <w:r>
        <w:t xml:space="preserve">Speech version</w:t>
      </w:r>
    </w:p>
    <w:p>
      <w:pPr>
        <w:pStyle w:val="Speech"/>
      </w:pPr>
      <w:r>
        <w:t xml:space="preserve">Our next argument is about water – the most basic need there is.</w:t>
      </w:r>
    </w:p>
    <w:p>
      <w:pPr>
        <w:pStyle w:val="Speech"/>
      </w:pPr>
      <w:hyperlink w:anchor="gl-hyperscale" w:history="1">
        <w:r>
          <w:rPr>
            <w:rStyle w:val="GlossaryLink"/>
          </w:rPr>
          <w:t xml:space="preserve">Hyperscale</w:t>
        </w:r>
      </w:hyperlink>
      <w:r>
        <w:t xml:space="preserve"> </w:t>
      </w:r>
      <w:r>
        <w:t xml:space="preserve">data centers are thirsty. According to the</w:t>
      </w:r>
      <w:r>
        <w:t xml:space="preserve"> </w:t>
      </w:r>
      <w:hyperlink w:anchor="gl-pew" w:history="1">
        <w:r>
          <w:rPr>
            <w:rStyle w:val="GlossaryLink"/>
          </w:rPr>
          <w:t xml:space="preserve">Pew Research Center</w:t>
        </w:r>
      </w:hyperlink>
      <w:r>
        <w:t xml:space="preserve">, a nonpartisan research institute, using data from</w:t>
      </w:r>
      <w:r>
        <w:t xml:space="preserve"> </w:t>
      </w:r>
      <w:hyperlink w:anchor="gl-lbnl" w:history="1">
        <w:r>
          <w:rPr>
            <w:rStyle w:val="GlossaryLink"/>
          </w:rPr>
          <w:t xml:space="preserve">Lawrence Berkeley National Laboratory</w:t>
        </w:r>
      </w:hyperlink>
      <w:r>
        <w:t xml:space="preserve">, a research lab of the US Department of Energy, US data centers used about 17 billion gallons of water in 2023 – 84 percent of it in hyperscale and</w:t>
      </w:r>
      <w:r>
        <w:t xml:space="preserve"> </w:t>
      </w:r>
      <w:hyperlink w:anchor="gl-colocation" w:history="1">
        <w:r>
          <w:rPr>
            <w:rStyle w:val="GlossaryLink"/>
          </w:rPr>
          <w:t xml:space="preserve">colocation</w:t>
        </w:r>
      </w:hyperlink>
      <w:r>
        <w:t xml:space="preserve"> </w:t>
      </w:r>
      <w:r>
        <w:t xml:space="preserve">facilities. [</w:t>
      </w:r>
      <w:hyperlink w:anchor="src-S15" w:history="1">
        <w:r>
          <w:rPr>
            <w:rStyle w:val="SourceLink"/>
          </w:rPr>
          <w:t xml:space="preserve">S15</w:t>
        </w:r>
      </w:hyperlink>
      <w:r>
        <w:t xml:space="preserve">]</w:t>
      </w:r>
    </w:p>
    <w:p>
      <w:pPr>
        <w:pStyle w:val="Speech"/>
      </w:pPr>
      <w:r>
        <w:t xml:space="preserve">The problem is water is local. In Newton County, Georgia, Meta’s campus uses about 10 percent of the county’s daily water. [</w:t>
      </w:r>
      <w:hyperlink w:anchor="src-S18" w:history="1">
        <w:r>
          <w:rPr>
            <w:rStyle w:val="SourceLink"/>
          </w:rPr>
          <w:t xml:space="preserve">S18</w:t>
        </w:r>
      </w:hyperlink>
      <w:r>
        <w:t xml:space="preserve">] Right next door, Beverly and Jeff Morris watched their well fill with sediment after construction began. As the New York Times reported, they cannot afford the 25,000 dollars for a new well. [</w:t>
      </w:r>
      <w:hyperlink w:anchor="src-S18" w:history="1">
        <w:r>
          <w:rPr>
            <w:rStyle w:val="SourceLink"/>
          </w:rPr>
          <w:t xml:space="preserve">S18</w:t>
        </w:r>
      </w:hyperlink>
      <w:r>
        <w:t xml:space="preserve">,</w:t>
      </w:r>
      <w:r>
        <w:t xml:space="preserve"> </w:t>
      </w:r>
      <w:hyperlink w:anchor="src-S105" w:history="1">
        <w:r>
          <w:rPr>
            <w:rStyle w:val="SourceLink"/>
          </w:rPr>
          <w:t xml:space="preserve">S105</w:t>
        </w:r>
      </w:hyperlink>
      <w:r>
        <w:t xml:space="preserve">] Families now accuse Meta in court that the clearing, blasting and digging for the campus disturbed the groundwater beneath their homes. [</w:t>
      </w:r>
      <w:hyperlink w:anchor="src-S19" w:history="1">
        <w:r>
          <w:rPr>
            <w:rStyle w:val="SourceLink"/>
          </w:rPr>
          <w:t xml:space="preserve">S19</w:t>
        </w:r>
      </w:hyperlink>
      <w:r>
        <w:t xml:space="preserve">] Meta denies it. [</w:t>
      </w:r>
      <w:hyperlink w:anchor="src-S18" w:history="1">
        <w:r>
          <w:rPr>
            <w:rStyle w:val="SourceLink"/>
          </w:rPr>
          <w:t xml:space="preserve">S18</w:t>
        </w:r>
      </w:hyperlink>
      <w:r>
        <w:t xml:space="preserve">,</w:t>
      </w:r>
      <w:r>
        <w:t xml:space="preserve"> </w:t>
      </w:r>
      <w:hyperlink w:anchor="src-S19" w:history="1">
        <w:r>
          <w:rPr>
            <w:rStyle w:val="SourceLink"/>
          </w:rPr>
          <w:t xml:space="preserve">S19</w:t>
        </w:r>
      </w:hyperlink>
      <w:r>
        <w:t xml:space="preserve">]</w:t>
      </w:r>
    </w:p>
    <w:p>
      <w:pPr>
        <w:pStyle w:val="Speech"/>
      </w:pPr>
      <w:r>
        <w:t xml:space="preserve">In Fayette County, Georgia, residents were asked to save water during a drought. Meanwhile, the data center developer QTS drew more than 29 million gallons through two large connections that never appeared on its bill. The county blames a glitch while switching to smart meters. QTS paid later – and the county did not issue a fine. [</w:t>
      </w:r>
      <w:hyperlink w:anchor="src-S37" w:history="1">
        <w:r>
          <w:rPr>
            <w:rStyle w:val="SourceLink"/>
          </w:rPr>
          <w:t xml:space="preserve">S37</w:t>
        </w:r>
      </w:hyperlink>
      <w:r>
        <w:t xml:space="preserve">]</w:t>
      </w:r>
    </w:p>
    <w:p>
      <w:pPr>
        <w:pStyle w:val="Speech"/>
      </w:pPr>
      <w:r>
        <w:t xml:space="preserve">And the problem is growing. The</w:t>
      </w:r>
      <w:r>
        <w:t xml:space="preserve"> </w:t>
      </w:r>
      <w:hyperlink w:anchor="gl-harc" w:history="1">
        <w:r>
          <w:rPr>
            <w:rStyle w:val="GlossaryLink"/>
          </w:rPr>
          <w:t xml:space="preserve">Houston Advanced Research Center</w:t>
        </w:r>
      </w:hyperlink>
      <w:r>
        <w:t xml:space="preserve">, a nonprofit research institute, calculates that Texas data centers could use up to 161 billion gallons a year by 2030 – yet the state’s official water plan does not even account for them. [</w:t>
      </w:r>
      <w:hyperlink w:anchor="src-S52" w:history="1">
        <w:r>
          <w:rPr>
            <w:rStyle w:val="SourceLink"/>
          </w:rPr>
          <w:t xml:space="preserve">S52</w:t>
        </w:r>
      </w:hyperlink>
      <w:r>
        <w:t xml:space="preserve">]</w:t>
      </w:r>
    </w:p>
    <w:p>
      <w:pPr>
        <w:pStyle w:val="Speech"/>
      </w:pPr>
      <w:r>
        <w:t xml:space="preserve">Often, communities are not even allowed to know. The city of The Dalles, Oregon, went to court against Oregon’s largest newspaper to keep Google’s water use secret. It turned out to be 355 million gallons in a single year. [</w:t>
      </w:r>
      <w:hyperlink w:anchor="src-S54" w:history="1">
        <w:r>
          <w:rPr>
            <w:rStyle w:val="SourceLink"/>
          </w:rPr>
          <w:t xml:space="preserve">S54</w:t>
        </w:r>
      </w:hyperlink>
      <w:r>
        <w:t xml:space="preserve">] And to this day, no federal law requires data centers to report their water use. [</w:t>
      </w:r>
      <w:hyperlink w:anchor="src-S31" w:history="1">
        <w:r>
          <w:rPr>
            <w:rStyle w:val="SourceLink"/>
          </w:rPr>
          <w:t xml:space="preserve">S31</w:t>
        </w:r>
      </w:hyperlink>
      <w:r>
        <w:t xml:space="preserve">]</w:t>
      </w:r>
    </w:p>
    <w:p>
      <w:pPr>
        <w:pStyle w:val="Speech"/>
      </w:pPr>
      <w:r>
        <w:t xml:space="preserve">So here is the bottom line: water is not a national average. It is the well behind your house and the tap in your kitchen. Right now, families are told to save, while the biggest users are not even measured. A</w:t>
      </w:r>
      <w:r>
        <w:t xml:space="preserve"> </w:t>
      </w:r>
      <w:hyperlink w:anchor="gl-moratorium" w:history="1">
        <w:r>
          <w:rPr>
            <w:rStyle w:val="GlossaryLink"/>
          </w:rPr>
          <w:t xml:space="preserve">moratorium</w:t>
        </w:r>
      </w:hyperlink>
      <w:r>
        <w:t xml:space="preserve"> </w:t>
      </w:r>
      <w:r>
        <w:t xml:space="preserve">stops new hyperscale campuses from drinking first and asking later – until every data center has to report its water use and follow drought rules.</w:t>
      </w:r>
    </w:p>
    <w:p>
      <w:pPr>
        <w:pStyle w:val="NavLink"/>
      </w:pPr>
      <w:hyperlink w:anchor="p4-chain" w:history="1">
        <w:r>
          <w:rPr>
            <w:rStyle w:val="NavLinkChar"/>
          </w:rPr>
          <w:t xml:space="preserve">→ Chain of Reasoning (Backup)</w:t>
        </w:r>
      </w:hyperlink>
    </w:p>
    <w:bookmarkEnd w:id="104"/>
    <w:bookmarkStart w:id="105" w:name="p4-rebuttal"/>
    <w:p>
      <w:pPr>
        <w:pStyle w:val="Heading3"/>
      </w:pPr>
      <w:r>
        <w:t xml:space="preserve">Rebuttal (Contra)</w:t>
      </w:r>
    </w:p>
    <w:p>
      <w:pPr>
        <w:pStyle w:val="Compact"/>
        <w:numPr>
          <w:ilvl w:val="0"/>
          <w:numId w:val="1033"/>
        </w:numPr>
      </w:pPr>
      <w:r>
        <w:rPr>
          <w:b/>
          <w:bCs/>
        </w:rPr>
        <w:t xml:space="preserve">R1</w:t>
      </w:r>
      <w:r>
        <w:t xml:space="preserve"> </w:t>
      </w:r>
      <w:r>
        <w:t xml:space="preserve">“It’s a tiny share: even in 2030, Texas data centers use at most 2.7% of the state’s water, according to the Houston Advanced Research Center.” [</w:t>
      </w:r>
      <w:hyperlink w:anchor="src-S52" w:history="1">
        <w:r>
          <w:rPr>
            <w:rStyle w:val="SourceLink"/>
          </w:rPr>
          <w:t xml:space="preserve">S52</w:t>
        </w:r>
      </w:hyperlink>
      <w:r>
        <w:t xml:space="preserve">]</w:t>
      </w:r>
    </w:p>
    <w:p>
      <w:pPr>
        <w:pStyle w:val="Compact"/>
        <w:numPr>
          <w:ilvl w:val="0"/>
          <w:numId w:val="1033"/>
        </w:numPr>
      </w:pPr>
      <w:r>
        <w:rPr>
          <w:b/>
          <w:bCs/>
        </w:rPr>
        <w:t xml:space="preserve">R2</w:t>
      </w:r>
      <w:r>
        <w:t xml:space="preserve"> </w:t>
      </w:r>
      <w:r>
        <w:t xml:space="preserve">“Technology solves it: Microsoft’s zero-water cooling design saves more than 125 million liters per data center per year [</w:t>
      </w:r>
      <w:hyperlink w:anchor="src-S55" w:history="1">
        <w:r>
          <w:rPr>
            <w:rStyle w:val="SourceLink"/>
          </w:rPr>
          <w:t xml:space="preserve">S55</w:t>
        </w:r>
      </w:hyperlink>
      <w:r>
        <w:t xml:space="preserve">], and Meta’s Beaver Dam campus uses dry cooling.” [</w:t>
      </w:r>
      <w:hyperlink w:anchor="src-S61" w:history="1">
        <w:r>
          <w:rPr>
            <w:rStyle w:val="SourceLink"/>
          </w:rPr>
          <w:t xml:space="preserve">S61</w:t>
        </w:r>
      </w:hyperlink>
      <w:r>
        <w:t xml:space="preserve">]</w:t>
      </w:r>
    </w:p>
    <w:p>
      <w:pPr>
        <w:pStyle w:val="Compact"/>
        <w:numPr>
          <w:ilvl w:val="0"/>
          <w:numId w:val="1033"/>
        </w:numPr>
      </w:pPr>
      <w:r>
        <w:rPr>
          <w:b/>
          <w:bCs/>
        </w:rPr>
        <w:t xml:space="preserve">R3</w:t>
      </w:r>
      <w:r>
        <w:t xml:space="preserve"> </w:t>
      </w:r>
      <w:r>
        <w:t xml:space="preserve">“No proven causation: Meta’s study found no impact on wells [</w:t>
      </w:r>
      <w:hyperlink w:anchor="src-S18" w:history="1">
        <w:r>
          <w:rPr>
            <w:rStyle w:val="SourceLink"/>
          </w:rPr>
          <w:t xml:space="preserve">S18</w:t>
        </w:r>
      </w:hyperlink>
      <w:r>
        <w:t xml:space="preserve">], and QTS says its use is under 1% of the county’s permitted capacity and was only for construction.” [</w:t>
      </w:r>
      <w:hyperlink w:anchor="src-S37" w:history="1">
        <w:r>
          <w:rPr>
            <w:rStyle w:val="SourceLink"/>
          </w:rPr>
          <w:t xml:space="preserve">S37</w:t>
        </w:r>
      </w:hyperlink>
      <w:r>
        <w:t xml:space="preserve">]</w:t>
      </w:r>
    </w:p>
    <w:p>
      <w:pPr>
        <w:pStyle w:val="Compact"/>
        <w:numPr>
          <w:ilvl w:val="0"/>
          <w:numId w:val="1033"/>
        </w:numPr>
      </w:pPr>
      <w:r>
        <w:rPr>
          <w:b/>
          <w:bCs/>
        </w:rPr>
        <w:t xml:space="preserve">R4</w:t>
      </w:r>
      <w:r>
        <w:t xml:space="preserve"> </w:t>
      </w:r>
      <w:r>
        <w:t xml:space="preserve">“States are already acting: New Jersey and California now require water use reporting.” [</w:t>
      </w:r>
      <w:hyperlink w:anchor="src-S31" w:history="1">
        <w:r>
          <w:rPr>
            <w:rStyle w:val="SourceLink"/>
          </w:rPr>
          <w:t xml:space="preserve">S31</w:t>
        </w:r>
      </w:hyperlink>
      <w:r>
        <w:t xml:space="preserve">]</w:t>
      </w:r>
    </w:p>
    <w:bookmarkEnd w:id="105"/>
    <w:bookmarkStart w:id="106" w:name="p4-frontline"/>
    <w:p>
      <w:pPr>
        <w:pStyle w:val="Heading3"/>
      </w:pPr>
      <w:r>
        <w:t xml:space="preserve">Frontline (Pro)</w:t>
      </w:r>
    </w:p>
    <w:p>
      <w:pPr>
        <w:pStyle w:val="Compact"/>
        <w:numPr>
          <w:ilvl w:val="0"/>
          <w:numId w:val="1034"/>
        </w:numPr>
      </w:pPr>
      <w:r>
        <w:rPr>
          <w:b/>
          <w:bCs/>
        </w:rPr>
        <w:t xml:space="preserve">F1 (→ R1)</w:t>
      </w:r>
      <w:r>
        <w:t xml:space="preserve"> </w:t>
      </w:r>
      <w:r>
        <w:t xml:space="preserve">Water is local. Meta uses about 10% of one county’s daily water [</w:t>
      </w:r>
      <w:hyperlink w:anchor="src-S18" w:history="1">
        <w:r>
          <w:rPr>
            <w:rStyle w:val="SourceLink"/>
          </w:rPr>
          <w:t xml:space="preserve">S18</w:t>
        </w:r>
      </w:hyperlink>
      <w:r>
        <w:t xml:space="preserve">], and Fayette County asked residents to save during a drought while a data center’s meters went unbilled [</w:t>
      </w:r>
      <w:hyperlink w:anchor="src-S37" w:history="1">
        <w:r>
          <w:rPr>
            <w:rStyle w:val="SourceLink"/>
          </w:rPr>
          <w:t xml:space="preserve">S37</w:t>
        </w:r>
      </w:hyperlink>
      <w:r>
        <w:t xml:space="preserve">]. A statewide average of 2.7% hides these hotspots – and even HARC says Texas’ water plan does not account for data centers at all [</w:t>
      </w:r>
      <w:hyperlink w:anchor="src-S52" w:history="1">
        <w:r>
          <w:rPr>
            <w:rStyle w:val="SourceLink"/>
          </w:rPr>
          <w:t xml:space="preserve">S52</w:t>
        </w:r>
      </w:hyperlink>
      <w:r>
        <w:t xml:space="preserve">].</w:t>
      </w:r>
    </w:p>
    <w:p>
      <w:pPr>
        <w:pStyle w:val="Compact"/>
        <w:numPr>
          <w:ilvl w:val="0"/>
          <w:numId w:val="1034"/>
        </w:numPr>
      </w:pPr>
      <w:r>
        <w:rPr>
          <w:b/>
          <w:bCs/>
        </w:rPr>
        <w:t xml:space="preserve">F2 (→ R2)</w:t>
      </w:r>
      <w:r>
        <w:t xml:space="preserve"> </w:t>
      </w:r>
      <w:r>
        <w:t xml:space="preserve">Zero-water and dry cooling are the exception, not the rule – everything else is wishful thinking.</w:t>
      </w:r>
    </w:p>
    <w:p>
      <w:pPr>
        <w:pStyle w:val="Compact"/>
        <w:numPr>
          <w:ilvl w:val="1"/>
          <w:numId w:val="1035"/>
        </w:numPr>
      </w:pPr>
      <w:r>
        <w:t xml:space="preserve">Microsoft’s design only starts at new sites from 2026/27 and slightly increases power use [</w:t>
      </w:r>
      <w:hyperlink w:anchor="src-S55" w:history="1">
        <w:r>
          <w:rPr>
            <w:rStyle w:val="SourceLink"/>
          </w:rPr>
          <w:t xml:space="preserve">S55</w:t>
        </w:r>
      </w:hyperlink>
      <w:r>
        <w:t xml:space="preserve">] – and power plants also need water [</w:t>
      </w:r>
      <w:hyperlink w:anchor="src-S52" w:history="1">
        <w:r>
          <w:rPr>
            <w:rStyle w:val="SourceLink"/>
          </w:rPr>
          <w:t xml:space="preserve">S52</w:t>
        </w:r>
      </w:hyperlink>
      <w:r>
        <w:t xml:space="preserve">].</w:t>
      </w:r>
    </w:p>
    <w:p>
      <w:pPr>
        <w:pStyle w:val="Compact"/>
        <w:numPr>
          <w:ilvl w:val="1"/>
          <w:numId w:val="1035"/>
        </w:numPr>
      </w:pPr>
      <w:r>
        <w:t xml:space="preserve">Hyperscale water use is still projected to rise to 16–33 billion gallons a year by 2028 [</w:t>
      </w:r>
      <w:hyperlink w:anchor="src-S15" w:history="1">
        <w:r>
          <w:rPr>
            <w:rStyle w:val="SourceLink"/>
          </w:rPr>
          <w:t xml:space="preserve">S15</w:t>
        </w:r>
      </w:hyperlink>
      <w:r>
        <w:t xml:space="preserve">].</w:t>
      </w:r>
    </w:p>
    <w:p>
      <w:pPr>
        <w:pStyle w:val="Compact"/>
        <w:numPr>
          <w:ilvl w:val="1"/>
          <w:numId w:val="1035"/>
        </w:numPr>
      </w:pPr>
      <w:r>
        <w:t xml:space="preserve">Google’s water consumption alone grew 34%, to 10.9 billion gallons, in 2025 [</w:t>
      </w:r>
      <w:hyperlink w:anchor="src-S106" w:history="1">
        <w:r>
          <w:rPr>
            <w:rStyle w:val="SourceLink"/>
          </w:rPr>
          <w:t xml:space="preserve">S106</w:t>
        </w:r>
      </w:hyperlink>
      <w:r>
        <w:t xml:space="preserve">].</w:t>
      </w:r>
    </w:p>
    <w:p>
      <w:pPr>
        <w:pStyle w:val="Compact"/>
        <w:numPr>
          <w:ilvl w:val="1"/>
          <w:numId w:val="1035"/>
        </w:numPr>
      </w:pPr>
      <w:r>
        <w:t xml:space="preserve">That is why we need a moratorium: to turn voluntary promises into binding water rules now.</w:t>
      </w:r>
    </w:p>
    <w:p>
      <w:pPr>
        <w:pStyle w:val="Compact"/>
        <w:numPr>
          <w:ilvl w:val="0"/>
          <w:numId w:val="1034"/>
        </w:numPr>
      </w:pPr>
      <w:r>
        <w:rPr>
          <w:b/>
          <w:bCs/>
        </w:rPr>
        <w:t xml:space="preserve">F3 (→ R4)</w:t>
      </w:r>
      <w:r>
        <w:t xml:space="preserve"> </w:t>
      </w:r>
      <w:r>
        <w:t xml:space="preserve">Two states with reporting rules means 48 without [</w:t>
      </w:r>
      <w:hyperlink w:anchor="src-S31" w:history="1">
        <w:r>
          <w:rPr>
            <w:rStyle w:val="SourceLink"/>
          </w:rPr>
          <w:t xml:space="preserve">S31</w:t>
        </w:r>
      </w:hyperlink>
      <w:r>
        <w:t xml:space="preserve">], and the federal transparency bill S. 4213 is still stuck in committee [</w:t>
      </w:r>
      <w:hyperlink w:anchor="src-S31" w:history="1">
        <w:r>
          <w:rPr>
            <w:rStyle w:val="SourceLink"/>
          </w:rPr>
          <w:t xml:space="preserve">S31</w:t>
        </w:r>
      </w:hyperlink>
      <w:r>
        <w:t xml:space="preserve">]. Where there are no rules, cities even fight disclosure in court, as The Dalles did for Google [</w:t>
      </w:r>
      <w:hyperlink w:anchor="src-S54" w:history="1">
        <w:r>
          <w:rPr>
            <w:rStyle w:val="SourceLink"/>
          </w:rPr>
          <w:t xml:space="preserve">S54</w:t>
        </w:r>
      </w:hyperlink>
      <w:r>
        <w:t xml:space="preserve">].</w:t>
      </w:r>
    </w:p>
    <w:bookmarkEnd w:id="106"/>
    <w:bookmarkStart w:id="109" w:name="p4-chain"/>
    <w:p>
      <w:pPr>
        <w:pStyle w:val="Heading3"/>
      </w:pPr>
      <w:r>
        <w:t xml:space="preserve">Chain of Reasoning (Backup)</w:t>
      </w:r>
    </w:p>
    <w:p>
      <w:pPr>
        <w:pStyle w:val="NavLink"/>
      </w:pPr>
      <w:hyperlink w:anchor="p4-speech" w:history="1">
        <w:r>
          <w:rPr>
            <w:rStyle w:val="NavLinkChar"/>
          </w:rPr>
          <w:t xml:space="preserve">↑ Back to the speech version</w:t>
        </w:r>
      </w:hyperlink>
    </w:p>
    <w:p>
      <w:pPr>
        <w:pStyle w:val="BodyText"/>
      </w:pPr>
      <w:r>
        <w:rPr>
          <w:b/>
          <w:bCs/>
        </w:rPr>
        <w:t xml:space="preserve">Claim:</w:t>
      </w:r>
      <w:r>
        <w:t xml:space="preserve"> </w:t>
      </w:r>
      <w:r>
        <w:t xml:space="preserve">Hyperscale data centers threaten local water supplies in drought-prone areas, and current rules do not even require them to report their water use.</w:t>
      </w:r>
    </w:p>
    <w:p>
      <w:pPr>
        <w:pStyle w:val="BodyText"/>
      </w:pPr>
      <w:r>
        <w:rPr>
          <w:b/>
          <w:bCs/>
        </w:rPr>
        <w:t xml:space="preserve">Proof &amp; Examples:</w:t>
      </w:r>
    </w:p>
    <w:p>
      <w:pPr>
        <w:pStyle w:val="Compact"/>
        <w:numPr>
          <w:ilvl w:val="0"/>
          <w:numId w:val="1036"/>
        </w:numPr>
      </w:pPr>
      <w:r>
        <w:rPr>
          <w:b/>
          <w:bCs/>
        </w:rPr>
        <w:t xml:space="preserve">Scale.</w:t>
      </w:r>
    </w:p>
    <w:p>
      <w:pPr>
        <w:pStyle w:val="Compact"/>
        <w:numPr>
          <w:ilvl w:val="1"/>
          <w:numId w:val="1037"/>
        </w:numPr>
      </w:pPr>
      <w:r>
        <w:t xml:space="preserve">According to the Pew Research Center (a nonpartisan research institute in Washington, D.C.), using data from Lawrence Berkeley National Laboratory (a research lab of the US Department of Energy), US data centers used about 17 billion gallons (≈ 64 billion liters) of water in 2023, 84% of it in hyperscale and colocation facilities. Hyperscale facilities alone could use 16–33 billion gallons per year by 2028 [</w:t>
      </w:r>
      <w:hyperlink w:anchor="src-S15" w:history="1">
        <w:r>
          <w:rPr>
            <w:rStyle w:val="SourceLink"/>
          </w:rPr>
          <w:t xml:space="preserve">S15</w:t>
        </w:r>
      </w:hyperlink>
      <w:r>
        <w:t xml:space="preserve">].</w:t>
      </w:r>
    </w:p>
    <w:p>
      <w:pPr>
        <w:pStyle w:val="Compact"/>
        <w:numPr>
          <w:ilvl w:val="1"/>
          <w:numId w:val="1037"/>
        </w:numPr>
      </w:pPr>
      <w:r>
        <w:t xml:space="preserve">According to the Environmental and Energy Study Institute (EESI, a nonprofit policy institute in Washington, D.C.), a large data center can use up to 5 million gallons per day – as much as a town of 10,000 to 50,000 people (an upper bound, not the average) [</w:t>
      </w:r>
      <w:hyperlink w:anchor="src-S104" w:history="1">
        <w:r>
          <w:rPr>
            <w:rStyle w:val="SourceLink"/>
          </w:rPr>
          <w:t xml:space="preserve">S104</w:t>
        </w:r>
      </w:hyperlink>
      <w:r>
        <w:t xml:space="preserve">].</w:t>
      </w:r>
    </w:p>
    <w:p>
      <w:pPr>
        <w:pStyle w:val="Compact"/>
        <w:numPr>
          <w:ilvl w:val="0"/>
          <w:numId w:val="1036"/>
        </w:numPr>
      </w:pPr>
      <w:r>
        <w:rPr>
          <w:b/>
          <w:bCs/>
        </w:rPr>
        <w:t xml:space="preserve">Georgia (Newton County) – Meta.</w:t>
      </w:r>
    </w:p>
    <w:p>
      <w:pPr>
        <w:pStyle w:val="Compact"/>
        <w:numPr>
          <w:ilvl w:val="1"/>
          <w:numId w:val="1038"/>
        </w:numPr>
      </w:pPr>
      <w:r>
        <w:t xml:space="preserve">Meta's campus uses about 10% of the county's daily water, according to Mike Hopkins, head of the Newton County Water and Sewerage Authority (the county's public water utility) [</w:t>
      </w:r>
      <w:hyperlink w:anchor="src-S18" w:history="1">
        <w:r>
          <w:rPr>
            <w:rStyle w:val="SourceLink"/>
          </w:rPr>
          <w:t xml:space="preserve">S18</w:t>
        </w:r>
      </w:hyperlink>
      <w:r>
        <w:t xml:space="preserve">]. A county engineering report cited by the New York Times projects a water deficit by 2030 ⚠ [</w:t>
      </w:r>
      <w:hyperlink w:anchor="src-S18" w:history="1">
        <w:r>
          <w:rPr>
            <w:rStyle w:val="SourceLink"/>
          </w:rPr>
          <w:t xml:space="preserve">S18</w:t>
        </w:r>
      </w:hyperlink>
      <w:r>
        <w:t xml:space="preserve">].</w:t>
      </w:r>
    </w:p>
    <w:p>
      <w:pPr>
        <w:pStyle w:val="Compact"/>
        <w:numPr>
          <w:ilvl w:val="1"/>
          <w:numId w:val="1038"/>
        </w:numPr>
      </w:pPr>
      <w:r>
        <w:rPr>
          <w:b/>
          <w:bCs/>
        </w:rPr>
        <w:t xml:space="preserve">The link between Meta's campus and the groundwater.</w:t>
      </w:r>
      <w:r>
        <w:t xml:space="preserve"> </w:t>
      </w:r>
      <w:r>
        <w:t xml:space="preserve">The most serious source is The New York Times (Eli Tan, July 14, 2025) [</w:t>
      </w:r>
      <w:hyperlink w:anchor="src-S18" w:history="1">
        <w:r>
          <w:rPr>
            <w:rStyle w:val="SourceLink"/>
          </w:rPr>
          <w:t xml:space="preserve">S18</w:t>
        </w:r>
      </w:hyperlink>
      <w:r>
        <w:t xml:space="preserve">]:</w:t>
      </w:r>
    </w:p>
    <w:p>
      <w:pPr>
        <w:pStyle w:val="Compact"/>
        <w:numPr>
          <w:ilvl w:val="2"/>
          <w:numId w:val="1039"/>
        </w:numPr>
      </w:pPr>
      <w:r>
        <w:rPr>
          <w:b/>
          <w:bCs/>
        </w:rPr>
        <w:t xml:space="preserve">Timeline:</w:t>
      </w:r>
      <w:r>
        <w:t xml:space="preserve"> </w:t>
      </w:r>
      <w:r>
        <w:t xml:space="preserve">months after construction began in 2018, the Morris family's dishwasher, ice maker, washing machine and toilet stopped working. Sediment came out of the taps, and by 2023 their pipes were clogged with it [</w:t>
      </w:r>
      <w:hyperlink w:anchor="src-S18" w:history="1">
        <w:r>
          <w:rPr>
            <w:rStyle w:val="SourceLink"/>
          </w:rPr>
          <w:t xml:space="preserve">S18</w:t>
        </w:r>
      </w:hyperlink>
      <w:r>
        <w:t xml:space="preserve">,</w:t>
      </w:r>
      <w:r>
        <w:t xml:space="preserve"> </w:t>
      </w:r>
      <w:hyperlink w:anchor="src-S105" w:history="1">
        <w:r>
          <w:rPr>
            <w:rStyle w:val="SourceLink"/>
          </w:rPr>
          <w:t xml:space="preserve">S105</w:t>
        </w:r>
      </w:hyperlink>
      <w:r>
        <w:t xml:space="preserve">]. A neighbor (Chris Wilson) says the water is sometimes "so brown, you'd think it came from a creek" [</w:t>
      </w:r>
      <w:hyperlink w:anchor="src-S18" w:history="1">
        <w:r>
          <w:rPr>
            <w:rStyle w:val="SourceLink"/>
          </w:rPr>
          <w:t xml:space="preserve">S18</w:t>
        </w:r>
      </w:hyperlink>
      <w:r>
        <w:t xml:space="preserve">].</w:t>
      </w:r>
    </w:p>
    <w:p>
      <w:pPr>
        <w:pStyle w:val="Compact"/>
        <w:numPr>
          <w:ilvl w:val="2"/>
          <w:numId w:val="1039"/>
        </w:numPr>
      </w:pPr>
      <w:r>
        <w:rPr>
          <w:b/>
          <w:bCs/>
        </w:rPr>
        <w:t xml:space="preserve">Mechanism (as alleged in the lawsuit):</w:t>
      </w:r>
      <w:r>
        <w:t xml:space="preserve"> </w:t>
      </w:r>
      <w:r>
        <w:t xml:space="preserve">the problem is not Meta's water consumption, because Meta gets its water from the public utility. According to the families' lawsuit, the tree clearing, blasting and excavation for the campus (more than $1 billion) disturbed the aquifer – the underground layer of rock and soil that holds the groundwater feeding their private wells – and filled their wells with silt [</w:t>
      </w:r>
      <w:hyperlink w:anchor="src-S19" w:history="1">
        <w:r>
          <w:rPr>
            <w:rStyle w:val="SourceLink"/>
          </w:rPr>
          <w:t xml:space="preserve">S19</w:t>
        </w:r>
      </w:hyperlink>
      <w:r>
        <w:t xml:space="preserve">].</w:t>
      </w:r>
    </w:p>
    <w:p>
      <w:pPr>
        <w:pStyle w:val="Compact"/>
        <w:numPr>
          <w:ilvl w:val="2"/>
          <w:numId w:val="1039"/>
        </w:numPr>
      </w:pPr>
      <w:r>
        <w:rPr>
          <w:b/>
          <w:bCs/>
        </w:rPr>
        <w:t xml:space="preserve">Meta's position:</w:t>
      </w:r>
      <w:r>
        <w:t xml:space="preserve"> </w:t>
      </w:r>
      <w:r>
        <w:t xml:space="preserve">Meta's well study found an impact "unlikely", and its water comes from the utility, not from groundwater [</w:t>
      </w:r>
      <w:hyperlink w:anchor="src-S18" w:history="1">
        <w:r>
          <w:rPr>
            <w:rStyle w:val="SourceLink"/>
          </w:rPr>
          <w:t xml:space="preserve">S18</w:t>
        </w:r>
      </w:hyperlink>
      <w:r>
        <w:t xml:space="preserve">,</w:t>
      </w:r>
      <w:r>
        <w:t xml:space="preserve"> </w:t>
      </w:r>
      <w:hyperlink w:anchor="src-S19" w:history="1">
        <w:r>
          <w:rPr>
            <w:rStyle w:val="SourceLink"/>
          </w:rPr>
          <w:t xml:space="preserve">S19</w:t>
        </w:r>
      </w:hyperlink>
      <w:r>
        <w:t xml:space="preserve">]. Beverly Morris disputes the study: "neither Meta nor anyone else came on my property to do a groundwater study" [</w:t>
      </w:r>
      <w:hyperlink w:anchor="src-S105" w:history="1">
        <w:r>
          <w:rPr>
            <w:rStyle w:val="SourceLink"/>
          </w:rPr>
          <w:t xml:space="preserve">S105</w:t>
        </w:r>
      </w:hyperlink>
      <w:r>
        <w:t xml:space="preserve">].</w:t>
      </w:r>
    </w:p>
    <w:p>
      <w:pPr>
        <w:pStyle w:val="Compact"/>
        <w:numPr>
          <w:ilvl w:val="2"/>
          <w:numId w:val="1039"/>
        </w:numPr>
      </w:pPr>
      <w:r>
        <w:rPr>
          <w:b/>
          <w:bCs/>
        </w:rPr>
        <w:t xml:space="preserve">Status:</w:t>
      </w:r>
      <w:r>
        <w:t xml:space="preserve"> </w:t>
      </w:r>
      <w:r>
        <w:t xml:space="preserve">not proven. The case is in court, and the EPA (US Environmental Protection Agency, the federal agency for environmental protection) has said it will review the situation [</w:t>
      </w:r>
      <w:hyperlink w:anchor="src-S19" w:history="1">
        <w:r>
          <w:rPr>
            <w:rStyle w:val="SourceLink"/>
          </w:rPr>
          <w:t xml:space="preserve">S19</w:t>
        </w:r>
      </w:hyperlink>
      <w:r>
        <w:t xml:space="preserve">].</w:t>
      </w:r>
    </w:p>
    <w:p>
      <w:pPr>
        <w:pStyle w:val="Compact"/>
        <w:numPr>
          <w:ilvl w:val="0"/>
          <w:numId w:val="1036"/>
        </w:numPr>
      </w:pPr>
      <w:r>
        <w:rPr>
          <w:b/>
          <w:bCs/>
        </w:rPr>
        <w:t xml:space="preserve">Georgia (Fayette County) – QTS.</w:t>
      </w:r>
    </w:p>
    <w:p>
      <w:pPr>
        <w:pStyle w:val="Compact"/>
        <w:numPr>
          <w:ilvl w:val="1"/>
          <w:numId w:val="1040"/>
        </w:numPr>
      </w:pPr>
      <w:r>
        <w:t xml:space="preserve">During a drought, residents were asked to save water, and residents of one neighborhood reported low water pressure [</w:t>
      </w:r>
      <w:hyperlink w:anchor="src-S37" w:history="1">
        <w:r>
          <w:rPr>
            <w:rStyle w:val="SourceLink"/>
          </w:rPr>
          <w:t xml:space="preserve">S37</w:t>
        </w:r>
      </w:hyperlink>
      <w:r>
        <w:t xml:space="preserve">].</w:t>
      </w:r>
    </w:p>
    <w:p>
      <w:pPr>
        <w:pStyle w:val="Compact"/>
        <w:numPr>
          <w:ilvl w:val="1"/>
          <w:numId w:val="1040"/>
        </w:numPr>
      </w:pPr>
      <w:r>
        <w:t xml:space="preserve">Meanwhile, the QTS campus (a data center developer; 615 acres, about 250 MW) drew more than 29 million gallons through two large connections that were not being billed [</w:t>
      </w:r>
      <w:hyperlink w:anchor="src-S37" w:history="1">
        <w:r>
          <w:rPr>
            <w:rStyle w:val="SourceLink"/>
          </w:rPr>
          <w:t xml:space="preserve">S37</w:t>
        </w:r>
      </w:hyperlink>
      <w:r>
        <w:t xml:space="preserve">].</w:t>
      </w:r>
    </w:p>
    <w:p>
      <w:pPr>
        <w:pStyle w:val="Compact"/>
        <w:numPr>
          <w:ilvl w:val="1"/>
          <w:numId w:val="1040"/>
        </w:numPr>
      </w:pPr>
      <w:r>
        <w:rPr>
          <w:b/>
          <w:bCs/>
        </w:rPr>
        <w:t xml:space="preserve">Why?</w:t>
      </w:r>
      <w:r>
        <w:t xml:space="preserve"> </w:t>
      </w:r>
      <w:r>
        <w:t xml:space="preserve">The water was not meant to be free. According to Fayette County's latest statement, some of the facility's meters were not connected to the billing system during the switch to new "smart meters". An earlier county letter had called the connections unauthorized; the county later said that letter was "unclear". The county sent a bill of $147,474 afterwards; QTS paid, and there was no fine. How long the water went unbilled is disputed: about 4 months according to the county's water director, 9–15 months according to QTS. QTS says the water was used for construction (concrete, dust control, site preparation) [</w:t>
      </w:r>
      <w:hyperlink w:anchor="src-S37" w:history="1">
        <w:r>
          <w:rPr>
            <w:rStyle w:val="SourceLink"/>
          </w:rPr>
          <w:t xml:space="preserve">S37</w:t>
        </w:r>
      </w:hyperlink>
      <w:r>
        <w:t xml:space="preserve">].</w:t>
      </w:r>
    </w:p>
    <w:p>
      <w:pPr>
        <w:pStyle w:val="Compact"/>
        <w:numPr>
          <w:ilvl w:val="0"/>
          <w:numId w:val="1036"/>
        </w:numPr>
      </w:pPr>
      <w:r>
        <w:rPr>
          <w:b/>
          <w:bCs/>
        </w:rPr>
        <w:t xml:space="preserve">Texas.</w:t>
      </w:r>
      <w:r>
        <w:t xml:space="preserve"> </w:t>
      </w:r>
      <w:r>
        <w:t xml:space="preserve">According to the Houston Advanced Research Center (HARC, a nonprofit research institute), Texas data centers use about 25 billion gallons a year today and could use 29–161 billion gallons by 2030 (up to 2.7% of the state's total water use). The Texas State Water Plan, prepared by the Texas Water Development Board (the state agency for water planning), relies on historical data and does not account for data center growth [</w:t>
      </w:r>
      <w:hyperlink w:anchor="src-S52" w:history="1">
        <w:r>
          <w:rPr>
            <w:rStyle w:val="SourceLink"/>
          </w:rPr>
          <w:t xml:space="preserve">S52</w:t>
        </w:r>
      </w:hyperlink>
      <w:r>
        <w:t xml:space="preserve">].</w:t>
      </w:r>
    </w:p>
    <w:p>
      <w:pPr>
        <w:pStyle w:val="Compact"/>
        <w:numPr>
          <w:ilvl w:val="0"/>
          <w:numId w:val="1036"/>
        </w:numPr>
      </w:pPr>
      <w:r>
        <w:rPr>
          <w:b/>
          <w:bCs/>
        </w:rPr>
        <w:t xml:space="preserve">Secrecy.</w:t>
      </w:r>
      <w:r>
        <w:t xml:space="preserve"> </w:t>
      </w:r>
      <w:r>
        <w:t xml:space="preserve">In 2021, the city of The Dalles, Oregon, sued The Oregonian (Oregon's largest newspaper) to keep Google's water use secret as a "trade secret". After the case was dropped in 2022, the data showed 355.1 million gallons for 2021 [</w:t>
      </w:r>
      <w:hyperlink w:anchor="src-S54" w:history="1">
        <w:r>
          <w:rPr>
            <w:rStyle w:val="SourceLink"/>
          </w:rPr>
          <w:t xml:space="preserve">S54</w:t>
        </w:r>
      </w:hyperlink>
      <w:r>
        <w:t xml:space="preserve">]. No federal law requires data centers to report their water use; only two states (New Jersey and California) do [</w:t>
      </w:r>
      <w:hyperlink w:anchor="src-S31" w:history="1">
        <w:r>
          <w:rPr>
            <w:rStyle w:val="SourceLink"/>
          </w:rPr>
          <w:t xml:space="preserve">S31</w:t>
        </w:r>
      </w:hyperlink>
      <w:r>
        <w:t xml:space="preserve">].</w:t>
      </w:r>
      <w:r>
        <w:t xml:space="preserve"> </w:t>
      </w:r>
      <w:hyperlink w:anchor="p4-further" w:history="1">
        <w:r>
          <w:rPr>
            <w:rStyle w:val="NavLinkChar"/>
          </w:rPr>
          <w:t xml:space="preserve">(→ see Further explanation)</w:t>
        </w:r>
      </w:hyperlink>
    </w:p>
    <w:p>
      <w:pPr>
        <w:pStyle w:val="Caption"/>
      </w:pPr>
      <w:r>
        <w:rPr>
          <w:b/>
          <w:bCs/>
        </w:rPr>
        <w:t xml:space="preserve">Table 1 – Water hotspots at a glance</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089"/>
        <w:gridCol w:w="3526"/>
        <w:gridCol w:w="2573"/>
        <w:gridCol w:w="1224"/>
      </w:tblGrid>
      <w:tr>
        <w:trPr>
          <w:tblHeader w:val="true"/>
        </w:trPr>
        <w:tc>
          <w:tcPr>
            <w:tcW w:w="2089" w:type="dxa"/>
            <w:shd w:val="clear" w:color="auto" w:fill="DCE6F2"/>
          </w:tcPr>
          <w:p>
            <w:pPr>
              <w:pStyle w:val="TableText"/>
              <w:jc w:val="left"/>
            </w:pPr>
            <w:r>
              <w:rPr>
                <w:b/>
              </w:rPr>
              <w:t xml:space="preserve">Place</w:t>
            </w:r>
          </w:p>
        </w:tc>
        <w:tc>
          <w:tcPr>
            <w:tcW w:w="3526" w:type="dxa"/>
            <w:shd w:val="clear" w:color="auto" w:fill="DCE6F2"/>
          </w:tcPr>
          <w:p>
            <w:pPr>
              <w:pStyle w:val="TableText"/>
              <w:jc w:val="left"/>
            </w:pPr>
            <w:r>
              <w:rPr>
                <w:b/>
              </w:rPr>
              <w:t xml:space="preserve">What happened</w:t>
            </w:r>
          </w:p>
        </w:tc>
        <w:tc>
          <w:tcPr>
            <w:tcW w:w="2573" w:type="dxa"/>
            <w:shd w:val="clear" w:color="auto" w:fill="DCE6F2"/>
          </w:tcPr>
          <w:p>
            <w:pPr>
              <w:pStyle w:val="TableText"/>
              <w:jc w:val="left"/>
            </w:pPr>
            <w:r>
              <w:rPr>
                <w:b/>
              </w:rPr>
              <w:t xml:space="preserve">Status</w:t>
            </w:r>
          </w:p>
        </w:tc>
        <w:tc>
          <w:tcPr>
            <w:tcW w:w="1224" w:type="dxa"/>
            <w:shd w:val="clear" w:color="auto" w:fill="DCE6F2"/>
          </w:tcPr>
          <w:p>
            <w:pPr>
              <w:pStyle w:val="TableText"/>
              <w:jc w:val="left"/>
            </w:pPr>
            <w:r>
              <w:rPr>
                <w:b/>
              </w:rPr>
              <w:t xml:space="preserve">Source</w:t>
            </w:r>
          </w:p>
        </w:tc>
      </w:tr>
      <w:tr>
        <w:tc>
          <w:tcPr>
            <w:tcW w:w="2089" w:type="dxa"/>
          </w:tcPr>
          <w:p>
            <w:pPr>
              <w:pStyle w:val="TableText"/>
              <w:jc w:val="left"/>
            </w:pPr>
            <w:r>
              <w:t xml:space="preserve">Newton County, Georgia (Meta)</w:t>
            </w:r>
          </w:p>
        </w:tc>
        <w:tc>
          <w:tcPr>
            <w:tcW w:w="3526" w:type="dxa"/>
          </w:tcPr>
          <w:p>
            <w:pPr>
              <w:pStyle w:val="TableText"/>
              <w:jc w:val="left"/>
            </w:pPr>
            <w:r>
              <w:t xml:space="preserve">Campus uses ~10% of the county's daily water; neighbors' wells filled with sediment after construction began</w:t>
            </w:r>
          </w:p>
        </w:tc>
        <w:tc>
          <w:tcPr>
            <w:tcW w:w="2573" w:type="dxa"/>
          </w:tcPr>
          <w:p>
            <w:pPr>
              <w:pStyle w:val="TableText"/>
              <w:jc w:val="left"/>
            </w:pPr>
            <w:r>
              <w:t xml:space="preserve">Families suing; Meta denies; EPA reviewing</w:t>
            </w:r>
          </w:p>
        </w:tc>
        <w:tc>
          <w:tcPr>
            <w:tcW w:w="1224" w:type="dxa"/>
          </w:tcPr>
          <w:p>
            <w:pPr>
              <w:pStyle w:val="TableText"/>
              <w:jc w:val="left"/>
            </w:pPr>
            <w:r>
              <w:t xml:space="preserve">[</w:t>
            </w:r>
            <w:hyperlink w:anchor="src-S18" w:history="1">
              <w:r>
                <w:rPr>
                  <w:rStyle w:val="SourceLink"/>
                </w:rPr>
                <w:t xml:space="preserve">S18</w:t>
              </w:r>
            </w:hyperlink>
            <w:r>
              <w:t xml:space="preserve">,</w:t>
            </w:r>
            <w:r>
              <w:t xml:space="preserve"> </w:t>
            </w:r>
            <w:hyperlink w:anchor="src-S19" w:history="1">
              <w:r>
                <w:rPr>
                  <w:rStyle w:val="SourceLink"/>
                </w:rPr>
                <w:t xml:space="preserve">S19</w:t>
              </w:r>
            </w:hyperlink>
            <w:r>
              <w:t xml:space="preserve">]</w:t>
            </w:r>
          </w:p>
        </w:tc>
      </w:tr>
      <w:tr>
        <w:tc>
          <w:tcPr>
            <w:tcW w:w="2089" w:type="dxa"/>
          </w:tcPr>
          <w:p>
            <w:pPr>
              <w:pStyle w:val="TableText"/>
              <w:jc w:val="left"/>
            </w:pPr>
            <w:r>
              <w:t xml:space="preserve">Fayette County, Georgia (QTS)</w:t>
            </w:r>
          </w:p>
        </w:tc>
        <w:tc>
          <w:tcPr>
            <w:tcW w:w="3526" w:type="dxa"/>
          </w:tcPr>
          <w:p>
            <w:pPr>
              <w:pStyle w:val="TableText"/>
              <w:jc w:val="left"/>
            </w:pPr>
            <w:r>
              <w:t xml:space="preserve">More than 29 million gallons not billed during a drought</w:t>
            </w:r>
          </w:p>
        </w:tc>
        <w:tc>
          <w:tcPr>
            <w:tcW w:w="2573" w:type="dxa"/>
          </w:tcPr>
          <w:p>
            <w:pPr>
              <w:pStyle w:val="TableText"/>
              <w:jc w:val="left"/>
            </w:pPr>
            <w:r>
              <w:t xml:space="preserve">Billed afterwards ($147,474) and paid; no fine</w:t>
            </w:r>
          </w:p>
        </w:tc>
        <w:tc>
          <w:tcPr>
            <w:tcW w:w="1224" w:type="dxa"/>
          </w:tcPr>
          <w:p>
            <w:pPr>
              <w:pStyle w:val="TableText"/>
              <w:jc w:val="left"/>
            </w:pPr>
            <w:r>
              <w:t xml:space="preserve">[</w:t>
            </w:r>
            <w:hyperlink w:anchor="src-S37" w:history="1">
              <w:r>
                <w:rPr>
                  <w:rStyle w:val="SourceLink"/>
                </w:rPr>
                <w:t xml:space="preserve">S37</w:t>
              </w:r>
            </w:hyperlink>
            <w:r>
              <w:t xml:space="preserve">]</w:t>
            </w:r>
          </w:p>
        </w:tc>
      </w:tr>
      <w:tr>
        <w:tc>
          <w:tcPr>
            <w:tcW w:w="2089" w:type="dxa"/>
          </w:tcPr>
          <w:p>
            <w:pPr>
              <w:pStyle w:val="TableText"/>
              <w:jc w:val="left"/>
            </w:pPr>
            <w:r>
              <w:t xml:space="preserve">Texas (statewide)</w:t>
            </w:r>
          </w:p>
        </w:tc>
        <w:tc>
          <w:tcPr>
            <w:tcW w:w="3526" w:type="dxa"/>
          </w:tcPr>
          <w:p>
            <w:pPr>
              <w:pStyle w:val="TableText"/>
              <w:jc w:val="left"/>
            </w:pPr>
            <w:r>
              <w:t xml:space="preserve">25 billion gallons a year today; up to 161 billion by 2030</w:t>
            </w:r>
          </w:p>
        </w:tc>
        <w:tc>
          <w:tcPr>
            <w:tcW w:w="2573" w:type="dxa"/>
          </w:tcPr>
          <w:p>
            <w:pPr>
              <w:pStyle w:val="TableText"/>
              <w:jc w:val="left"/>
            </w:pPr>
            <w:r>
              <w:t xml:space="preserve">Not included in the state water plan</w:t>
            </w:r>
          </w:p>
        </w:tc>
        <w:tc>
          <w:tcPr>
            <w:tcW w:w="1224" w:type="dxa"/>
          </w:tcPr>
          <w:p>
            <w:pPr>
              <w:pStyle w:val="TableText"/>
              <w:jc w:val="left"/>
            </w:pPr>
            <w:r>
              <w:t xml:space="preserve">[</w:t>
            </w:r>
            <w:hyperlink w:anchor="src-S52" w:history="1">
              <w:r>
                <w:rPr>
                  <w:rStyle w:val="SourceLink"/>
                </w:rPr>
                <w:t xml:space="preserve">S52</w:t>
              </w:r>
            </w:hyperlink>
            <w:r>
              <w:t xml:space="preserve">]</w:t>
            </w:r>
          </w:p>
        </w:tc>
      </w:tr>
      <w:tr>
        <w:tc>
          <w:tcPr>
            <w:tcW w:w="2089" w:type="dxa"/>
          </w:tcPr>
          <w:p>
            <w:pPr>
              <w:pStyle w:val="TableText"/>
              <w:jc w:val="left"/>
            </w:pPr>
            <w:r>
              <w:t xml:space="preserve">The Dalles, Oregon (Google)</w:t>
            </w:r>
          </w:p>
        </w:tc>
        <w:tc>
          <w:tcPr>
            <w:tcW w:w="3526" w:type="dxa"/>
          </w:tcPr>
          <w:p>
            <w:pPr>
              <w:pStyle w:val="TableText"/>
              <w:jc w:val="left"/>
            </w:pPr>
            <w:r>
              <w:t xml:space="preserve">City went to court to keep the water use secret</w:t>
            </w:r>
          </w:p>
        </w:tc>
        <w:tc>
          <w:tcPr>
            <w:tcW w:w="2573" w:type="dxa"/>
          </w:tcPr>
          <w:p>
            <w:pPr>
              <w:pStyle w:val="TableText"/>
              <w:jc w:val="left"/>
            </w:pPr>
            <w:r>
              <w:t xml:space="preserve">Data released: 355.1 million gallons (2021)</w:t>
            </w:r>
          </w:p>
        </w:tc>
        <w:tc>
          <w:tcPr>
            <w:tcW w:w="1224" w:type="dxa"/>
          </w:tcPr>
          <w:p>
            <w:pPr>
              <w:pStyle w:val="TableText"/>
              <w:jc w:val="left"/>
            </w:pPr>
            <w:r>
              <w:t xml:space="preserve">[</w:t>
            </w:r>
            <w:hyperlink w:anchor="src-S54" w:history="1">
              <w:r>
                <w:rPr>
                  <w:rStyle w:val="SourceLink"/>
                </w:rPr>
                <w:t xml:space="preserve">S54</w:t>
              </w:r>
            </w:hyperlink>
            <w:r>
              <w:t xml:space="preserve">]</w:t>
            </w:r>
          </w:p>
        </w:tc>
      </w:tr>
    </w:tbl>
    <w:p>
      <w:pPr>
        <w:pStyle w:val="BodyText"/>
        <w:spacing w:before="200"/>
      </w:pPr>
      <w:r>
        <w:rPr>
          <w:b/>
          <w:bCs/>
        </w:rPr>
        <w:t xml:space="preserve">Judge Impact:</w:t>
      </w:r>
      <w:r>
        <w:t xml:space="preserve"> </w:t>
      </w:r>
      <w:r>
        <w:t xml:space="preserve">Water is the most basic need there is. Families buy new wells and save water in droughts, while the largest users are not even measured. That is a question of fairness and of safety for every household.</w:t>
      </w:r>
    </w:p>
    <w:bookmarkStart w:id="107" w:name="p4-further"/>
    <w:p>
      <w:pPr>
        <w:pStyle w:val="Heading4"/>
      </w:pPr>
      <w:r>
        <w:t xml:space="preserve">Further explanation (Warrant)</w:t>
      </w:r>
    </w:p>
    <w:p>
      <w:pPr>
        <w:pStyle w:val="FirstParagraph"/>
      </w:pPr>
      <w:r>
        <w:t xml:space="preserve">Many data centers cool their servers by evaporating water – that water is gone from the local supply. Water is a local resource: a share that looks small for a whole state (2.7% in Texas) can be large for one county (10% in Newton County), and even larger in a drought. And without reporting, planners are flying blind – Texas' own water plan ignores data centers [</w:t>
      </w:r>
      <w:hyperlink w:anchor="src-S52" w:history="1">
        <w:r>
          <w:rPr>
            <w:rStyle w:val="SourceLink"/>
          </w:rPr>
          <w:t xml:space="preserve">S52</w:t>
        </w:r>
      </w:hyperlink>
      <w:r>
        <w:t xml:space="preserve">].</w:t>
      </w:r>
    </w:p>
    <w:bookmarkEnd w:id="107"/>
    <w:bookmarkStart w:id="108" w:name="p4-conclusion"/>
    <w:p>
      <w:pPr>
        <w:pStyle w:val="Heading4"/>
      </w:pPr>
      <w:r>
        <w:t xml:space="preserve">Conclusion</w:t>
      </w:r>
    </w:p>
    <w:p>
      <w:pPr>
        <w:pStyle w:val="FirstParagraph"/>
      </w:pPr>
      <w:r>
        <w:t xml:space="preserve">Water is not a national average. It is the well behind your house and the tap in your kitchen. Today, families are told to save, while the largest users are not even measured – and some do not even get a correct bill. A moratorium stops new hyperscale campuses from drinking first and asking later. It gives lawmakers time to make two things mandatory: every data center reports its water use, and every data center follows drought rules. Then we build – but not at the expense of people's water.</w:t>
      </w:r>
    </w:p>
    <w:bookmarkEnd w:id="108"/>
    <w:bookmarkEnd w:id="109"/>
    <w:bookmarkEnd w:id="110"/>
    <w:bookmarkStart w:id="117" w:name="p5"/>
    <w:p>
      <w:pPr>
        <w:pStyle w:val="Heading2"/>
        <w:pageBreakBefore/>
      </w:pPr>
      <w:r>
        <w:t xml:space="preserve">P5 Rules First, Then Concrete: The Moratorium as a Planning Tool</w:t>
      </w:r>
    </w:p>
    <w:bookmarkStart w:id="111" w:name="p5-speech"/>
    <w:p>
      <w:pPr>
        <w:pStyle w:val="Heading3"/>
      </w:pPr>
      <w:r>
        <w:t xml:space="preserve">Speech version</w:t>
      </w:r>
    </w:p>
    <w:p>
      <w:pPr>
        <w:pStyle w:val="Speech"/>
      </w:pPr>
      <w:r>
        <w:t xml:space="preserve">Our next argument: rules first, then concrete. A</w:t>
      </w:r>
      <w:r>
        <w:t xml:space="preserve"> </w:t>
      </w:r>
      <w:hyperlink w:anchor="gl-moratorium" w:history="1">
        <w:r>
          <w:rPr>
            <w:rStyle w:val="GlossaryLink"/>
          </w:rPr>
          <w:t xml:space="preserve">moratorium</w:t>
        </w:r>
      </w:hyperlink>
      <w:r>
        <w:t xml:space="preserve"> </w:t>
      </w:r>
      <w:r>
        <w:t xml:space="preserve">is not a ban forever – it is a planning tool.</w:t>
      </w:r>
    </w:p>
    <w:p>
      <w:pPr>
        <w:pStyle w:val="Speech"/>
      </w:pPr>
      <w:r>
        <w:t xml:space="preserve">Take the most basic question: who pays? According to Harvard Law School’s Electricity Law Initiative, a research program on energy law, today’s rate structures are “forcing the public to pay for infrastructure designed to supply a handful of wealthy corporations.” [</w:t>
      </w:r>
      <w:hyperlink w:anchor="src-S17" w:history="1">
        <w:r>
          <w:rPr>
            <w:rStyle w:val="SourceLink"/>
          </w:rPr>
          <w:t xml:space="preserve">S17</w:t>
        </w:r>
      </w:hyperlink>
      <w:r>
        <w:t xml:space="preserve">]</w:t>
      </w:r>
    </w:p>
    <w:p>
      <w:pPr>
        <w:pStyle w:val="Speech"/>
      </w:pPr>
      <w:hyperlink w:anchor="gl-pjm" w:history="1">
        <w:r>
          <w:rPr>
            <w:rStyle w:val="GlossaryLink"/>
          </w:rPr>
          <w:t xml:space="preserve">PJM</w:t>
        </w:r>
      </w:hyperlink>
      <w:r>
        <w:t xml:space="preserve">, the operator of America’s largest power grid with about 67 million people, pays power plants in advance, through an auction, to stand by – and every customer pays for that on the electricity bill. [</w:t>
      </w:r>
      <w:hyperlink w:anchor="src-S14" w:history="1">
        <w:r>
          <w:rPr>
            <w:rStyle w:val="SourceLink"/>
          </w:rPr>
          <w:t xml:space="preserve">S14</w:t>
        </w:r>
      </w:hyperlink>
      <w:r>
        <w:t xml:space="preserve">] PJM’s official</w:t>
      </w:r>
      <w:r>
        <w:t xml:space="preserve"> </w:t>
      </w:r>
      <w:hyperlink w:anchor="gl-monitor" w:history="1">
        <w:r>
          <w:rPr>
            <w:rStyle w:val="GlossaryLink"/>
          </w:rPr>
          <w:t xml:space="preserve">market watchdog</w:t>
        </w:r>
      </w:hyperlink>
      <w:r>
        <w:t xml:space="preserve">, Monitoring Analytics, calculated these auctions with and without data centers. Data centers added 29.4 billion dollars in four auctions [</w:t>
      </w:r>
      <w:hyperlink w:anchor="src-S107" w:history="1">
        <w:r>
          <w:rPr>
            <w:rStyle w:val="SourceLink"/>
          </w:rPr>
          <w:t xml:space="preserve">S107</w:t>
        </w:r>
      </w:hyperlink>
      <w:r>
        <w:t xml:space="preserve">] – in one auction, 6.2 billion dollars for data centers that were not even built yet. [</w:t>
      </w:r>
      <w:hyperlink w:anchor="src-S16" w:history="1">
        <w:r>
          <w:rPr>
            <w:rStyle w:val="SourceLink"/>
          </w:rPr>
          <w:t xml:space="preserve">S16</w:t>
        </w:r>
      </w:hyperlink>
      <w:r>
        <w:t xml:space="preserve">] The watchdog calls the impact “significant and irreversible.” [</w:t>
      </w:r>
      <w:hyperlink w:anchor="src-S43" w:history="1">
        <w:r>
          <w:rPr>
            <w:rStyle w:val="SourceLink"/>
          </w:rPr>
          <w:t xml:space="preserve">S43</w:t>
        </w:r>
      </w:hyperlink>
      <w:r>
        <w:t xml:space="preserve">]</w:t>
      </w:r>
    </w:p>
    <w:p>
      <w:pPr>
        <w:pStyle w:val="Speech"/>
      </w:pPr>
      <w:r>
        <w:t xml:space="preserve">Think about what that means: the bill is written when the plans are made – not when the concrete is poured. So the only moment to decide who pays is before construction begins.</w:t>
      </w:r>
    </w:p>
    <w:p>
      <w:pPr>
        <w:pStyle w:val="Speech"/>
      </w:pPr>
      <w:r>
        <w:t xml:space="preserve">And today, nobody has decided. The</w:t>
      </w:r>
      <w:r>
        <w:t xml:space="preserve"> </w:t>
      </w:r>
      <w:hyperlink w:anchor="gl-pledge" w:history="1">
        <w:r>
          <w:rPr>
            <w:rStyle w:val="GlossaryLink"/>
          </w:rPr>
          <w:t xml:space="preserve">White House pledge</w:t>
        </w:r>
      </w:hyperlink>
      <w:r>
        <w:t xml:space="preserve"> </w:t>
      </w:r>
      <w:r>
        <w:t xml:space="preserve">that tech companies will pay their own way is voluntary. [</w:t>
      </w:r>
      <w:hyperlink w:anchor="src-S26" w:history="1">
        <w:r>
          <w:rPr>
            <w:rStyle w:val="SourceLink"/>
          </w:rPr>
          <w:t xml:space="preserve">S26</w:t>
        </w:r>
      </w:hyperlink>
      <w:r>
        <w:t xml:space="preserve">] Only half the states have</w:t>
      </w:r>
      <w:r>
        <w:t xml:space="preserve"> </w:t>
      </w:r>
      <w:hyperlink w:anchor="gl-tariff" w:history="1">
        <w:r>
          <w:rPr>
            <w:rStyle w:val="GlossaryLink"/>
          </w:rPr>
          <w:t xml:space="preserve">special price rules for very large customers</w:t>
        </w:r>
      </w:hyperlink>
      <w:r>
        <w:t xml:space="preserve">. [</w:t>
      </w:r>
      <w:hyperlink w:anchor="src-S27" w:history="1">
        <w:r>
          <w:rPr>
            <w:rStyle w:val="SourceLink"/>
          </w:rPr>
          <w:t xml:space="preserve">S27</w:t>
        </w:r>
      </w:hyperlink>
      <w:r>
        <w:t xml:space="preserve">] And the</w:t>
      </w:r>
      <w:r>
        <w:t xml:space="preserve"> </w:t>
      </w:r>
      <w:hyperlink w:anchor="gl-ferc" w:history="1">
        <w:r>
          <w:rPr>
            <w:rStyle w:val="GlossaryLink"/>
          </w:rPr>
          <w:t xml:space="preserve">Federal Energy Regulatory Commission</w:t>
        </w:r>
      </w:hyperlink>
      <w:r>
        <w:t xml:space="preserve">, the federal agency for interstate electricity, says today’s rules may be “unjust and unreasonable” – but it still has no final rule. [</w:t>
      </w:r>
      <w:hyperlink w:anchor="src-S28" w:history="1">
        <w:r>
          <w:rPr>
            <w:rStyle w:val="SourceLink"/>
          </w:rPr>
          <w:t xml:space="preserve">S28</w:t>
        </w:r>
      </w:hyperlink>
      <w:r>
        <w:t xml:space="preserve">]</w:t>
      </w:r>
      <w:r>
        <w:t xml:space="preserve"> </w:t>
      </w:r>
      <w:r>
        <w:rPr>
          <w:rStyle w:val="Optional"/>
        </w:rPr>
        <w:t xml:space="preserve">[Permits, too, come after the damage: in New Jersey, 62 gas generators ran without permits before the state stepped in with a fine. [</w:t>
      </w:r>
      <w:hyperlink w:anchor="src-S76" w:history="1">
        <w:r>
          <w:rPr>
            <w:rStyle w:val="SourceLink"/>
          </w:rPr>
          <w:t xml:space="preserve">S76</w:t>
        </w:r>
      </w:hyperlink>
      <w:r>
        <w:rPr>
          <w:rStyle w:val="Optional"/>
        </w:rPr>
        <w:t xml:space="preserve">]]</w:t>
      </w:r>
    </w:p>
    <w:p>
      <w:pPr>
        <w:pStyle w:val="Speech"/>
      </w:pPr>
      <w:r>
        <w:t xml:space="preserve">Pausing to write the rules is standard practice. The US Supreme Court wrote that moratoria “are used widely among land-use planners to preserve the status quo while formulating a more permanent development strategy.” [</w:t>
      </w:r>
      <w:hyperlink w:anchor="src-S32" w:history="1">
        <w:r>
          <w:rPr>
            <w:rStyle w:val="SourceLink"/>
          </w:rPr>
          <w:t xml:space="preserve">S32</w:t>
        </w:r>
      </w:hyperlink>
      <w:r>
        <w:t xml:space="preserve">]</w:t>
      </w:r>
      <w:r>
        <w:t xml:space="preserve"> </w:t>
      </w:r>
      <w:r>
        <w:rPr>
          <w:rStyle w:val="Optional"/>
        </w:rPr>
        <w:t xml:space="preserve">[Singapore paused new data centers in 2019 and reopened in 2022 – with strict efficiency rules. [</w:t>
      </w:r>
      <w:hyperlink w:anchor="src-S33" w:history="1">
        <w:r>
          <w:rPr>
            <w:rStyle w:val="SourceLink"/>
          </w:rPr>
          <w:t xml:space="preserve">S33</w:t>
        </w:r>
      </w:hyperlink>
      <w:r>
        <w:rPr>
          <w:rStyle w:val="Optional"/>
        </w:rPr>
        <w:t xml:space="preserve">]]</w:t>
      </w:r>
      <w:r>
        <w:t xml:space="preserve"> </w:t>
      </w:r>
      <w:r>
        <w:rPr>
          <w:rStyle w:val="Optional"/>
        </w:rPr>
        <w:t xml:space="preserve">[Ireland now requires new data centers to bring their own power or storage. [</w:t>
      </w:r>
      <w:hyperlink w:anchor="src-S74" w:history="1">
        <w:r>
          <w:rPr>
            <w:rStyle w:val="SourceLink"/>
          </w:rPr>
          <w:t xml:space="preserve">S74</w:t>
        </w:r>
      </w:hyperlink>
      <w:r>
        <w:rPr>
          <w:rStyle w:val="Optional"/>
        </w:rPr>
        <w:t xml:space="preserve">]]</w:t>
      </w:r>
    </w:p>
    <w:p>
      <w:pPr>
        <w:pStyle w:val="Speech"/>
      </w:pPr>
      <w:r>
        <w:t xml:space="preserve">But a town can only stop a building – not a bill that crosses state lines.</w:t>
      </w:r>
      <w:r>
        <w:t xml:space="preserve"> </w:t>
      </w:r>
      <w:r>
        <w:rPr>
          <w:rStyle w:val="Optional"/>
        </w:rPr>
        <w:t xml:space="preserve">[Maryland’s consumer advocate expects Maryland customers to pay about 1.6 billion dollars over ten years for power lines driven largely by data centers in other states. [</w:t>
      </w:r>
      <w:hyperlink w:anchor="src-S109" w:history="1">
        <w:r>
          <w:rPr>
            <w:rStyle w:val="SourceLink"/>
          </w:rPr>
          <w:t xml:space="preserve">S109</w:t>
        </w:r>
      </w:hyperlink>
      <w:r>
        <w:rPr>
          <w:rStyle w:val="Optional"/>
        </w:rPr>
        <w:t xml:space="preserve">]]</w:t>
      </w:r>
      <w:r>
        <w:t xml:space="preserve"> </w:t>
      </w:r>
      <w:r>
        <w:t xml:space="preserve">That is why we need one federal rule – not a patchwork of more than 300 local moratoria, many of them with loopholes. [</w:t>
      </w:r>
      <w:hyperlink w:anchor="src-S35" w:history="1">
        <w:r>
          <w:rPr>
            <w:rStyle w:val="SourceLink"/>
          </w:rPr>
          <w:t xml:space="preserve">S35</w:t>
        </w:r>
      </w:hyperlink>
      <w:r>
        <w:t xml:space="preserve">]</w:t>
      </w:r>
    </w:p>
    <w:p>
      <w:pPr>
        <w:pStyle w:val="Speech"/>
      </w:pPr>
      <w:r>
        <w:t xml:space="preserve">So here is the bottom line: you write the fire code before you build the house – not after it burns. And our moratorium is not endless: it ends when its purpose is fulfilled. [</w:t>
      </w:r>
      <w:hyperlink w:anchor="src-S1" w:history="1">
        <w:r>
          <w:rPr>
            <w:rStyle w:val="SourceLink"/>
          </w:rPr>
          <w:t xml:space="preserve">S1</w:t>
        </w:r>
      </w:hyperlink>
      <w:r>
        <w:t xml:space="preserve">] Our purpose is three laws: whoever causes the costs pays them; communities learn the truth before construction begins; and permits come before turbines. Rules first – then concrete.</w:t>
      </w:r>
    </w:p>
    <w:p>
      <w:pPr>
        <w:pStyle w:val="NavLink"/>
      </w:pPr>
      <w:hyperlink w:anchor="p5-chain" w:history="1">
        <w:r>
          <w:rPr>
            <w:rStyle w:val="NavLinkChar"/>
          </w:rPr>
          <w:t xml:space="preserve">→ Chain of Reasoning (Backup)</w:t>
        </w:r>
      </w:hyperlink>
    </w:p>
    <w:bookmarkEnd w:id="111"/>
    <w:bookmarkStart w:id="112" w:name="p5-rebuttal"/>
    <w:p>
      <w:pPr>
        <w:pStyle w:val="Heading3"/>
      </w:pPr>
      <w:r>
        <w:t xml:space="preserve">Rebuttal (Contra)</w:t>
      </w:r>
    </w:p>
    <w:p>
      <w:pPr>
        <w:pStyle w:val="Compact"/>
        <w:numPr>
          <w:ilvl w:val="0"/>
          <w:numId w:val="1041"/>
        </w:numPr>
      </w:pPr>
      <w:r>
        <w:rPr>
          <w:b/>
          <w:bCs/>
        </w:rPr>
        <w:t xml:space="preserve">R1</w:t>
      </w:r>
      <w:r>
        <w:t xml:space="preserve"> </w:t>
      </w:r>
      <w:r>
        <w:t xml:space="preserve">“The rules are already coming: more and more states adopt special price rules for large customers [</w:t>
      </w:r>
      <w:hyperlink w:anchor="src-S27" w:history="1">
        <w:r>
          <w:rPr>
            <w:rStyle w:val="SourceLink"/>
          </w:rPr>
          <w:t xml:space="preserve">S27</w:t>
        </w:r>
      </w:hyperlink>
      <w:r>
        <w:t xml:space="preserve">]. The</w:t>
      </w:r>
      <w:r>
        <w:t xml:space="preserve"> </w:t>
      </w:r>
      <w:hyperlink w:anchor="gl-epa" w:history="1">
        <w:r>
          <w:rPr>
            <w:rStyle w:val="GlossaryLink"/>
          </w:rPr>
          <w:t xml:space="preserve">EPA</w:t>
        </w:r>
      </w:hyperlink>
      <w:r>
        <w:t xml:space="preserve">, the US Environmental Protection Agency, closed the loophole for gas turbines [</w:t>
      </w:r>
      <w:hyperlink w:anchor="src-S29" w:history="1">
        <w:r>
          <w:rPr>
            <w:rStyle w:val="SourceLink"/>
          </w:rPr>
          <w:t xml:space="preserve">S29</w:t>
        </w:r>
      </w:hyperlink>
      <w:r>
        <w:t xml:space="preserve">]. New Jersey and California require data centers to report their power and water use [</w:t>
      </w:r>
      <w:hyperlink w:anchor="src-S31" w:history="1">
        <w:r>
          <w:rPr>
            <w:rStyle w:val="SourceLink"/>
          </w:rPr>
          <w:t xml:space="preserve">S31</w:t>
        </w:r>
      </w:hyperlink>
      <w:r>
        <w:t xml:space="preserve">]. Microsoft stopped asking officials to sign</w:t>
      </w:r>
      <w:r>
        <w:t xml:space="preserve"> </w:t>
      </w:r>
      <w:hyperlink w:anchor="gl-nda" w:history="1">
        <w:r>
          <w:rPr>
            <w:rStyle w:val="GlossaryLink"/>
          </w:rPr>
          <w:t xml:space="preserve">NDAs</w:t>
        </w:r>
      </w:hyperlink>
      <w:r>
        <w:t xml:space="preserve"> </w:t>
      </w:r>
      <w:r>
        <w:t xml:space="preserve">(non-disclosure agreements, i.e. secrecy contracts) and Pennsylvania banned them for state agencies [</w:t>
      </w:r>
      <w:hyperlink w:anchor="src-S30" w:history="1">
        <w:r>
          <w:rPr>
            <w:rStyle w:val="SourceLink"/>
          </w:rPr>
          <w:t xml:space="preserve">S30</w:t>
        </w:r>
      </w:hyperlink>
      <w:r>
        <w:t xml:space="preserve">]. And Texas passed</w:t>
      </w:r>
      <w:r>
        <w:t xml:space="preserve"> </w:t>
      </w:r>
      <w:hyperlink w:anchor="gl-sb6" w:history="1">
        <w:r>
          <w:rPr>
            <w:rStyle w:val="GlossaryLink"/>
          </w:rPr>
          <w:t xml:space="preserve">Senate Bill 6</w:t>
        </w:r>
      </w:hyperlink>
      <w:r>
        <w:t xml:space="preserve">, which said that data centers of 75</w:t>
      </w:r>
      <w:r>
        <w:t xml:space="preserve"> </w:t>
      </w:r>
      <w:hyperlink w:anchor="gl-units" w:history="1">
        <w:r>
          <w:rPr>
            <w:rStyle w:val="GlossaryLink"/>
          </w:rPr>
          <w:t xml:space="preserve">MW</w:t>
        </w:r>
      </w:hyperlink>
      <w:r>
        <w:t xml:space="preserve"> </w:t>
      </w:r>
      <w:r>
        <w:t xml:space="preserve">and more must pay for connection studies and share grid costs. In grid emergencies they must cut their demand or switch to their own power plants [</w:t>
      </w:r>
      <w:hyperlink w:anchor="src-S71" w:history="1">
        <w:r>
          <w:rPr>
            <w:rStyle w:val="SourceLink"/>
          </w:rPr>
          <w:t xml:space="preserve">S71</w:t>
        </w:r>
      </w:hyperlink>
      <w:r>
        <w:t xml:space="preserve">].”</w:t>
      </w:r>
    </w:p>
    <w:p>
      <w:pPr>
        <w:pStyle w:val="Compact"/>
        <w:numPr>
          <w:ilvl w:val="0"/>
          <w:numId w:val="1041"/>
        </w:numPr>
      </w:pPr>
      <w:r>
        <w:rPr>
          <w:b/>
          <w:bCs/>
        </w:rPr>
        <w:t xml:space="preserve">R2</w:t>
      </w:r>
      <w:r>
        <w:t xml:space="preserve"> </w:t>
      </w:r>
      <w:r>
        <w:t xml:space="preserve">“A moratorium brings us nothing – reality is unstoppable, and we must not lose the AI race.”</w:t>
      </w:r>
    </w:p>
    <w:p>
      <w:pPr>
        <w:pStyle w:val="Compact"/>
        <w:numPr>
          <w:ilvl w:val="1"/>
          <w:numId w:val="1042"/>
        </w:numPr>
      </w:pPr>
      <w:r>
        <w:t xml:space="preserve">A federal moratorium would move the demand abroad, to campuses like “</w:t>
      </w:r>
      <w:hyperlink w:anchor="gl-stargate" w:history="1">
        <w:r>
          <w:rPr>
            <w:rStyle w:val="GlossaryLink"/>
          </w:rPr>
          <w:t xml:space="preserve">Stargate UAE</w:t>
        </w:r>
      </w:hyperlink>
      <w:r>
        <w:t xml:space="preserve">”, a 1-gigawatt cluster in Abu Dhabi [</w:t>
      </w:r>
      <w:hyperlink w:anchor="src-S3" w:history="1">
        <w:r>
          <w:rPr>
            <w:rStyle w:val="SourceLink"/>
          </w:rPr>
          <w:t xml:space="preserve">S3</w:t>
        </w:r>
      </w:hyperlink>
      <w:r>
        <w:t xml:space="preserve">].</w:t>
      </w:r>
    </w:p>
    <w:p>
      <w:pPr>
        <w:pStyle w:val="Compact"/>
        <w:numPr>
          <w:ilvl w:val="1"/>
          <w:numId w:val="1042"/>
        </w:numPr>
      </w:pPr>
      <w:r>
        <w:t xml:space="preserve">That means dirtier grids. According to</w:t>
      </w:r>
      <w:r>
        <w:t xml:space="preserve"> </w:t>
      </w:r>
      <w:hyperlink w:anchor="gl-ember" w:history="1">
        <w:r>
          <w:rPr>
            <w:rStyle w:val="GlossaryLink"/>
          </w:rPr>
          <w:t xml:space="preserve">Ember</w:t>
        </w:r>
      </w:hyperlink>
      <w:r>
        <w:t xml:space="preserve"> </w:t>
      </w:r>
      <w:r>
        <w:t xml:space="preserve">(an independent energy think tank), fossil fuels make up 57% of electricity in the US, 68% in the UAE and 79% in Malaysia [</w:t>
      </w:r>
      <w:hyperlink w:anchor="src-S64" w:history="1">
        <w:r>
          <w:rPr>
            <w:rStyle w:val="SourceLink"/>
          </w:rPr>
          <w:t xml:space="preserve">S64</w:t>
        </w:r>
      </w:hyperlink>
      <w:r>
        <w:t xml:space="preserve">].</w:t>
      </w:r>
    </w:p>
    <w:p>
      <w:pPr>
        <w:pStyle w:val="Compact"/>
        <w:numPr>
          <w:ilvl w:val="1"/>
          <w:numId w:val="1042"/>
        </w:numPr>
      </w:pPr>
      <w:r>
        <w:rPr>
          <w:b/>
          <w:bCs/>
        </w:rPr>
        <w:t xml:space="preserve">Reality is unstoppable.</w:t>
      </w:r>
      <w:r>
        <w:t xml:space="preserve"> </w:t>
      </w:r>
      <w:r>
        <w:t xml:space="preserve">Demand already exceeds supply: Microsoft said in July 2026 that demand still exceeds its available capacity [</w:t>
      </w:r>
      <w:hyperlink w:anchor="src-S68" w:history="1">
        <w:r>
          <w:rPr>
            <w:rStyle w:val="SourceLink"/>
          </w:rPr>
          <w:t xml:space="preserve">S68</w:t>
        </w:r>
      </w:hyperlink>
      <w:r>
        <w:t xml:space="preserve">], and OpenAI was “out of GPUs” [</w:t>
      </w:r>
      <w:hyperlink w:anchor="src-S6" w:history="1">
        <w:r>
          <w:rPr>
            <w:rStyle w:val="SourceLink"/>
          </w:rPr>
          <w:t xml:space="preserve">S6</w:t>
        </w:r>
      </w:hyperlink>
      <w:r>
        <w:t xml:space="preserve">]. And China does not pause:</w:t>
      </w:r>
    </w:p>
    <w:p>
      <w:pPr>
        <w:pStyle w:val="Compact"/>
        <w:numPr>
          <w:ilvl w:val="2"/>
          <w:numId w:val="1043"/>
        </w:numPr>
      </w:pPr>
      <w:r>
        <w:t xml:space="preserve">According to its National Energy Administration (the state energy authority), China added about 543 GW of new power capacity in 2025 [</w:t>
      </w:r>
      <w:hyperlink w:anchor="src-S111" w:history="1">
        <w:r>
          <w:rPr>
            <w:rStyle w:val="SourceLink"/>
          </w:rPr>
          <w:t xml:space="preserve">S111</w:t>
        </w:r>
      </w:hyperlink>
      <w:r>
        <w:t xml:space="preserve">].</w:t>
      </w:r>
    </w:p>
    <w:p>
      <w:pPr>
        <w:pStyle w:val="Compact"/>
        <w:numPr>
          <w:ilvl w:val="2"/>
          <w:numId w:val="1043"/>
        </w:numPr>
      </w:pPr>
      <w:r>
        <w:t xml:space="preserve">That is about ten times the 53 GW the US added, according to the US</w:t>
      </w:r>
      <w:r>
        <w:t xml:space="preserve"> </w:t>
      </w:r>
      <w:hyperlink w:anchor="gl-eia" w:history="1">
        <w:r>
          <w:rPr>
            <w:rStyle w:val="GlossaryLink"/>
          </w:rPr>
          <w:t xml:space="preserve">Energy Information Administration</w:t>
        </w:r>
      </w:hyperlink>
      <w:r>
        <w:t xml:space="preserve"> </w:t>
      </w:r>
      <w:r>
        <w:t xml:space="preserve">(EIA, the statistics agency of the Department of Energy) [</w:t>
      </w:r>
      <w:hyperlink w:anchor="src-S87" w:history="1">
        <w:r>
          <w:rPr>
            <w:rStyle w:val="SourceLink"/>
          </w:rPr>
          <w:t xml:space="preserve">S87</w:t>
        </w:r>
      </w:hyperlink>
      <w:r>
        <w:t xml:space="preserve">].</w:t>
      </w:r>
    </w:p>
    <w:p>
      <w:pPr>
        <w:pStyle w:val="Compact"/>
        <w:numPr>
          <w:ilvl w:val="1"/>
          <w:numId w:val="1042"/>
        </w:numPr>
      </w:pPr>
      <w:r>
        <w:rPr>
          <w:b/>
          <w:bCs/>
        </w:rPr>
        <w:t xml:space="preserve">We must not lose the AI race.</w:t>
      </w:r>
      <w:r>
        <w:t xml:space="preserve"> </w:t>
      </w:r>
      <w:r>
        <w:t xml:space="preserve">The question is not whether AI computing gets built, only where: in America under American rules, or in China and elsewhere.</w:t>
      </w:r>
    </w:p>
    <w:p>
      <w:pPr>
        <w:pStyle w:val="Compact"/>
        <w:numPr>
          <w:ilvl w:val="2"/>
          <w:numId w:val="1044"/>
        </w:numPr>
      </w:pPr>
      <w:r>
        <w:t xml:space="preserve">Today the US leads: 58 points vs. 46 for the best Chinese model in the ranking by</w:t>
      </w:r>
      <w:r>
        <w:t xml:space="preserve"> </w:t>
      </w:r>
      <w:hyperlink w:anchor="gl-artificial-analysis" w:history="1">
        <w:r>
          <w:rPr>
            <w:rStyle w:val="GlossaryLink"/>
          </w:rPr>
          <w:t xml:space="preserve">Artificial Analysis</w:t>
        </w:r>
      </w:hyperlink>
      <w:r>
        <w:t xml:space="preserve"> </w:t>
      </w:r>
      <w:r>
        <w:t xml:space="preserve">(an independent AI benchmarking company) [</w:t>
      </w:r>
      <w:hyperlink w:anchor="src-S7" w:history="1">
        <w:r>
          <w:rPr>
            <w:rStyle w:val="SourceLink"/>
          </w:rPr>
          <w:t xml:space="preserve">S7</w:t>
        </w:r>
      </w:hyperlink>
      <w:r>
        <w:t xml:space="preserve">].</w:t>
      </w:r>
    </w:p>
    <w:p>
      <w:pPr>
        <w:pStyle w:val="Compact"/>
        <w:numPr>
          <w:ilvl w:val="2"/>
          <w:numId w:val="1044"/>
        </w:numPr>
      </w:pPr>
      <w:r>
        <w:t xml:space="preserve">Chinese models carry documented security risks.</w:t>
      </w:r>
      <w:r>
        <w:t xml:space="preserve"> </w:t>
      </w:r>
      <w:hyperlink w:anchor="gl-caisi" w:history="1">
        <w:r>
          <w:rPr>
            <w:rStyle w:val="GlossaryLink"/>
          </w:rPr>
          <w:t xml:space="preserve">CAISI</w:t>
        </w:r>
      </w:hyperlink>
      <w:r>
        <w:t xml:space="preserve">, the US government’s AI testing center at NIST, found that</w:t>
      </w:r>
      <w:r>
        <w:t xml:space="preserve"> </w:t>
      </w:r>
      <w:hyperlink w:anchor="gl-deepseek" w:history="1">
        <w:r>
          <w:rPr>
            <w:rStyle w:val="GlossaryLink"/>
          </w:rPr>
          <w:t xml:space="preserve">DeepSeek</w:t>
        </w:r>
      </w:hyperlink>
      <w:r>
        <w:t xml:space="preserve">-based agents followed malicious instructions 12 times more often than US models [</w:t>
      </w:r>
      <w:hyperlink w:anchor="src-S8" w:history="1">
        <w:r>
          <w:rPr>
            <w:rStyle w:val="SourceLink"/>
          </w:rPr>
          <w:t xml:space="preserve">S8</w:t>
        </w:r>
      </w:hyperlink>
      <w:r>
        <w:t xml:space="preserve">].</w:t>
      </w:r>
    </w:p>
    <w:p>
      <w:pPr>
        <w:pStyle w:val="Compact"/>
        <w:numPr>
          <w:ilvl w:val="2"/>
          <w:numId w:val="1044"/>
        </w:numPr>
      </w:pPr>
      <w:r>
        <w:t xml:space="preserve">The White House itself calls it “a national security imperative for the United States to achieve and maintain unquestioned and unchallenged global technological dominance” [</w:t>
      </w:r>
      <w:hyperlink w:anchor="src-S112" w:history="1">
        <w:r>
          <w:rPr>
            <w:rStyle w:val="SourceLink"/>
          </w:rPr>
          <w:t xml:space="preserve">S112</w:t>
        </w:r>
      </w:hyperlink>
      <w:r>
        <w:t xml:space="preserve">].</w:t>
      </w:r>
    </w:p>
    <w:p>
      <w:pPr>
        <w:pStyle w:val="Compact"/>
        <w:numPr>
          <w:ilvl w:val="2"/>
          <w:numId w:val="1044"/>
        </w:numPr>
      </w:pPr>
      <w:r>
        <w:t xml:space="preserve">A pause hands that lead to our rivals, and America cannot afford that.</w:t>
      </w:r>
    </w:p>
    <w:bookmarkEnd w:id="112"/>
    <w:bookmarkStart w:id="113" w:name="p5-frontline"/>
    <w:p>
      <w:pPr>
        <w:pStyle w:val="Heading3"/>
      </w:pPr>
      <w:r>
        <w:t xml:space="preserve">Frontline (Pro)</w:t>
      </w:r>
    </w:p>
    <w:p>
      <w:pPr>
        <w:pStyle w:val="Compact"/>
        <w:numPr>
          <w:ilvl w:val="0"/>
          <w:numId w:val="1045"/>
        </w:numPr>
      </w:pPr>
      <w:r>
        <w:rPr>
          <w:b/>
          <w:bCs/>
        </w:rPr>
        <w:t xml:space="preserve">F1 (→ R1) “Coming” is not “here”.</w:t>
      </w:r>
    </w:p>
    <w:p>
      <w:pPr>
        <w:pStyle w:val="Compact"/>
        <w:numPr>
          <w:ilvl w:val="1"/>
          <w:numId w:val="1046"/>
        </w:numPr>
      </w:pPr>
      <w:r>
        <w:rPr>
          <w:b/>
          <w:bCs/>
        </w:rPr>
        <w:t xml:space="preserve">No final FERC rule.</w:t>
      </w:r>
      <w:r>
        <w:t xml:space="preserve"> </w:t>
      </w:r>
      <w:r>
        <w:t xml:space="preserve">FERC (the Federal Energy Regulatory Commission, the federal agency that oversees interstate power lines and wholesale electricity markets) has no national rule.</w:t>
      </w:r>
    </w:p>
    <w:p>
      <w:pPr>
        <w:pStyle w:val="Compact"/>
        <w:numPr>
          <w:ilvl w:val="2"/>
          <w:numId w:val="1047"/>
        </w:numPr>
      </w:pPr>
      <w:r>
        <w:t xml:space="preserve">In June 2026 it only ordered six grid operators to justify or fix their rules [</w:t>
      </w:r>
      <w:hyperlink w:anchor="src-S28" w:history="1">
        <w:r>
          <w:rPr>
            <w:rStyle w:val="SourceLink"/>
          </w:rPr>
          <w:t xml:space="preserve">S28</w:t>
        </w:r>
      </w:hyperlink>
      <w:r>
        <w:t xml:space="preserve">].</w:t>
      </w:r>
    </w:p>
    <w:p>
      <w:pPr>
        <w:pStyle w:val="Compact"/>
        <w:numPr>
          <w:ilvl w:val="2"/>
          <w:numId w:val="1047"/>
        </w:numPr>
      </w:pPr>
      <w:r>
        <w:t xml:space="preserve">In August 2026 it gave PJM 90 more days, so responses are now due November 16, 2026 [</w:t>
      </w:r>
      <w:hyperlink w:anchor="src-S110" w:history="1">
        <w:r>
          <w:rPr>
            <w:rStyle w:val="SourceLink"/>
          </w:rPr>
          <w:t xml:space="preserve">S110</w:t>
        </w:r>
      </w:hyperlink>
      <w:r>
        <w:t xml:space="preserve">].</w:t>
      </w:r>
    </w:p>
    <w:p>
      <w:pPr>
        <w:pStyle w:val="Compact"/>
        <w:numPr>
          <w:ilvl w:val="2"/>
          <w:numId w:val="1047"/>
        </w:numPr>
      </w:pPr>
      <w:r>
        <w:t xml:space="preserve">Consumer advocates from five states told FERC that even these orders leave the grid costs caused by data centers with existing customers [</w:t>
      </w:r>
      <w:hyperlink w:anchor="src-S110" w:history="1">
        <w:r>
          <w:rPr>
            <w:rStyle w:val="SourceLink"/>
          </w:rPr>
          <w:t xml:space="preserve">S110</w:t>
        </w:r>
      </w:hyperlink>
      <w:r>
        <w:t xml:space="preserve">].</w:t>
      </w:r>
    </w:p>
    <w:p>
      <w:pPr>
        <w:pStyle w:val="Compact"/>
        <w:numPr>
          <w:ilvl w:val="1"/>
          <w:numId w:val="1046"/>
        </w:numPr>
      </w:pPr>
      <w:r>
        <w:rPr>
          <w:b/>
          <w:bCs/>
        </w:rPr>
        <w:t xml:space="preserve">Still not binding:</w:t>
      </w:r>
      <w:r>
        <w:t xml:space="preserve"> </w:t>
      </w:r>
      <w:r>
        <w:t xml:space="preserve">a voluntary pledge without enforcement [</w:t>
      </w:r>
      <w:hyperlink w:anchor="src-S26" w:history="1">
        <w:r>
          <w:rPr>
            <w:rStyle w:val="SourceLink"/>
          </w:rPr>
          <w:t xml:space="preserve">S26</w:t>
        </w:r>
      </w:hyperlink>
      <w:r>
        <w:t xml:space="preserve">]; half the states without tariffs [</w:t>
      </w:r>
      <w:hyperlink w:anchor="src-S27" w:history="1">
        <w:r>
          <w:rPr>
            <w:rStyle w:val="SourceLink"/>
          </w:rPr>
          <w:t xml:space="preserve">S27</w:t>
        </w:r>
      </w:hyperlink>
      <w:r>
        <w:t xml:space="preserve">]; reporting rules in only two states, while the federal transparency bill is stuck in committee [</w:t>
      </w:r>
      <w:hyperlink w:anchor="src-S31" w:history="1">
        <w:r>
          <w:rPr>
            <w:rStyle w:val="SourceLink"/>
          </w:rPr>
          <w:t xml:space="preserve">S31</w:t>
        </w:r>
      </w:hyperlink>
      <w:r>
        <w:t xml:space="preserve">].</w:t>
      </w:r>
    </w:p>
    <w:p>
      <w:pPr>
        <w:pStyle w:val="Compact"/>
        <w:numPr>
          <w:ilvl w:val="1"/>
          <w:numId w:val="1046"/>
        </w:numPr>
      </w:pPr>
      <w:r>
        <w:rPr>
          <w:b/>
          <w:bCs/>
        </w:rPr>
        <w:t xml:space="preserve">The rest came late or covers little:</w:t>
      </w:r>
    </w:p>
    <w:p>
      <w:pPr>
        <w:pStyle w:val="Compact"/>
        <w:numPr>
          <w:ilvl w:val="2"/>
          <w:numId w:val="1048"/>
        </w:numPr>
      </w:pPr>
      <w:r>
        <w:t xml:space="preserve">The EPA acted only after the turbines had been running for well over a year [</w:t>
      </w:r>
      <w:hyperlink w:anchor="src-S29" w:history="1">
        <w:r>
          <w:rPr>
            <w:rStyle w:val="SourceLink"/>
          </w:rPr>
          <w:t xml:space="preserve">S29</w:t>
        </w:r>
      </w:hyperlink>
      <w:r>
        <w:t xml:space="preserve">].</w:t>
      </w:r>
    </w:p>
    <w:p>
      <w:pPr>
        <w:pStyle w:val="Compact"/>
        <w:numPr>
          <w:ilvl w:val="2"/>
          <w:numId w:val="1048"/>
        </w:numPr>
      </w:pPr>
      <w:r>
        <w:t xml:space="preserve">Microsoft’s NDA stop is one company’s voluntary choice, and Pennsylvania’s ban covers only state agencies [</w:t>
      </w:r>
      <w:hyperlink w:anchor="src-S30" w:history="1">
        <w:r>
          <w:rPr>
            <w:rStyle w:val="SourceLink"/>
          </w:rPr>
          <w:t xml:space="preserve">S30</w:t>
        </w:r>
      </w:hyperlink>
      <w:r>
        <w:t xml:space="preserve">].</w:t>
      </w:r>
    </w:p>
    <w:p>
      <w:pPr>
        <w:pStyle w:val="Compact"/>
        <w:numPr>
          <w:ilvl w:val="2"/>
          <w:numId w:val="1048"/>
        </w:numPr>
      </w:pPr>
      <w:r>
        <w:t xml:space="preserve">Texas’ SB 6 protects one state’s grid [</w:t>
      </w:r>
      <w:hyperlink w:anchor="src-S71" w:history="1">
        <w:r>
          <w:rPr>
            <w:rStyle w:val="SourceLink"/>
          </w:rPr>
          <w:t xml:space="preserve">S71</w:t>
        </w:r>
      </w:hyperlink>
      <w:r>
        <w:t xml:space="preserve">].</w:t>
      </w:r>
    </w:p>
    <w:p>
      <w:pPr>
        <w:pStyle w:val="Compact"/>
        <w:numPr>
          <w:ilvl w:val="1"/>
          <w:numId w:val="1046"/>
        </w:numPr>
      </w:pPr>
      <w:r>
        <w:rPr>
          <w:b/>
          <w:bCs/>
        </w:rPr>
        <w:t xml:space="preserve">Meanwhile the irreversible costs pile up. Says who?</w:t>
      </w:r>
    </w:p>
    <w:p>
      <w:pPr>
        <w:pStyle w:val="Compact"/>
        <w:numPr>
          <w:ilvl w:val="2"/>
          <w:numId w:val="1049"/>
        </w:numPr>
      </w:pPr>
      <w:r>
        <w:t xml:space="preserve">Monitoring Analytics, LLC, the official Independent Market Monitor for PJM, in its quarterly report of May 2026: “Large data center load additions have already had a significant and irreversible impact on PJM customers that will be paid through May 31, 2028.” [</w:t>
      </w:r>
      <w:hyperlink w:anchor="src-S43" w:history="1">
        <w:r>
          <w:rPr>
            <w:rStyle w:val="SourceLink"/>
          </w:rPr>
          <w:t xml:space="preserve">S43</w:t>
        </w:r>
      </w:hyperlink>
      <w:r>
        <w:t xml:space="preserve">]</w:t>
      </w:r>
    </w:p>
    <w:p>
      <w:pPr>
        <w:pStyle w:val="Compact"/>
        <w:numPr>
          <w:ilvl w:val="2"/>
          <w:numId w:val="1049"/>
        </w:numPr>
      </w:pPr>
      <w:r>
        <w:t xml:space="preserve">And while the rules were “coming”, the bill grew: from $23.1 billion over three auctions [</w:t>
      </w:r>
      <w:hyperlink w:anchor="src-S42" w:history="1">
        <w:r>
          <w:rPr>
            <w:rStyle w:val="SourceLink"/>
          </w:rPr>
          <w:t xml:space="preserve">S42</w:t>
        </w:r>
      </w:hyperlink>
      <w:r>
        <w:t xml:space="preserve">] to $29.4 billion over four, $6.3 billion more in July 2026 alone [</w:t>
      </w:r>
      <w:hyperlink w:anchor="src-S107" w:history="1">
        <w:r>
          <w:rPr>
            <w:rStyle w:val="SourceLink"/>
          </w:rPr>
          <w:t xml:space="preserve">S107</w:t>
        </w:r>
      </w:hyperlink>
      <w:r>
        <w:t xml:space="preserve">].</w:t>
      </w:r>
    </w:p>
    <w:p>
      <w:pPr>
        <w:pStyle w:val="Compact"/>
        <w:numPr>
          <w:ilvl w:val="0"/>
          <w:numId w:val="1045"/>
        </w:numPr>
      </w:pPr>
      <w:r>
        <w:rPr>
          <w:b/>
          <w:bCs/>
        </w:rPr>
        <w:t xml:space="preserve">F2 (→ R2)</w:t>
      </w:r>
      <w:r>
        <w:t xml:space="preserve"> </w:t>
      </w:r>
      <w:hyperlink w:anchor="src-S35" w:history="1">
        <w:r>
          <w:rPr>
            <w:rStyle w:val="SourceLink"/>
            <w:b/>
            <w:bCs/>
          </w:rPr>
          <w:t xml:space="preserve">S35</w:t>
        </w:r>
      </w:hyperlink>
      <w:r>
        <w:t xml:space="preserve"> </w:t>
      </w:r>
      <w:r>
        <w:rPr>
          <w:b/>
          <w:bCs/>
        </w:rPr>
        <w:t xml:space="preserve">proves our point: local moratoria fail, which is why we need a federal one.</w:t>
      </w:r>
    </w:p>
    <w:p>
      <w:pPr>
        <w:numPr>
          <w:ilvl w:val="1"/>
          <w:numId w:val="1050"/>
        </w:numPr>
      </w:pPr>
      <w:r>
        <w:rPr>
          <w:b/>
          <w:bCs/>
        </w:rPr>
        <w:t xml:space="preserve">What is S35?</w:t>
      </w:r>
      <w:r>
        <w:t xml:space="preserve"> </w:t>
      </w:r>
      <w:r>
        <w:t xml:space="preserve">An analysis by</w:t>
      </w:r>
      <w:r>
        <w:t xml:space="preserve"> </w:t>
      </w:r>
      <w:hyperlink w:anchor="gl-semianalysis" w:history="1">
        <w:r>
          <w:rPr>
            <w:rStyle w:val="GlossaryLink"/>
          </w:rPr>
          <w:t xml:space="preserve">SemiAnalysis</w:t>
        </w:r>
      </w:hyperlink>
      <w:r>
        <w:t xml:space="preserve">, published in September 2026. SemiAnalysis is an independent research firm that analyzes chips and AI infrastructure, mainly for investors and the tech industry, so it is rather industry-friendly. It mapped more than 400 local measures (moratoria, bans, proposals) in 17 states and matched them parcel by parcel against about 3,500 data center projects [</w:t>
      </w:r>
      <w:hyperlink w:anchor="src-S35" w:history="1">
        <w:r>
          <w:rPr>
            <w:rStyle w:val="SourceLink"/>
          </w:rPr>
          <w:t xml:space="preserve">S35</w:t>
        </w:r>
      </w:hyperlink>
      <w:r>
        <w:t xml:space="preserve">].</w:t>
      </w:r>
    </w:p>
    <w:p>
      <w:pPr>
        <w:numPr>
          <w:ilvl w:val="1"/>
          <w:numId w:val="1050"/>
        </w:numPr>
      </w:pPr>
      <w:r>
        <w:rPr>
          <w:b/>
          <w:bCs/>
        </w:rPr>
        <w:t xml:space="preserve">What it found:</w:t>
      </w:r>
    </w:p>
    <w:p>
      <w:pPr>
        <w:pStyle w:val="Compact"/>
        <w:numPr>
          <w:ilvl w:val="2"/>
          <w:numId w:val="1051"/>
        </w:numPr>
      </w:pPr>
      <w:r>
        <w:t xml:space="preserve">more than 300 local moratoria and bans, but only about 2.3 GW of planned capacity actually delayed;</w:t>
      </w:r>
    </w:p>
    <w:p>
      <w:pPr>
        <w:pStyle w:val="Compact"/>
        <w:numPr>
          <w:ilvl w:val="2"/>
          <w:numId w:val="1051"/>
        </w:numPr>
      </w:pPr>
      <w:r>
        <w:t xml:space="preserve">about 20 GW of planned capacity lies inside areas with a local moratorium, yet only about 1.5 GW of it is delayed;</w:t>
      </w:r>
    </w:p>
    <w:p>
      <w:pPr>
        <w:pStyle w:val="Compact"/>
        <w:numPr>
          <w:ilvl w:val="2"/>
          <w:numId w:val="1051"/>
        </w:numPr>
      </w:pPr>
      <w:r>
        <w:t xml:space="preserve">most moratoria are passed preemptively and contain loopholes [</w:t>
      </w:r>
      <w:hyperlink w:anchor="src-S35" w:history="1">
        <w:r>
          <w:rPr>
            <w:rStyle w:val="SourceLink"/>
          </w:rPr>
          <w:t xml:space="preserve">S35</w:t>
        </w:r>
      </w:hyperlink>
      <w:r>
        <w:t xml:space="preserve">].</w:t>
      </w:r>
    </w:p>
    <w:p>
      <w:pPr>
        <w:numPr>
          <w:ilvl w:val="1"/>
          <w:numId w:val="1050"/>
        </w:numPr>
      </w:pPr>
      <w:r>
        <w:rPr>
          <w:b/>
          <w:bCs/>
        </w:rPr>
        <w:t xml:space="preserve">Why a federal moratorium is better than local ones:</w:t>
      </w:r>
    </w:p>
    <w:p>
      <w:pPr>
        <w:numPr>
          <w:ilvl w:val="2"/>
          <w:numId w:val="1052"/>
        </w:numPr>
      </w:pPr>
      <w:r>
        <w:rPr>
          <w:b/>
          <w:bCs/>
        </w:rPr>
        <w:t xml:space="preserve">No gaps.</w:t>
      </w:r>
      <w:r>
        <w:t xml:space="preserve"> </w:t>
      </w:r>
      <w:r>
        <w:t xml:space="preserve">Every town writes its own rules with its own exceptions and covers only its own land, so projects simply move to the next county. A federal moratorium applies everywhere, with one definition.</w:t>
      </w:r>
    </w:p>
    <w:p>
      <w:pPr>
        <w:numPr>
          <w:ilvl w:val="2"/>
          <w:numId w:val="1052"/>
        </w:numPr>
      </w:pPr>
      <w:r>
        <w:rPr>
          <w:b/>
          <w:bCs/>
        </w:rPr>
        <w:t xml:space="preserve">Costs don’t stop at the town line.</w:t>
      </w:r>
    </w:p>
    <w:p>
      <w:pPr>
        <w:pStyle w:val="Compact"/>
        <w:numPr>
          <w:ilvl w:val="3"/>
          <w:numId w:val="1053"/>
        </w:numPr>
      </w:pPr>
      <w:r>
        <w:t xml:space="preserve">Capacity prices are set for the whole PJM region of about 67 million people [</w:t>
      </w:r>
      <w:hyperlink w:anchor="src-S14" w:history="1">
        <w:r>
          <w:rPr>
            <w:rStyle w:val="SourceLink"/>
          </w:rPr>
          <w:t xml:space="preserve">S14</w:t>
        </w:r>
      </w:hyperlink>
      <w:r>
        <w:t xml:space="preserve">].</w:t>
      </w:r>
    </w:p>
    <w:p>
      <w:pPr>
        <w:pStyle w:val="Compact"/>
        <w:numPr>
          <w:ilvl w:val="3"/>
          <w:numId w:val="1053"/>
        </w:numPr>
      </w:pPr>
      <w:r>
        <w:t xml:space="preserve">Maryland customers are expected to pay about $1.6 billion over ten years for power lines driven largely by data centers in other states [</w:t>
      </w:r>
      <w:hyperlink w:anchor="src-S109" w:history="1">
        <w:r>
          <w:rPr>
            <w:rStyle w:val="SourceLink"/>
          </w:rPr>
          <w:t xml:space="preserve">S109</w:t>
        </w:r>
      </w:hyperlink>
      <w:r>
        <w:t xml:space="preserve">].</w:t>
      </w:r>
    </w:p>
    <w:p>
      <w:pPr>
        <w:pStyle w:val="Compact"/>
        <w:numPr>
          <w:ilvl w:val="3"/>
          <w:numId w:val="1053"/>
        </w:numPr>
      </w:pPr>
      <w:r>
        <w:t xml:space="preserve">A new 500 kV line is planned through Maryland farmland to supply Virginia’s data centers [</w:t>
      </w:r>
      <w:hyperlink w:anchor="src-S75" w:history="1">
        <w:r>
          <w:rPr>
            <w:rStyle w:val="SourceLink"/>
          </w:rPr>
          <w:t xml:space="preserve">S75</w:t>
        </w:r>
      </w:hyperlink>
      <w:r>
        <w:t xml:space="preserve">].</w:t>
      </w:r>
    </w:p>
    <w:p>
      <w:pPr>
        <w:numPr>
          <w:ilvl w:val="2"/>
          <w:numId w:val="1000"/>
        </w:numPr>
      </w:pPr>
      <w:r>
        <w:t xml:space="preserve">No town council can stop that.</w:t>
      </w:r>
    </w:p>
    <w:p>
      <w:pPr>
        <w:numPr>
          <w:ilvl w:val="2"/>
          <w:numId w:val="1052"/>
        </w:numPr>
      </w:pPr>
      <w:r>
        <w:rPr>
          <w:b/>
          <w:bCs/>
        </w:rPr>
        <w:t xml:space="preserve">Towns can’t write the rules that matter.</w:t>
      </w:r>
      <w:r>
        <w:t xml:space="preserve"> </w:t>
      </w:r>
      <w:r>
        <w:t xml:space="preserve">Who pays for the grid is decided by FERC and the grid operators [</w:t>
      </w:r>
      <w:hyperlink w:anchor="src-S28" w:history="1">
        <w:r>
          <w:rPr>
            <w:rStyle w:val="SourceLink"/>
          </w:rPr>
          <w:t xml:space="preserve">S28</w:t>
        </w:r>
      </w:hyperlink>
      <w:r>
        <w:t xml:space="preserve">,</w:t>
      </w:r>
      <w:r>
        <w:t xml:space="preserve"> </w:t>
      </w:r>
      <w:hyperlink w:anchor="src-S110" w:history="1">
        <w:r>
          <w:rPr>
            <w:rStyle w:val="SourceLink"/>
          </w:rPr>
          <w:t xml:space="preserve">S110</w:t>
        </w:r>
      </w:hyperlink>
      <w:r>
        <w:t xml:space="preserve">], not by a town council. Only a federal moratorium can be tied to federal rules.</w:t>
      </w:r>
    </w:p>
    <w:p>
      <w:pPr>
        <w:numPr>
          <w:ilvl w:val="1"/>
          <w:numId w:val="1000"/>
        </w:numPr>
      </w:pPr>
      <w:r>
        <w:t xml:space="preserve">→</w:t>
      </w:r>
      <w:r>
        <w:t xml:space="preserve"> </w:t>
      </w:r>
      <w:hyperlink w:anchor="src-S35" w:history="1">
        <w:r>
          <w:rPr>
            <w:rStyle w:val="SourceLink"/>
          </w:rPr>
          <w:t xml:space="preserve">S35</w:t>
        </w:r>
      </w:hyperlink>
      <w:r>
        <w:t xml:space="preserve"> </w:t>
      </w:r>
      <w:r>
        <w:t xml:space="preserve">does not show that moratoria fail. It shows that local moratoria fail, which is exactly why one federal standard is needed.</w:t>
      </w:r>
    </w:p>
    <w:p>
      <w:pPr>
        <w:numPr>
          <w:ilvl w:val="1"/>
          <w:numId w:val="1050"/>
        </w:numPr>
      </w:pPr>
      <w:r>
        <w:rPr>
          <w:b/>
          <w:bCs/>
        </w:rPr>
        <w:t xml:space="preserve">Singapore and Johor?</w:t>
      </w:r>
      <w:r>
        <w:t xml:space="preserve"> </w:t>
      </w:r>
      <w:r>
        <w:t xml:space="preserve">Johor’s 1,500 MW include planned projects; only 487 MW were operating by July 2025 [</w:t>
      </w:r>
      <w:hyperlink w:anchor="src-S4" w:history="1">
        <w:r>
          <w:rPr>
            <w:rStyle w:val="SourceLink"/>
          </w:rPr>
          <w:t xml:space="preserve">S4</w:t>
        </w:r>
      </w:hyperlink>
      <w:r>
        <w:t xml:space="preserve">]. And Singapore came back with stricter rules, which is exactly our model [</w:t>
      </w:r>
      <w:hyperlink w:anchor="src-S33" w:history="1">
        <w:r>
          <w:rPr>
            <w:rStyle w:val="SourceLink"/>
          </w:rPr>
          <w:t xml:space="preserve">S33</w:t>
        </w:r>
      </w:hyperlink>
      <w:r>
        <w:t xml:space="preserve">].</w:t>
      </w:r>
    </w:p>
    <w:p>
      <w:pPr>
        <w:numPr>
          <w:ilvl w:val="1"/>
          <w:numId w:val="1050"/>
        </w:numPr>
      </w:pPr>
      <w:r>
        <w:rPr>
          <w:b/>
          <w:bCs/>
        </w:rPr>
        <w:t xml:space="preserve">And the AI race?</w:t>
      </w:r>
      <w:r>
        <w:t xml:space="preserve"> </w:t>
      </w:r>
      <w:r>
        <w:t xml:space="preserve">Our pause is conditional and covers only new construction. Existing data centers keep running, and the US lead is big.</w:t>
      </w:r>
    </w:p>
    <w:bookmarkEnd w:id="113"/>
    <w:bookmarkStart w:id="116" w:name="p5-chain"/>
    <w:p>
      <w:pPr>
        <w:pStyle w:val="Heading3"/>
      </w:pPr>
      <w:r>
        <w:t xml:space="preserve">Chain of Reasoning (Backup)</w:t>
      </w:r>
    </w:p>
    <w:p>
      <w:pPr>
        <w:pStyle w:val="NavLink"/>
      </w:pPr>
      <w:hyperlink w:anchor="p5-speech" w:history="1">
        <w:r>
          <w:rPr>
            <w:rStyle w:val="NavLinkChar"/>
          </w:rPr>
          <w:t xml:space="preserve">↑ Back to the speech version</w:t>
        </w:r>
      </w:hyperlink>
    </w:p>
    <w:p>
      <w:pPr>
        <w:pStyle w:val="BodyText"/>
      </w:pPr>
      <w:r>
        <w:rPr>
          <w:b/>
          <w:bCs/>
        </w:rPr>
        <w:t xml:space="preserve">Claim:</w:t>
      </w:r>
      <w:r>
        <w:t xml:space="preserve"> </w:t>
      </w:r>
      <w:r>
        <w:t xml:space="preserve">A conditional federal moratorium is the most effective way to fix outdated rules before irreversible construction happens.</w:t>
      </w:r>
    </w:p>
    <w:p>
      <w:pPr>
        <w:pStyle w:val="BodyText"/>
      </w:pPr>
      <w:r>
        <w:rPr>
          <w:b/>
          <w:bCs/>
        </w:rPr>
        <w:t xml:space="preserve">Proof &amp; Examples:</w:t>
      </w:r>
    </w:p>
    <w:p>
      <w:pPr>
        <w:pStyle w:val="Compact"/>
        <w:numPr>
          <w:ilvl w:val="0"/>
          <w:numId w:val="1054"/>
        </w:numPr>
      </w:pPr>
      <w:r>
        <w:rPr>
          <w:b/>
          <w:bCs/>
        </w:rPr>
        <w:t xml:space="preserve">Who pays.</w:t>
      </w:r>
    </w:p>
    <w:p>
      <w:pPr>
        <w:pStyle w:val="Compact"/>
        <w:numPr>
          <w:ilvl w:val="1"/>
          <w:numId w:val="1055"/>
        </w:numPr>
      </w:pPr>
      <w:r>
        <w:rPr>
          <w:b/>
          <w:bCs/>
        </w:rPr>
        <w:t xml:space="preserve">Who says it:</w:t>
      </w:r>
      <w:r>
        <w:t xml:space="preserve"> </w:t>
      </w:r>
      <w:r>
        <w:t xml:space="preserve">The Electricity Law Initiative at Harvard Law School (a research program on energy law). The authors are Eliza Martin (legal fellow) and Ari Peskoe (director): "Extracting Profits from the Public: How Utility Ratepayers Are Paying for Big Tech's Power" (March 5, 2025). They analyzed nearly 50 regulatory proceedings on electricity rates for data centers and conclude: "The very same utility rate structures … are now forcing the public to pay for infrastructure designed to supply a handful of wealthy corporations." [</w:t>
      </w:r>
      <w:hyperlink w:anchor="src-S17" w:history="1">
        <w:r>
          <w:rPr>
            <w:rStyle w:val="SourceLink"/>
          </w:rPr>
          <w:t xml:space="preserve">S17</w:t>
        </w:r>
      </w:hyperlink>
      <w:r>
        <w:t xml:space="preserve">]</w:t>
      </w:r>
    </w:p>
    <w:p>
      <w:pPr>
        <w:pStyle w:val="Compact"/>
        <w:numPr>
          <w:ilvl w:val="1"/>
          <w:numId w:val="1055"/>
        </w:numPr>
      </w:pPr>
      <w:r>
        <w:rPr>
          <w:b/>
          <w:bCs/>
        </w:rPr>
        <w:t xml:space="preserve">What capacity costs are:</w:t>
      </w:r>
      <w:r>
        <w:t xml:space="preserve"> </w:t>
      </w:r>
      <w:r>
        <w:t xml:space="preserve">PJM Interconnection is the non-profit operator of the largest US power grid, serving about 67 million people in all or parts of 13 states and Washington, D.C. It holds an auction in which power plants are paid in advance to be available when needed. The July 2026 auction, for example, bought capacity for June 2028 to May 2029 [</w:t>
      </w:r>
      <w:hyperlink w:anchor="src-S14" w:history="1">
        <w:r>
          <w:rPr>
            <w:rStyle w:val="SourceLink"/>
          </w:rPr>
          <w:t xml:space="preserve">S14</w:t>
        </w:r>
      </w:hyperlink>
      <w:r>
        <w:t xml:space="preserve">,</w:t>
      </w:r>
      <w:r>
        <w:t xml:space="preserve"> </w:t>
      </w:r>
      <w:hyperlink w:anchor="src-S107" w:history="1">
        <w:r>
          <w:rPr>
            <w:rStyle w:val="SourceLink"/>
          </w:rPr>
          <w:t xml:space="preserve">S107</w:t>
        </w:r>
      </w:hyperlink>
      <w:r>
        <w:t xml:space="preserve">].</w:t>
      </w:r>
    </w:p>
    <w:p>
      <w:pPr>
        <w:pStyle w:val="Compact"/>
        <w:numPr>
          <w:ilvl w:val="2"/>
          <w:numId w:val="1056"/>
        </w:numPr>
      </w:pPr>
      <w:r>
        <w:t xml:space="preserve">The more demand is expected, the higher the price, and the costs are passed on to all customers through their bills [</w:t>
      </w:r>
      <w:hyperlink w:anchor="src-S14" w:history="1">
        <w:r>
          <w:rPr>
            <w:rStyle w:val="SourceLink"/>
          </w:rPr>
          <w:t xml:space="preserve">S14</w:t>
        </w:r>
      </w:hyperlink>
      <w:r>
        <w:t xml:space="preserve">].</w:t>
      </w:r>
    </w:p>
    <w:p>
      <w:pPr>
        <w:pStyle w:val="Compact"/>
        <w:numPr>
          <w:ilvl w:val="2"/>
          <w:numId w:val="1056"/>
        </w:numPr>
      </w:pPr>
      <w:r>
        <w:t xml:space="preserve">In the 2025/26 auction alone, this meant about +$18 per month for households in Western Maryland and +$16 in Ohio, according to the Pew Research Center (a nonpartisan research institute) [</w:t>
      </w:r>
      <w:hyperlink w:anchor="src-S15" w:history="1">
        <w:r>
          <w:rPr>
            <w:rStyle w:val="SourceLink"/>
          </w:rPr>
          <w:t xml:space="preserve">S15</w:t>
        </w:r>
      </w:hyperlink>
      <w:r>
        <w:t xml:space="preserve">].</w:t>
      </w:r>
    </w:p>
    <w:p>
      <w:pPr>
        <w:pStyle w:val="Compact"/>
        <w:numPr>
          <w:ilvl w:val="1"/>
          <w:numId w:val="1055"/>
        </w:numPr>
      </w:pPr>
      <w:r>
        <w:rPr>
          <w:b/>
          <w:bCs/>
        </w:rPr>
        <w:t xml:space="preserve">Who the monitor is:</w:t>
      </w:r>
      <w:r>
        <w:t xml:space="preserve"> </w:t>
      </w:r>
      <w:r>
        <w:t xml:space="preserve">Monitoring Analytics, LLC is the official Independent Market Monitor for PJM, headed by Joseph Bowring.</w:t>
      </w:r>
    </w:p>
    <w:p>
      <w:pPr>
        <w:pStyle w:val="Compact"/>
        <w:numPr>
          <w:ilvl w:val="2"/>
          <w:numId w:val="1057"/>
        </w:numPr>
      </w:pPr>
      <w:r>
        <w:t xml:space="preserve">It is independent of PJM's management and of the companies that trade in the market. It works under a contract with PJM's board and reports to FERC.</w:t>
      </w:r>
    </w:p>
    <w:p>
      <w:pPr>
        <w:pStyle w:val="Compact"/>
        <w:numPr>
          <w:ilvl w:val="2"/>
          <w:numId w:val="1057"/>
        </w:numPr>
      </w:pPr>
      <w:r>
        <w:t xml:space="preserve">Its job is to watch PJM's markets for market power, manipulation and design flaws [</w:t>
      </w:r>
      <w:hyperlink w:anchor="src-S42" w:history="1">
        <w:r>
          <w:rPr>
            <w:rStyle w:val="SourceLink"/>
          </w:rPr>
          <w:t xml:space="preserve">S42</w:t>
        </w:r>
      </w:hyperlink>
      <w:r>
        <w:t xml:space="preserve">].</w:t>
      </w:r>
    </w:p>
    <w:p>
      <w:pPr>
        <w:pStyle w:val="Compact"/>
        <w:numPr>
          <w:ilvl w:val="1"/>
          <w:numId w:val="1055"/>
        </w:numPr>
      </w:pPr>
      <w:r>
        <w:rPr>
          <w:b/>
          <w:bCs/>
        </w:rPr>
        <w:t xml:space="preserve">What "data centers added $X" means:</w:t>
      </w:r>
      <w:r>
        <w:t xml:space="preserve"> </w:t>
      </w:r>
      <w:r>
        <w:t xml:space="preserve">The monitor recalculated each auction as if there were no data center demand (neither existing nor forecast). The difference between the real result and this "without data centers" result is what data centers added [</w:t>
      </w:r>
      <w:hyperlink w:anchor="src-S16" w:history="1">
        <w:r>
          <w:rPr>
            <w:rStyle w:val="SourceLink"/>
          </w:rPr>
          <w:t xml:space="preserve">S16</w:t>
        </w:r>
      </w:hyperlink>
      <w:r>
        <w:t xml:space="preserve">,</w:t>
      </w:r>
      <w:r>
        <w:t xml:space="preserve"> </w:t>
      </w:r>
      <w:hyperlink w:anchor="src-S42" w:history="1">
        <w:r>
          <w:rPr>
            <w:rStyle w:val="SourceLink"/>
          </w:rPr>
          <w:t xml:space="preserve">S42</w:t>
        </w:r>
      </w:hyperlink>
      <w:r>
        <w:t xml:space="preserve">]:</w:t>
      </w:r>
    </w:p>
    <w:p>
      <w:pPr>
        <w:pStyle w:val="Compact"/>
        <w:numPr>
          <w:ilvl w:val="2"/>
          <w:numId w:val="1058"/>
        </w:numPr>
      </w:pPr>
      <w:r>
        <w:t xml:space="preserve">three auctions (2025/26–2027/28): $23.1 billion [</w:t>
      </w:r>
      <w:hyperlink w:anchor="src-S42" w:history="1">
        <w:r>
          <w:rPr>
            <w:rStyle w:val="SourceLink"/>
          </w:rPr>
          <w:t xml:space="preserve">S42</w:t>
        </w:r>
      </w:hyperlink>
      <w:r>
        <w:t xml:space="preserve">];</w:t>
      </w:r>
    </w:p>
    <w:p>
      <w:pPr>
        <w:pStyle w:val="Compact"/>
        <w:numPr>
          <w:ilvl w:val="2"/>
          <w:numId w:val="1058"/>
        </w:numPr>
      </w:pPr>
      <w:r>
        <w:t xml:space="preserve">the July 2026 auction (2028/29): $6.3 billion of $16.4 billion (38%). That makes $29.4 billion over four auctions, 46% of all capacity charges ($63.6 billion) [</w:t>
      </w:r>
      <w:hyperlink w:anchor="src-S107" w:history="1">
        <w:r>
          <w:rPr>
            <w:rStyle w:val="SourceLink"/>
          </w:rPr>
          <w:t xml:space="preserve">S107</w:t>
        </w:r>
      </w:hyperlink>
      <w:r>
        <w:t xml:space="preserve">];</w:t>
      </w:r>
    </w:p>
    <w:p>
      <w:pPr>
        <w:pStyle w:val="Compact"/>
        <w:numPr>
          <w:ilvl w:val="2"/>
          <w:numId w:val="1058"/>
        </w:numPr>
      </w:pPr>
      <w:r>
        <w:t xml:space="preserve">in the December 2025 auction, $6.2 billion was for data centers that were not built yet and were only expected by June 2027 [</w:t>
      </w:r>
      <w:hyperlink w:anchor="src-S16" w:history="1">
        <w:r>
          <w:rPr>
            <w:rStyle w:val="SourceLink"/>
          </w:rPr>
          <w:t xml:space="preserve">S16</w:t>
        </w:r>
      </w:hyperlink>
      <w:r>
        <w:t xml:space="preserve">].</w:t>
      </w:r>
    </w:p>
    <w:p>
      <w:pPr>
        <w:pStyle w:val="Compact"/>
        <w:numPr>
          <w:ilvl w:val="1"/>
          <w:numId w:val="1055"/>
        </w:numPr>
      </w:pPr>
      <w:r>
        <w:rPr>
          <w:b/>
          <w:bCs/>
        </w:rPr>
        <w:t xml:space="preserve">Why this matters for the moratorium as a planning tool:</w:t>
      </w:r>
    </w:p>
    <w:p>
      <w:pPr>
        <w:pStyle w:val="Compact"/>
        <w:numPr>
          <w:ilvl w:val="2"/>
          <w:numId w:val="1059"/>
        </w:numPr>
      </w:pPr>
      <w:r>
        <w:rPr>
          <w:b/>
          <w:bCs/>
        </w:rPr>
        <w:t xml:space="preserve">The costs come from plans, not buildings.</w:t>
      </w:r>
      <w:r>
        <w:t xml:space="preserve"> </w:t>
      </w:r>
      <w:r>
        <w:t xml:space="preserve">Forecast data centers raise the price before a single one is built [</w:t>
      </w:r>
      <w:hyperlink w:anchor="src-S16" w:history="1">
        <w:r>
          <w:rPr>
            <w:rStyle w:val="SourceLink"/>
          </w:rPr>
          <w:t xml:space="preserve">S16</w:t>
        </w:r>
      </w:hyperlink>
      <w:r>
        <w:t xml:space="preserve">]. The monitor calls the accuracy of these forecasts "highly questionable" [</w:t>
      </w:r>
      <w:hyperlink w:anchor="src-S42" w:history="1">
        <w:r>
          <w:rPr>
            <w:rStyle w:val="SourceLink"/>
          </w:rPr>
          <w:t xml:space="preserve">S42</w:t>
        </w:r>
      </w:hyperlink>
      <w:r>
        <w:t xml:space="preserve">].</w:t>
      </w:r>
    </w:p>
    <w:p>
      <w:pPr>
        <w:pStyle w:val="Compact"/>
        <w:numPr>
          <w:ilvl w:val="2"/>
          <w:numId w:val="1059"/>
        </w:numPr>
      </w:pPr>
      <w:r>
        <w:rPr>
          <w:b/>
          <w:bCs/>
        </w:rPr>
        <w:t xml:space="preserve">Once an auction has cleared, the price is fixed.</w:t>
      </w:r>
      <w:r>
        <w:t xml:space="preserve"> </w:t>
      </w:r>
      <w:r>
        <w:t xml:space="preserve">In the monitor's words: "Large data center load additions have already had a significant and irreversible impact on PJM customers that will be paid through May 31, 2028." [</w:t>
      </w:r>
      <w:hyperlink w:anchor="src-S43" w:history="1">
        <w:r>
          <w:rPr>
            <w:rStyle w:val="SourceLink"/>
          </w:rPr>
          <w:t xml:space="preserve">S43</w:t>
        </w:r>
      </w:hyperlink>
      <w:r>
        <w:t xml:space="preserve">] After the July 2026 auction, the costs are fixed through May 2029 [</w:t>
      </w:r>
      <w:hyperlink w:anchor="src-S107" w:history="1">
        <w:r>
          <w:rPr>
            <w:rStyle w:val="SourceLink"/>
          </w:rPr>
          <w:t xml:space="preserve">S107</w:t>
        </w:r>
      </w:hyperlink>
      <w:r>
        <w:t xml:space="preserve">].</w:t>
      </w:r>
    </w:p>
    <w:p>
      <w:pPr>
        <w:pStyle w:val="Compact"/>
        <w:numPr>
          <w:ilvl w:val="2"/>
          <w:numId w:val="1059"/>
        </w:numPr>
      </w:pPr>
      <w:r>
        <w:rPr>
          <w:b/>
          <w:bCs/>
        </w:rPr>
        <w:t xml:space="preserve">Today, nobody can say "wait".</w:t>
      </w:r>
    </w:p>
    <w:p>
      <w:pPr>
        <w:pStyle w:val="Compact"/>
        <w:numPr>
          <w:ilvl w:val="3"/>
          <w:numId w:val="1060"/>
        </w:numPr>
      </w:pPr>
      <w:r>
        <w:t xml:space="preserve">The monitor asked FERC to confirm that PJM may connect large new data centers only when it can serve them reliably. FERC denied this in March 2026, on procedural grounds, and pointed to reforms that are still underway [</w:t>
      </w:r>
      <w:hyperlink w:anchor="src-S108" w:history="1">
        <w:r>
          <w:rPr>
            <w:rStyle w:val="SourceLink"/>
          </w:rPr>
          <w:t xml:space="preserve">S108</w:t>
        </w:r>
      </w:hyperlink>
      <w:r>
        <w:t xml:space="preserve">].</w:t>
      </w:r>
    </w:p>
    <w:p>
      <w:pPr>
        <w:pStyle w:val="Compact"/>
        <w:numPr>
          <w:ilvl w:val="3"/>
          <w:numId w:val="1060"/>
        </w:numPr>
      </w:pPr>
      <w:r>
        <w:t xml:space="preserve">The monitor's own fixes are only proposals: data centers bring their own new power plants [</w:t>
      </w:r>
      <w:hyperlink w:anchor="src-S42" w:history="1">
        <w:r>
          <w:rPr>
            <w:rStyle w:val="SourceLink"/>
          </w:rPr>
          <w:t xml:space="preserve">S42</w:t>
        </w:r>
      </w:hyperlink>
      <w:r>
        <w:t xml:space="preserve">], or get their own separate auction [</w:t>
      </w:r>
      <w:hyperlink w:anchor="src-S107" w:history="1">
        <w:r>
          <w:rPr>
            <w:rStyle w:val="SourceLink"/>
          </w:rPr>
          <w:t xml:space="preserve">S107</w:t>
        </w:r>
      </w:hyperlink>
      <w:r>
        <w:t xml:space="preserve">].</w:t>
      </w:r>
    </w:p>
    <w:p>
      <w:pPr>
        <w:pStyle w:val="Compact"/>
        <w:numPr>
          <w:ilvl w:val="2"/>
          <w:numId w:val="1059"/>
        </w:numPr>
      </w:pPr>
      <w:r>
        <w:t xml:space="preserve">→</w:t>
      </w:r>
      <w:r>
        <w:t xml:space="preserve"> </w:t>
      </w:r>
      <w:r>
        <w:rPr>
          <w:b/>
          <w:bCs/>
        </w:rPr>
        <w:t xml:space="preserve">So who pays must be decided before new projects enter the forecasts.</w:t>
      </w:r>
      <w:r>
        <w:t xml:space="preserve"> </w:t>
      </w:r>
      <w:r>
        <w:t xml:space="preserve">A moratorium on new construction stops new projects from locking in costs under the old rules until the new rules are in place.</w:t>
      </w:r>
    </w:p>
    <w:p>
      <w:pPr>
        <w:pStyle w:val="Compact"/>
        <w:numPr>
          <w:ilvl w:val="0"/>
          <w:numId w:val="1054"/>
        </w:numPr>
      </w:pPr>
      <w:r>
        <w:rPr>
          <w:b/>
          <w:bCs/>
        </w:rPr>
        <w:t xml:space="preserve">Promises, not laws.</w:t>
      </w:r>
    </w:p>
    <w:p>
      <w:pPr>
        <w:pStyle w:val="Compact"/>
        <w:numPr>
          <w:ilvl w:val="1"/>
          <w:numId w:val="1061"/>
        </w:numPr>
      </w:pPr>
      <w:r>
        <w:t xml:space="preserve">The White House "Ratepayer Protection Pledge" (March 2026) is a "non-regulatory, voluntary commitment" by seven tech companies, with no enforcement [</w:t>
      </w:r>
      <w:hyperlink w:anchor="src-S26" w:history="1">
        <w:r>
          <w:rPr>
            <w:rStyle w:val="SourceLink"/>
          </w:rPr>
          <w:t xml:space="preserve">S26</w:t>
        </w:r>
      </w:hyperlink>
      <w:r>
        <w:t xml:space="preserve">].</w:t>
      </w:r>
    </w:p>
    <w:p>
      <w:pPr>
        <w:pStyle w:val="Compact"/>
        <w:numPr>
          <w:ilvl w:val="1"/>
          <w:numId w:val="1061"/>
        </w:numPr>
      </w:pPr>
      <w:r>
        <w:t xml:space="preserve">According to the Edison Electric Institute (EEI, the trade association of investor-owned US electric companies), only 25 states have approved a special tariff for large customers; 7 more are pending [</w:t>
      </w:r>
      <w:hyperlink w:anchor="src-S27" w:history="1">
        <w:r>
          <w:rPr>
            <w:rStyle w:val="SourceLink"/>
          </w:rPr>
          <w:t xml:space="preserve">S27</w:t>
        </w:r>
      </w:hyperlink>
      <w:r>
        <w:t xml:space="preserve">].</w:t>
      </w:r>
    </w:p>
    <w:p>
      <w:pPr>
        <w:pStyle w:val="Compact"/>
        <w:numPr>
          <w:ilvl w:val="1"/>
          <w:numId w:val="1061"/>
        </w:numPr>
      </w:pPr>
      <w:r>
        <w:rPr>
          <w:b/>
          <w:bCs/>
        </w:rPr>
        <w:t xml:space="preserve">FERC</w:t>
      </w:r>
      <w:r>
        <w:t xml:space="preserve"> </w:t>
      </w:r>
      <w:r>
        <w:t xml:space="preserve">(the Federal Energy Regulatory Commission, the federal agency that oversees interstate power lines and wholesale electricity markets):</w:t>
      </w:r>
    </w:p>
    <w:p>
      <w:pPr>
        <w:pStyle w:val="Compact"/>
        <w:numPr>
          <w:ilvl w:val="2"/>
          <w:numId w:val="1062"/>
        </w:numPr>
      </w:pPr>
      <w:r>
        <w:t xml:space="preserve">In June 2026 it found that existing rules may be "unjust and unreasonable", but it only issued orders to six grid operators, not a national rule [</w:t>
      </w:r>
      <w:hyperlink w:anchor="src-S28" w:history="1">
        <w:r>
          <w:rPr>
            <w:rStyle w:val="SourceLink"/>
          </w:rPr>
          <w:t xml:space="preserve">S28</w:t>
        </w:r>
      </w:hyperlink>
      <w:r>
        <w:t xml:space="preserve">].</w:t>
      </w:r>
    </w:p>
    <w:p>
      <w:pPr>
        <w:pStyle w:val="Compact"/>
        <w:numPr>
          <w:ilvl w:val="2"/>
          <w:numId w:val="1062"/>
        </w:numPr>
      </w:pPr>
      <w:r>
        <w:t xml:space="preserve">In August 2026 it gave PJM 90 more days. Responses are now due November 16, 2026 [</w:t>
      </w:r>
      <w:hyperlink w:anchor="src-S110" w:history="1">
        <w:r>
          <w:rPr>
            <w:rStyle w:val="SourceLink"/>
          </w:rPr>
          <w:t xml:space="preserve">S110</w:t>
        </w:r>
      </w:hyperlink>
      <w:r>
        <w:t xml:space="preserve">].</w:t>
      </w:r>
    </w:p>
    <w:p>
      <w:pPr>
        <w:pStyle w:val="Compact"/>
        <w:numPr>
          <w:ilvl w:val="0"/>
          <w:numId w:val="1054"/>
        </w:numPr>
      </w:pPr>
      <w:r>
        <w:rPr>
          <w:b/>
          <w:bCs/>
        </w:rPr>
        <w:t xml:space="preserve">Permits after the damage.</w:t>
      </w:r>
    </w:p>
    <w:p>
      <w:pPr>
        <w:pStyle w:val="Compact"/>
        <w:numPr>
          <w:ilvl w:val="1"/>
          <w:numId w:val="1063"/>
        </w:numPr>
      </w:pPr>
      <w:r>
        <w:rPr>
          <w:b/>
          <w:bCs/>
        </w:rPr>
        <w:t xml:space="preserve">Memphis:</w:t>
      </w:r>
      <w:r>
        <w:t xml:space="preserve"> </w:t>
      </w:r>
      <w:r>
        <w:t xml:space="preserve">The EPA (US Environmental Protection Agency, the federal environmental agency) clarified only in January 2026 that large gas turbines like xAI's need Clean Air Act permits. By then they had been running for well over a year [</w:t>
      </w:r>
      <w:hyperlink w:anchor="src-S29" w:history="1">
        <w:r>
          <w:rPr>
            <w:rStyle w:val="SourceLink"/>
          </w:rPr>
          <w:t xml:space="preserve">S29</w:t>
        </w:r>
      </w:hyperlink>
      <w:r>
        <w:t xml:space="preserve">].</w:t>
      </w:r>
    </w:p>
    <w:p>
      <w:pPr>
        <w:pStyle w:val="Compact"/>
        <w:numPr>
          <w:ilvl w:val="1"/>
          <w:numId w:val="1063"/>
        </w:numPr>
      </w:pPr>
      <w:r>
        <w:rPr>
          <w:b/>
          <w:bCs/>
        </w:rPr>
        <w:t xml:space="preserve">Vineland, New Jersey:</w:t>
      </w:r>
      <w:r>
        <w:t xml:space="preserve"> </w:t>
      </w:r>
      <w:r>
        <w:t xml:space="preserve">62 gas generators ran without permits. Floodlight, a nonprofit newsroom, exposed them with thermal drones. The state fined the company $1.07 million only afterwards [</w:t>
      </w:r>
      <w:hyperlink w:anchor="src-S76" w:history="1">
        <w:r>
          <w:rPr>
            <w:rStyle w:val="SourceLink"/>
          </w:rPr>
          <w:t xml:space="preserve">S76</w:t>
        </w:r>
      </w:hyperlink>
      <w:r>
        <w:t xml:space="preserve">,</w:t>
      </w:r>
      <w:r>
        <w:t xml:space="preserve"> </w:t>
      </w:r>
      <w:hyperlink w:anchor="src-S92" w:history="1">
        <w:r>
          <w:rPr>
            <w:rStyle w:val="SourceLink"/>
          </w:rPr>
          <w:t xml:space="preserve">S92</w:t>
        </w:r>
      </w:hyperlink>
      <w:r>
        <w:t xml:space="preserve">].</w:t>
      </w:r>
    </w:p>
    <w:p>
      <w:pPr>
        <w:pStyle w:val="Compact"/>
        <w:numPr>
          <w:ilvl w:val="1"/>
          <w:numId w:val="1063"/>
        </w:numPr>
      </w:pPr>
      <w:r>
        <w:rPr>
          <w:b/>
          <w:bCs/>
        </w:rPr>
        <w:t xml:space="preserve">Sterling, Virginia:</w:t>
      </w:r>
      <w:r>
        <w:t xml:space="preserve"> </w:t>
      </w:r>
      <w:r>
        <w:t xml:space="preserve">the state environmental agency (DEQ) said it had "no regulatory authority to stop" diesel generators that ran during an air-quality alert [</w:t>
      </w:r>
      <w:hyperlink w:anchor="src-S77" w:history="1">
        <w:r>
          <w:rPr>
            <w:rStyle w:val="SourceLink"/>
          </w:rPr>
          <w:t xml:space="preserve">S77</w:t>
        </w:r>
      </w:hyperlink>
      <w:r>
        <w:t xml:space="preserve">].</w:t>
      </w:r>
    </w:p>
    <w:p>
      <w:pPr>
        <w:pStyle w:val="Compact"/>
        <w:numPr>
          <w:ilvl w:val="0"/>
          <w:numId w:val="1054"/>
        </w:numPr>
      </w:pPr>
      <w:r>
        <w:rPr>
          <w:b/>
          <w:bCs/>
        </w:rPr>
        <w:t xml:space="preserve">Moratoria are a proven tool</w:t>
      </w:r>
      <w:r>
        <w:t xml:space="preserve"> </w:t>
      </w:r>
      <w:r>
        <w:t xml:space="preserve">(→ Table 1).</w:t>
      </w:r>
    </w:p>
    <w:p>
      <w:pPr>
        <w:pStyle w:val="Compact"/>
        <w:numPr>
          <w:ilvl w:val="1"/>
          <w:numId w:val="1064"/>
        </w:numPr>
      </w:pPr>
      <w:r>
        <w:t xml:space="preserve">The US Supreme Court wrote that moratoria "are used widely among land-use planners to preserve the status quo while formulating a more permanent development strategy" [</w:t>
      </w:r>
      <w:hyperlink w:anchor="src-S32" w:history="1">
        <w:r>
          <w:rPr>
            <w:rStyle w:val="SourceLink"/>
          </w:rPr>
          <w:t xml:space="preserve">S32</w:t>
        </w:r>
      </w:hyperlink>
      <w:r>
        <w:t xml:space="preserve">].</w:t>
      </w:r>
    </w:p>
    <w:p>
      <w:pPr>
        <w:pStyle w:val="Compact"/>
        <w:numPr>
          <w:ilvl w:val="1"/>
          <w:numId w:val="1064"/>
        </w:numPr>
      </w:pPr>
      <w:r>
        <w:t xml:space="preserve">Singapore paused in 2019 and reopened in 2022 with strict efficiency rules [</w:t>
      </w:r>
      <w:hyperlink w:anchor="src-S33" w:history="1">
        <w:r>
          <w:rPr>
            <w:rStyle w:val="SourceLink"/>
          </w:rPr>
          <w:t xml:space="preserve">S33</w:t>
        </w:r>
      </w:hyperlink>
      <w:r>
        <w:t xml:space="preserve">].</w:t>
      </w:r>
    </w:p>
    <w:p>
      <w:pPr>
        <w:pStyle w:val="Compact"/>
        <w:numPr>
          <w:ilvl w:val="1"/>
          <w:numId w:val="1064"/>
        </w:numPr>
      </w:pPr>
      <w:r>
        <w:t xml:space="preserve">Ireland now requires new data centers to bring their own generation or storage and 80% renewable power – after years of de facto connection limits around Dublin [</w:t>
      </w:r>
      <w:hyperlink w:anchor="src-S74" w:history="1">
        <w:r>
          <w:rPr>
            <w:rStyle w:val="SourceLink"/>
          </w:rPr>
          <w:t xml:space="preserve">S74</w:t>
        </w:r>
      </w:hyperlink>
      <w:r>
        <w:t xml:space="preserve">].</w:t>
      </w:r>
    </w:p>
    <w:p>
      <w:pPr>
        <w:pStyle w:val="Compact"/>
        <w:numPr>
          <w:ilvl w:val="1"/>
          <w:numId w:val="1064"/>
        </w:numPr>
      </w:pPr>
      <w:r>
        <w:t xml:space="preserve">Indianapolis' City-County Council voted to pause until the end of 2027 to write zoning rules [</w:t>
      </w:r>
      <w:hyperlink w:anchor="src-S34" w:history="1">
        <w:r>
          <w:rPr>
            <w:rStyle w:val="SourceLink"/>
          </w:rPr>
          <w:t xml:space="preserve">S34</w:t>
        </w:r>
      </w:hyperlink>
      <w:r>
        <w:t xml:space="preserve">].</w:t>
      </w:r>
    </w:p>
    <w:p>
      <w:pPr>
        <w:pStyle w:val="Compact"/>
        <w:numPr>
          <w:ilvl w:val="1"/>
          <w:numId w:val="1064"/>
        </w:numPr>
      </w:pPr>
      <w:r>
        <w:t xml:space="preserve">Even Maine's governor, who vetoed a state moratorium, said she supports a temporary moratorium in principle [</w:t>
      </w:r>
      <w:hyperlink w:anchor="src-S73" w:history="1">
        <w:r>
          <w:rPr>
            <w:rStyle w:val="SourceLink"/>
          </w:rPr>
          <w:t xml:space="preserve">S73</w:t>
        </w:r>
      </w:hyperlink>
      <w:r>
        <w:t xml:space="preserve">].</w:t>
      </w:r>
    </w:p>
    <w:p>
      <w:pPr>
        <w:pStyle w:val="Compact"/>
        <w:numPr>
          <w:ilvl w:val="0"/>
          <w:numId w:val="1054"/>
        </w:numPr>
      </w:pPr>
      <w:r>
        <w:rPr>
          <w:b/>
          <w:bCs/>
        </w:rPr>
        <w:t xml:space="preserve">The patchwork problem.</w:t>
      </w:r>
    </w:p>
    <w:p>
      <w:pPr>
        <w:pStyle w:val="Compact"/>
        <w:numPr>
          <w:ilvl w:val="1"/>
          <w:numId w:val="1065"/>
        </w:numPr>
      </w:pPr>
      <w:r>
        <w:t xml:space="preserve">According to SemiAnalysis (a research firm that analyzes chips and AI infrastructure), there are more than 300 local moratoria and bans, many with loopholes [</w:t>
      </w:r>
      <w:hyperlink w:anchor="src-S35" w:history="1">
        <w:r>
          <w:rPr>
            <w:rStyle w:val="SourceLink"/>
          </w:rPr>
          <w:t xml:space="preserve">S35</w:t>
        </w:r>
      </w:hyperlink>
      <w:r>
        <w:t xml:space="preserve">] (→ F2).</w:t>
      </w:r>
    </w:p>
    <w:p>
      <w:pPr>
        <w:pStyle w:val="Compact"/>
        <w:numPr>
          <w:ilvl w:val="1"/>
          <w:numId w:val="1065"/>
        </w:numPr>
      </w:pPr>
      <w:r>
        <w:rPr>
          <w:b/>
          <w:bCs/>
        </w:rPr>
        <w:t xml:space="preserve">Costs cross state lines:</w:t>
      </w:r>
    </w:p>
    <w:p>
      <w:pPr>
        <w:pStyle w:val="Compact"/>
        <w:numPr>
          <w:ilvl w:val="2"/>
          <w:numId w:val="1066"/>
        </w:numPr>
      </w:pPr>
      <w:r>
        <w:t xml:space="preserve">A new 70-mile, 500 kV high-voltage line is planned through Maryland farmland to supply data centers in Northern Virginia [</w:t>
      </w:r>
      <w:hyperlink w:anchor="src-S75" w:history="1">
        <w:r>
          <w:rPr>
            <w:rStyle w:val="SourceLink"/>
          </w:rPr>
          <w:t xml:space="preserve">S75</w:t>
        </w:r>
      </w:hyperlink>
      <w:r>
        <w:t xml:space="preserve">].</w:t>
      </w:r>
    </w:p>
    <w:p>
      <w:pPr>
        <w:pStyle w:val="Compact"/>
        <w:numPr>
          <w:ilvl w:val="2"/>
          <w:numId w:val="1066"/>
        </w:numPr>
      </w:pPr>
      <w:r>
        <w:t xml:space="preserve">Maryland's Office of People's Counsel (the state agency that represents residential utility customers) has filed a complaint at FERC. It says PJM's rules will make Maryland customers pay about $1.6 billion over ten years for power lines driven largely by data centers in other states [</w:t>
      </w:r>
      <w:hyperlink w:anchor="src-S109" w:history="1">
        <w:r>
          <w:rPr>
            <w:rStyle w:val="SourceLink"/>
          </w:rPr>
          <w:t xml:space="preserve">S109</w:t>
        </w:r>
      </w:hyperlink>
      <w:r>
        <w:t xml:space="preserve">].</w:t>
      </w:r>
    </w:p>
    <w:p>
      <w:pPr>
        <w:pStyle w:val="Compact"/>
        <w:numPr>
          <w:ilvl w:val="0"/>
          <w:numId w:val="1000"/>
        </w:numPr>
      </w:pPr>
      <w:hyperlink w:anchor="p5-further" w:history="1">
        <w:r>
          <w:rPr>
            <w:rStyle w:val="NavLinkChar"/>
          </w:rPr>
          <w:t xml:space="preserve">(→ see Further explanation)</w:t>
        </w:r>
      </w:hyperlink>
    </w:p>
    <w:p>
      <w:pPr>
        <w:pStyle w:val="Caption"/>
      </w:pPr>
      <w:r>
        <w:rPr>
          <w:b/>
          <w:bCs/>
        </w:rPr>
        <w:t xml:space="preserve">Table 1 – Moratoria as a planning tool</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794"/>
        <w:gridCol w:w="3098"/>
        <w:gridCol w:w="3297"/>
        <w:gridCol w:w="1223"/>
      </w:tblGrid>
      <w:tr>
        <w:trPr>
          <w:tblHeader w:val="true"/>
        </w:trPr>
        <w:tc>
          <w:tcPr>
            <w:tcW w:w="1794" w:type="dxa"/>
            <w:shd w:val="clear" w:color="auto" w:fill="DCE6F2"/>
          </w:tcPr>
          <w:p>
            <w:pPr>
              <w:pStyle w:val="TableText"/>
              <w:jc w:val="left"/>
            </w:pPr>
            <w:r>
              <w:rPr>
                <w:b/>
              </w:rPr>
              <w:t xml:space="preserve">Place</w:t>
            </w:r>
          </w:p>
        </w:tc>
        <w:tc>
          <w:tcPr>
            <w:tcW w:w="3098" w:type="dxa"/>
            <w:shd w:val="clear" w:color="auto" w:fill="DCE6F2"/>
          </w:tcPr>
          <w:p>
            <w:pPr>
              <w:pStyle w:val="TableText"/>
              <w:jc w:val="left"/>
            </w:pPr>
            <w:r>
              <w:rPr>
                <w:b/>
              </w:rPr>
              <w:t xml:space="preserve">What was paused</w:t>
            </w:r>
          </w:p>
        </w:tc>
        <w:tc>
          <w:tcPr>
            <w:tcW w:w="3297" w:type="dxa"/>
            <w:shd w:val="clear" w:color="auto" w:fill="DCE6F2"/>
          </w:tcPr>
          <w:p>
            <w:pPr>
              <w:pStyle w:val="TableText"/>
              <w:jc w:val="left"/>
            </w:pPr>
            <w:r>
              <w:rPr>
                <w:b/>
              </w:rPr>
              <w:t xml:space="preserve">What came out of it</w:t>
            </w:r>
          </w:p>
        </w:tc>
        <w:tc>
          <w:tcPr>
            <w:tcW w:w="1223" w:type="dxa"/>
            <w:shd w:val="clear" w:color="auto" w:fill="DCE6F2"/>
          </w:tcPr>
          <w:p>
            <w:pPr>
              <w:pStyle w:val="TableText"/>
              <w:jc w:val="left"/>
            </w:pPr>
            <w:r>
              <w:rPr>
                <w:b/>
              </w:rPr>
              <w:t xml:space="preserve">Source</w:t>
            </w:r>
          </w:p>
        </w:tc>
      </w:tr>
      <w:tr>
        <w:tc>
          <w:tcPr>
            <w:tcW w:w="1794" w:type="dxa"/>
          </w:tcPr>
          <w:p>
            <w:pPr>
              <w:pStyle w:val="TableText"/>
              <w:jc w:val="left"/>
            </w:pPr>
            <w:r>
              <w:t xml:space="preserve">Lake Tahoe (California/Nevada)</w:t>
            </w:r>
          </w:p>
        </w:tc>
        <w:tc>
          <w:tcPr>
            <w:tcW w:w="3098" w:type="dxa"/>
          </w:tcPr>
          <w:p>
            <w:pPr>
              <w:pStyle w:val="TableText"/>
              <w:jc w:val="left"/>
            </w:pPr>
            <w:r>
              <w:t xml:space="preserve">Construction, for 32 months (1981–1984), while a regional land-use plan was written</w:t>
            </w:r>
          </w:p>
        </w:tc>
        <w:tc>
          <w:tcPr>
            <w:tcW w:w="3297" w:type="dxa"/>
          </w:tcPr>
          <w:p>
            <w:pPr>
              <w:pStyle w:val="TableText"/>
              <w:jc w:val="left"/>
            </w:pPr>
            <w:r>
              <w:t xml:space="preserve">US Supreme Court (2002): moratoria like this are a normal planning tool, not automatically a taking</w:t>
            </w:r>
          </w:p>
        </w:tc>
        <w:tc>
          <w:tcPr>
            <w:tcW w:w="1223" w:type="dxa"/>
          </w:tcPr>
          <w:p>
            <w:pPr>
              <w:pStyle w:val="TableText"/>
              <w:jc w:val="left"/>
            </w:pPr>
            <w:r>
              <w:t xml:space="preserve">[</w:t>
            </w:r>
            <w:hyperlink w:anchor="src-S32" w:history="1">
              <w:r>
                <w:rPr>
                  <w:rStyle w:val="SourceLink"/>
                </w:rPr>
                <w:t xml:space="preserve">S32</w:t>
              </w:r>
            </w:hyperlink>
            <w:r>
              <w:t xml:space="preserve">]</w:t>
            </w:r>
          </w:p>
        </w:tc>
      </w:tr>
      <w:tr>
        <w:tc>
          <w:tcPr>
            <w:tcW w:w="1794" w:type="dxa"/>
          </w:tcPr>
          <w:p>
            <w:pPr>
              <w:pStyle w:val="TableText"/>
              <w:jc w:val="left"/>
            </w:pPr>
            <w:r>
              <w:t xml:space="preserve">Singapore</w:t>
            </w:r>
          </w:p>
        </w:tc>
        <w:tc>
          <w:tcPr>
            <w:tcW w:w="3098" w:type="dxa"/>
          </w:tcPr>
          <w:p>
            <w:pPr>
              <w:pStyle w:val="TableText"/>
              <w:jc w:val="left"/>
            </w:pPr>
            <w:r>
              <w:t xml:space="preserve">New data centers (2019–2022)</w:t>
            </w:r>
          </w:p>
        </w:tc>
        <w:tc>
          <w:tcPr>
            <w:tcW w:w="3297" w:type="dxa"/>
          </w:tcPr>
          <w:p>
            <w:pPr>
              <w:pStyle w:val="TableText"/>
              <w:jc w:val="left"/>
            </w:pPr>
            <w:r>
              <w:t xml:space="preserve">Reopened with strict efficiency rules (2022); since 2025 at least 50% green energy</w:t>
            </w:r>
          </w:p>
        </w:tc>
        <w:tc>
          <w:tcPr>
            <w:tcW w:w="1223" w:type="dxa"/>
          </w:tcPr>
          <w:p>
            <w:pPr>
              <w:pStyle w:val="TableText"/>
              <w:jc w:val="left"/>
            </w:pPr>
            <w:r>
              <w:t xml:space="preserve">[</w:t>
            </w:r>
            <w:hyperlink w:anchor="src-S33" w:history="1">
              <w:r>
                <w:rPr>
                  <w:rStyle w:val="SourceLink"/>
                </w:rPr>
                <w:t xml:space="preserve">S33</w:t>
              </w:r>
            </w:hyperlink>
            <w:r>
              <w:t xml:space="preserve">]</w:t>
            </w:r>
          </w:p>
        </w:tc>
      </w:tr>
      <w:tr>
        <w:tc>
          <w:tcPr>
            <w:tcW w:w="1794" w:type="dxa"/>
          </w:tcPr>
          <w:p>
            <w:pPr>
              <w:pStyle w:val="TableText"/>
              <w:jc w:val="left"/>
            </w:pPr>
            <w:r>
              <w:t xml:space="preserve">Ireland (Dublin area)</w:t>
            </w:r>
          </w:p>
        </w:tc>
        <w:tc>
          <w:tcPr>
            <w:tcW w:w="3098" w:type="dxa"/>
          </w:tcPr>
          <w:p>
            <w:pPr>
              <w:pStyle w:val="TableText"/>
              <w:jc w:val="left"/>
            </w:pPr>
            <w:r>
              <w:t xml:space="preserve">Grid connections for data centers, de facto limited from 2021</w:t>
            </w:r>
          </w:p>
        </w:tc>
        <w:tc>
          <w:tcPr>
            <w:tcW w:w="3297" w:type="dxa"/>
          </w:tcPr>
          <w:p>
            <w:pPr>
              <w:pStyle w:val="TableText"/>
              <w:jc w:val="left"/>
            </w:pPr>
            <w:r>
              <w:t xml:space="preserve">Since December 2025: own generation or storage required, plus 80% additional renewable power</w:t>
            </w:r>
          </w:p>
        </w:tc>
        <w:tc>
          <w:tcPr>
            <w:tcW w:w="1223" w:type="dxa"/>
          </w:tcPr>
          <w:p>
            <w:pPr>
              <w:pStyle w:val="TableText"/>
              <w:jc w:val="left"/>
            </w:pPr>
            <w:r>
              <w:t xml:space="preserve">[</w:t>
            </w:r>
            <w:hyperlink w:anchor="src-S74" w:history="1">
              <w:r>
                <w:rPr>
                  <w:rStyle w:val="SourceLink"/>
                </w:rPr>
                <w:t xml:space="preserve">S74</w:t>
              </w:r>
            </w:hyperlink>
            <w:r>
              <w:t xml:space="preserve">]</w:t>
            </w:r>
          </w:p>
        </w:tc>
      </w:tr>
      <w:tr>
        <w:tc>
          <w:tcPr>
            <w:tcW w:w="1794" w:type="dxa"/>
          </w:tcPr>
          <w:p>
            <w:pPr>
              <w:pStyle w:val="TableText"/>
              <w:jc w:val="left"/>
            </w:pPr>
            <w:r>
              <w:t xml:space="preserve">Indianapolis, Indiana</w:t>
            </w:r>
          </w:p>
        </w:tc>
        <w:tc>
          <w:tcPr>
            <w:tcW w:w="3098" w:type="dxa"/>
          </w:tcPr>
          <w:p>
            <w:pPr>
              <w:pStyle w:val="TableText"/>
              <w:jc w:val="left"/>
            </w:pPr>
            <w:r>
              <w:t xml:space="preserve">New data center approvals until December 31, 2027 (council vote; ⚠ final approval pending)</w:t>
            </w:r>
          </w:p>
        </w:tc>
        <w:tc>
          <w:tcPr>
            <w:tcW w:w="3297" w:type="dxa"/>
          </w:tcPr>
          <w:p>
            <w:pPr>
              <w:pStyle w:val="TableText"/>
              <w:jc w:val="left"/>
            </w:pPr>
            <w:r>
              <w:t xml:space="preserve">Time to write zoning rules</w:t>
            </w:r>
          </w:p>
        </w:tc>
        <w:tc>
          <w:tcPr>
            <w:tcW w:w="1223" w:type="dxa"/>
          </w:tcPr>
          <w:p>
            <w:pPr>
              <w:pStyle w:val="TableText"/>
              <w:jc w:val="left"/>
            </w:pPr>
            <w:r>
              <w:t xml:space="preserve">[</w:t>
            </w:r>
            <w:hyperlink w:anchor="src-S34" w:history="1">
              <w:r>
                <w:rPr>
                  <w:rStyle w:val="SourceLink"/>
                </w:rPr>
                <w:t xml:space="preserve">S34</w:t>
              </w:r>
            </w:hyperlink>
            <w:r>
              <w:t xml:space="preserve">]</w:t>
            </w:r>
          </w:p>
        </w:tc>
      </w:tr>
      <w:tr>
        <w:tc>
          <w:tcPr>
            <w:tcW w:w="1794" w:type="dxa"/>
          </w:tcPr>
          <w:p>
            <w:pPr>
              <w:pStyle w:val="TableText"/>
              <w:jc w:val="left"/>
            </w:pPr>
            <w:r>
              <w:t xml:space="preserve">Maine</w:t>
            </w:r>
          </w:p>
        </w:tc>
        <w:tc>
          <w:tcPr>
            <w:tcW w:w="3098" w:type="dxa"/>
          </w:tcPr>
          <w:p>
            <w:pPr>
              <w:pStyle w:val="TableText"/>
              <w:jc w:val="left"/>
            </w:pPr>
            <w:r>
              <w:t xml:space="preserve">State moratorium for 20 MW and more, passed and then vetoed (April 2026)</w:t>
            </w:r>
          </w:p>
        </w:tc>
        <w:tc>
          <w:tcPr>
            <w:tcW w:w="3297" w:type="dxa"/>
          </w:tcPr>
          <w:p>
            <w:pPr>
              <w:pStyle w:val="TableText"/>
              <w:jc w:val="left"/>
            </w:pPr>
            <w:r>
              <w:t xml:space="preserve">Governor supports a temporary moratorium in principle; state tax breaks for data centers ended</w:t>
            </w:r>
          </w:p>
        </w:tc>
        <w:tc>
          <w:tcPr>
            <w:tcW w:w="1223" w:type="dxa"/>
          </w:tcPr>
          <w:p>
            <w:pPr>
              <w:pStyle w:val="TableText"/>
              <w:jc w:val="left"/>
            </w:pPr>
            <w:r>
              <w:t xml:space="preserve">[</w:t>
            </w:r>
            <w:hyperlink w:anchor="src-S73" w:history="1">
              <w:r>
                <w:rPr>
                  <w:rStyle w:val="SourceLink"/>
                </w:rPr>
                <w:t xml:space="preserve">S73</w:t>
              </w:r>
            </w:hyperlink>
            <w:r>
              <w:t xml:space="preserve">]</w:t>
            </w:r>
          </w:p>
        </w:tc>
      </w:tr>
    </w:tbl>
    <w:p>
      <w:pPr>
        <w:pStyle w:val="Caption"/>
        <w:spacing w:before="200"/>
      </w:pPr>
      <w:r>
        <w:rPr>
          <w:b/>
          <w:bCs/>
        </w:rPr>
        <w:t xml:space="preserve">Table 2 – Our three laws: when the moratorium ends</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1904"/>
        <w:gridCol w:w="3485"/>
        <w:gridCol w:w="2799"/>
        <w:gridCol w:w="1224"/>
      </w:tblGrid>
      <w:tr>
        <w:trPr>
          <w:tblHeader w:val="true"/>
        </w:trPr>
        <w:tc>
          <w:tcPr>
            <w:tcW w:w="1904" w:type="dxa"/>
            <w:shd w:val="clear" w:color="auto" w:fill="DCE6F2"/>
          </w:tcPr>
          <w:p>
            <w:pPr>
              <w:pStyle w:val="TableText"/>
              <w:jc w:val="left"/>
            </w:pPr>
            <w:r>
              <w:rPr>
                <w:b/>
              </w:rPr>
              <w:t xml:space="preserve">Law</w:t>
            </w:r>
          </w:p>
        </w:tc>
        <w:tc>
          <w:tcPr>
            <w:tcW w:w="3485" w:type="dxa"/>
            <w:shd w:val="clear" w:color="auto" w:fill="DCE6F2"/>
          </w:tcPr>
          <w:p>
            <w:pPr>
              <w:pStyle w:val="TableText"/>
              <w:jc w:val="left"/>
            </w:pPr>
            <w:r>
              <w:rPr>
                <w:b/>
              </w:rPr>
              <w:t xml:space="preserve">What is missing today</w:t>
            </w:r>
          </w:p>
        </w:tc>
        <w:tc>
          <w:tcPr>
            <w:tcW w:w="2799" w:type="dxa"/>
            <w:shd w:val="clear" w:color="auto" w:fill="DCE6F2"/>
          </w:tcPr>
          <w:p>
            <w:pPr>
              <w:pStyle w:val="TableText"/>
              <w:jc w:val="left"/>
            </w:pPr>
            <w:r>
              <w:rPr>
                <w:b/>
              </w:rPr>
              <w:t xml:space="preserve">When it is fulfilled</w:t>
            </w:r>
          </w:p>
        </w:tc>
        <w:tc>
          <w:tcPr>
            <w:tcW w:w="1224" w:type="dxa"/>
            <w:shd w:val="clear" w:color="auto" w:fill="DCE6F2"/>
          </w:tcPr>
          <w:p>
            <w:pPr>
              <w:pStyle w:val="TableText"/>
              <w:jc w:val="left"/>
            </w:pPr>
            <w:r>
              <w:rPr>
                <w:b/>
              </w:rPr>
              <w:t xml:space="preserve">Source</w:t>
            </w:r>
          </w:p>
        </w:tc>
      </w:tr>
      <w:tr>
        <w:tc>
          <w:tcPr>
            <w:tcW w:w="1904" w:type="dxa"/>
          </w:tcPr>
          <w:p>
            <w:pPr>
              <w:pStyle w:val="TableText"/>
              <w:jc w:val="left"/>
            </w:pPr>
            <w:r>
              <w:t xml:space="preserve">1. Whoever causes the costs pays them</w:t>
            </w:r>
          </w:p>
        </w:tc>
        <w:tc>
          <w:tcPr>
            <w:tcW w:w="3485" w:type="dxa"/>
          </w:tcPr>
          <w:p>
            <w:pPr>
              <w:pStyle w:val="TableText"/>
              <w:jc w:val="left"/>
            </w:pPr>
            <w:r>
              <w:t xml:space="preserve">Voluntary pledge; only 25 states with large-customer tariffs; no final FERC rule; FERC denied the monitor's request that PJM connect large data centers only when it can serve them reliably</w:t>
            </w:r>
          </w:p>
        </w:tc>
        <w:tc>
          <w:tcPr>
            <w:tcW w:w="2799" w:type="dxa"/>
          </w:tcPr>
          <w:p>
            <w:pPr>
              <w:pStyle w:val="TableText"/>
              <w:jc w:val="left"/>
            </w:pPr>
            <w:r>
              <w:t xml:space="preserve">A binding federal rule: large data centers pay the full grid and capacity costs they cause, or bring their own new power</w:t>
            </w:r>
          </w:p>
        </w:tc>
        <w:tc>
          <w:tcPr>
            <w:tcW w:w="1224" w:type="dxa"/>
          </w:tcPr>
          <w:p>
            <w:pPr>
              <w:pStyle w:val="TableText"/>
              <w:jc w:val="left"/>
            </w:pPr>
            <w:r>
              <w:t xml:space="preserve">[</w:t>
            </w:r>
            <w:hyperlink w:anchor="src-S26" w:history="1">
              <w:r>
                <w:rPr>
                  <w:rStyle w:val="SourceLink"/>
                </w:rPr>
                <w:t xml:space="preserve">S26</w:t>
              </w:r>
            </w:hyperlink>
            <w:r>
              <w:t xml:space="preserve">,</w:t>
            </w:r>
            <w:r>
              <w:t xml:space="preserve"> </w:t>
            </w:r>
            <w:hyperlink w:anchor="src-S27" w:history="1">
              <w:r>
                <w:rPr>
                  <w:rStyle w:val="SourceLink"/>
                </w:rPr>
                <w:t xml:space="preserve">S27</w:t>
              </w:r>
            </w:hyperlink>
            <w:r>
              <w:t xml:space="preserve">,</w:t>
            </w:r>
            <w:r>
              <w:t xml:space="preserve"> </w:t>
            </w:r>
            <w:hyperlink w:anchor="src-S28" w:history="1">
              <w:r>
                <w:rPr>
                  <w:rStyle w:val="SourceLink"/>
                </w:rPr>
                <w:t xml:space="preserve">S28</w:t>
              </w:r>
            </w:hyperlink>
            <w:r>
              <w:t xml:space="preserve">,</w:t>
            </w:r>
            <w:r>
              <w:t xml:space="preserve"> </w:t>
            </w:r>
            <w:hyperlink w:anchor="src-S42" w:history="1">
              <w:r>
                <w:rPr>
                  <w:rStyle w:val="SourceLink"/>
                </w:rPr>
                <w:t xml:space="preserve">S42</w:t>
              </w:r>
            </w:hyperlink>
            <w:r>
              <w:t xml:space="preserve">,</w:t>
            </w:r>
            <w:r>
              <w:t xml:space="preserve"> </w:t>
            </w:r>
            <w:hyperlink w:anchor="src-S108" w:history="1">
              <w:r>
                <w:rPr>
                  <w:rStyle w:val="SourceLink"/>
                </w:rPr>
                <w:t xml:space="preserve">S108</w:t>
              </w:r>
            </w:hyperlink>
            <w:r>
              <w:t xml:space="preserve">]</w:t>
            </w:r>
          </w:p>
        </w:tc>
      </w:tr>
      <w:tr>
        <w:tc>
          <w:tcPr>
            <w:tcW w:w="1904" w:type="dxa"/>
          </w:tcPr>
          <w:p>
            <w:pPr>
              <w:pStyle w:val="TableText"/>
              <w:jc w:val="left"/>
            </w:pPr>
            <w:r>
              <w:t xml:space="preserve">2. Communities learn the truth before construction begins</w:t>
            </w:r>
          </w:p>
        </w:tc>
        <w:tc>
          <w:tcPr>
            <w:tcW w:w="3485" w:type="dxa"/>
          </w:tcPr>
          <w:p>
            <w:pPr>
              <w:pStyle w:val="TableText"/>
              <w:jc w:val="left"/>
            </w:pPr>
            <w:r>
              <w:t xml:space="preserve">No federal reporting duty (bill S. 4213 stuck in committee); only New Jersey and California require reporting; 54 NDAs signed by officials</w:t>
            </w:r>
          </w:p>
        </w:tc>
        <w:tc>
          <w:tcPr>
            <w:tcW w:w="2799" w:type="dxa"/>
          </w:tcPr>
          <w:p>
            <w:pPr>
              <w:pStyle w:val="TableText"/>
              <w:jc w:val="left"/>
            </w:pPr>
            <w:r>
              <w:t xml:space="preserve">Federal duty to report power and water use; no secrecy agreements before public approval</w:t>
            </w:r>
          </w:p>
        </w:tc>
        <w:tc>
          <w:tcPr>
            <w:tcW w:w="1224" w:type="dxa"/>
          </w:tcPr>
          <w:p>
            <w:pPr>
              <w:pStyle w:val="TableText"/>
              <w:jc w:val="left"/>
            </w:pPr>
            <w:r>
              <w:t xml:space="preserve">[</w:t>
            </w:r>
            <w:hyperlink w:anchor="src-S30" w:history="1">
              <w:r>
                <w:rPr>
                  <w:rStyle w:val="SourceLink"/>
                </w:rPr>
                <w:t xml:space="preserve">S30</w:t>
              </w:r>
            </w:hyperlink>
            <w:r>
              <w:t xml:space="preserve">,</w:t>
            </w:r>
            <w:r>
              <w:t xml:space="preserve"> </w:t>
            </w:r>
            <w:hyperlink w:anchor="src-S31" w:history="1">
              <w:r>
                <w:rPr>
                  <w:rStyle w:val="SourceLink"/>
                </w:rPr>
                <w:t xml:space="preserve">S31</w:t>
              </w:r>
            </w:hyperlink>
            <w:r>
              <w:t xml:space="preserve">]</w:t>
            </w:r>
          </w:p>
        </w:tc>
      </w:tr>
      <w:tr>
        <w:tc>
          <w:tcPr>
            <w:tcW w:w="1904" w:type="dxa"/>
          </w:tcPr>
          <w:p>
            <w:pPr>
              <w:pStyle w:val="TableText"/>
              <w:jc w:val="left"/>
            </w:pPr>
            <w:r>
              <w:t xml:space="preserve">3. Permits come before turbines</w:t>
            </w:r>
          </w:p>
        </w:tc>
        <w:tc>
          <w:tcPr>
            <w:tcW w:w="3485" w:type="dxa"/>
          </w:tcPr>
          <w:p>
            <w:pPr>
              <w:pStyle w:val="TableText"/>
              <w:jc w:val="left"/>
            </w:pPr>
            <w:r>
              <w:t xml:space="preserve">EPA clarified the turbine rule only in January 2026; 62 unpermitted generators in New Jersey; Virginia's regulator had "no regulatory authority to stop"</w:t>
            </w:r>
          </w:p>
        </w:tc>
        <w:tc>
          <w:tcPr>
            <w:tcW w:w="2799" w:type="dxa"/>
          </w:tcPr>
          <w:p>
            <w:pPr>
              <w:pStyle w:val="TableText"/>
              <w:jc w:val="left"/>
            </w:pPr>
            <w:r>
              <w:t xml:space="preserve">On-site power plants need their air permit before they run, and regulators can stop them</w:t>
            </w:r>
          </w:p>
        </w:tc>
        <w:tc>
          <w:tcPr>
            <w:tcW w:w="1224" w:type="dxa"/>
          </w:tcPr>
          <w:p>
            <w:pPr>
              <w:pStyle w:val="TableText"/>
              <w:jc w:val="left"/>
            </w:pPr>
            <w:r>
              <w:t xml:space="preserve">[</w:t>
            </w:r>
            <w:hyperlink w:anchor="src-S29" w:history="1">
              <w:r>
                <w:rPr>
                  <w:rStyle w:val="SourceLink"/>
                </w:rPr>
                <w:t xml:space="preserve">S29</w:t>
              </w:r>
            </w:hyperlink>
            <w:r>
              <w:t xml:space="preserve">,</w:t>
            </w:r>
            <w:r>
              <w:t xml:space="preserve"> </w:t>
            </w:r>
            <w:hyperlink w:anchor="src-S76" w:history="1">
              <w:r>
                <w:rPr>
                  <w:rStyle w:val="SourceLink"/>
                </w:rPr>
                <w:t xml:space="preserve">S76</w:t>
              </w:r>
            </w:hyperlink>
            <w:r>
              <w:t xml:space="preserve">,</w:t>
            </w:r>
            <w:r>
              <w:t xml:space="preserve"> </w:t>
            </w:r>
            <w:hyperlink w:anchor="src-S77" w:history="1">
              <w:r>
                <w:rPr>
                  <w:rStyle w:val="SourceLink"/>
                </w:rPr>
                <w:t xml:space="preserve">S77</w:t>
              </w:r>
            </w:hyperlink>
            <w:r>
              <w:t xml:space="preserve">]</w:t>
            </w:r>
          </w:p>
        </w:tc>
      </w:tr>
    </w:tbl>
    <w:p>
      <w:pPr>
        <w:pStyle w:val="BodyText"/>
        <w:spacing w:before="200"/>
      </w:pPr>
      <w:r>
        <w:rPr>
          <w:b/>
          <w:bCs/>
        </w:rPr>
        <w:t xml:space="preserve">Judge Impact:</w:t>
      </w:r>
      <w:r>
        <w:t xml:space="preserve"> </w:t>
      </w:r>
      <w:r>
        <w:t xml:space="preserve">This is about fairness (who pays), democracy (who decides and who is told) and avoiding mistakes we cannot undo. Every auction under the old rules locks in another year of costs – $6.3 billion in July 2026 alone [</w:t>
      </w:r>
      <w:hyperlink w:anchor="src-S107" w:history="1">
        <w:r>
          <w:rPr>
            <w:rStyle w:val="SourceLink"/>
          </w:rPr>
          <w:t xml:space="preserve">S107</w:t>
        </w:r>
      </w:hyperlink>
      <w:r>
        <w:t xml:space="preserve">]. A short pause now is cheaper than decades of locked-in costs.</w:t>
      </w:r>
    </w:p>
    <w:bookmarkStart w:id="114" w:name="p5-further"/>
    <w:p>
      <w:pPr>
        <w:pStyle w:val="Heading4"/>
      </w:pPr>
      <w:r>
        <w:t xml:space="preserve">Further explanation (Warrant)</w:t>
      </w:r>
    </w:p>
    <w:p>
      <w:pPr>
        <w:pStyle w:val="FirstParagraph"/>
      </w:pPr>
      <w:r>
        <w:t xml:space="preserve">You write the fire code before you build the house, not after it burns. For hyperscale data centers, that means:</w:t>
      </w:r>
    </w:p>
    <w:p>
      <w:pPr>
        <w:pStyle w:val="Compact"/>
        <w:numPr>
          <w:ilvl w:val="0"/>
          <w:numId w:val="1067"/>
        </w:numPr>
      </w:pPr>
      <w:r>
        <w:rPr>
          <w:b/>
          <w:bCs/>
        </w:rPr>
        <w:t xml:space="preserve">Why the costs lock in:</w:t>
      </w:r>
    </w:p>
    <w:p>
      <w:pPr>
        <w:pStyle w:val="Compact"/>
        <w:numPr>
          <w:ilvl w:val="1"/>
          <w:numId w:val="1068"/>
        </w:numPr>
      </w:pPr>
      <w:r>
        <w:t xml:space="preserve">Capacity is bought in advance. Once an auction has cleared, the price for that year is fixed. That is why the official market monitor calls the impact "irreversible" [</w:t>
      </w:r>
      <w:hyperlink w:anchor="src-S43" w:history="1">
        <w:r>
          <w:rPr>
            <w:rStyle w:val="SourceLink"/>
          </w:rPr>
          <w:t xml:space="preserve">S43</w:t>
        </w:r>
      </w:hyperlink>
      <w:r>
        <w:t xml:space="preserve">]. After the July 2026 auction, the costs are fixed through May 2029 [</w:t>
      </w:r>
      <w:hyperlink w:anchor="src-S107" w:history="1">
        <w:r>
          <w:rPr>
            <w:rStyle w:val="SourceLink"/>
          </w:rPr>
          <w:t xml:space="preserve">S107</w:t>
        </w:r>
      </w:hyperlink>
      <w:r>
        <w:t xml:space="preserve">].</w:t>
      </w:r>
    </w:p>
    <w:p>
      <w:pPr>
        <w:pStyle w:val="Compact"/>
        <w:numPr>
          <w:ilvl w:val="1"/>
          <w:numId w:val="1068"/>
        </w:numPr>
      </w:pPr>
      <w:r>
        <w:t xml:space="preserve">Power plants and power lines built for a campus stay for decades, like the planned 500 kV line through Maryland [</w:t>
      </w:r>
      <w:hyperlink w:anchor="src-S75" w:history="1">
        <w:r>
          <w:rPr>
            <w:rStyle w:val="SourceLink"/>
          </w:rPr>
          <w:t xml:space="preserve">S75</w:t>
        </w:r>
      </w:hyperlink>
      <w:r>
        <w:t xml:space="preserve">] or the gas plants from P3.</w:t>
      </w:r>
    </w:p>
    <w:p>
      <w:pPr>
        <w:pStyle w:val="Compact"/>
        <w:numPr>
          <w:ilvl w:val="0"/>
          <w:numId w:val="1067"/>
        </w:numPr>
      </w:pPr>
      <w:r>
        <w:rPr>
          <w:b/>
          <w:bCs/>
        </w:rPr>
        <w:t xml:space="preserve">Why a moratorium, and not just new laws:</w:t>
      </w:r>
    </w:p>
    <w:p>
      <w:pPr>
        <w:pStyle w:val="Compact"/>
        <w:numPr>
          <w:ilvl w:val="1"/>
          <w:numId w:val="1069"/>
        </w:numPr>
      </w:pPr>
      <w:r>
        <w:t xml:space="preserve">Laws take time. FERC has been working on rules for large loads since October 2025 and still has none [</w:t>
      </w:r>
      <w:hyperlink w:anchor="src-S28" w:history="1">
        <w:r>
          <w:rPr>
            <w:rStyle w:val="SourceLink"/>
          </w:rPr>
          <w:t xml:space="preserve">S28</w:t>
        </w:r>
      </w:hyperlink>
      <w:r>
        <w:t xml:space="preserve">,</w:t>
      </w:r>
      <w:r>
        <w:t xml:space="preserve"> </w:t>
      </w:r>
      <w:hyperlink w:anchor="src-S110" w:history="1">
        <w:r>
          <w:rPr>
            <w:rStyle w:val="SourceLink"/>
          </w:rPr>
          <w:t xml:space="preserve">S110</w:t>
        </w:r>
      </w:hyperlink>
      <w:r>
        <w:t xml:space="preserve">].</w:t>
      </w:r>
    </w:p>
    <w:p>
      <w:pPr>
        <w:pStyle w:val="Compact"/>
        <w:numPr>
          <w:ilvl w:val="1"/>
          <w:numId w:val="1069"/>
        </w:numPr>
      </w:pPr>
      <w:r>
        <w:t xml:space="preserve">In the meantime, every new project enters the forecasts under the old rules, and every auction locks in another year of costs [</w:t>
      </w:r>
      <w:hyperlink w:anchor="src-S107" w:history="1">
        <w:r>
          <w:rPr>
            <w:rStyle w:val="SourceLink"/>
          </w:rPr>
          <w:t xml:space="preserve">S107</w:t>
        </w:r>
      </w:hyperlink>
      <w:r>
        <w:t xml:space="preserve">].</w:t>
      </w:r>
    </w:p>
    <w:p>
      <w:pPr>
        <w:pStyle w:val="Compact"/>
        <w:numPr>
          <w:ilvl w:val="1"/>
          <w:numId w:val="1069"/>
        </w:numPr>
      </w:pPr>
      <w:r>
        <w:t xml:space="preserve">Today, nobody can say "wait": FERC denied the monitor's request that PJM connect large data centers only when it can serve them reliably [</w:t>
      </w:r>
      <w:hyperlink w:anchor="src-S108" w:history="1">
        <w:r>
          <w:rPr>
            <w:rStyle w:val="SourceLink"/>
          </w:rPr>
          <w:t xml:space="preserve">S108</w:t>
        </w:r>
      </w:hyperlink>
      <w:r>
        <w:t xml:space="preserve">].</w:t>
      </w:r>
    </w:p>
    <w:p>
      <w:pPr>
        <w:pStyle w:val="Compact"/>
        <w:numPr>
          <w:ilvl w:val="1"/>
          <w:numId w:val="1069"/>
        </w:numPr>
      </w:pPr>
      <w:r>
        <w:t xml:space="preserve">A moratorium stops the clock. It also gives the industry a reason to help write good rules quickly: the sooner the rules exist, the sooner the moratorium ends.</w:t>
      </w:r>
    </w:p>
    <w:p>
      <w:pPr>
        <w:pStyle w:val="Compact"/>
        <w:numPr>
          <w:ilvl w:val="0"/>
          <w:numId w:val="1067"/>
        </w:numPr>
      </w:pPr>
      <w:r>
        <w:rPr>
          <w:b/>
          <w:bCs/>
        </w:rPr>
        <w:t xml:space="preserve">Why it is not endless:</w:t>
      </w:r>
      <w:r>
        <w:t xml:space="preserve"> </w:t>
      </w:r>
      <w:r>
        <w:t xml:space="preserve">According to Cornell Law School's Legal Information Institute (a free online legal encyclopedia), a moratorium can last "until the purpose for which the moratorium was granted is satisfied or resolved" [</w:t>
      </w:r>
      <w:hyperlink w:anchor="src-S1" w:history="1">
        <w:r>
          <w:rPr>
            <w:rStyle w:val="SourceLink"/>
          </w:rPr>
          <w:t xml:space="preserve">S1</w:t>
        </w:r>
      </w:hyperlink>
      <w:r>
        <w:t xml:space="preserve">].</w:t>
      </w:r>
    </w:p>
    <w:p>
      <w:pPr>
        <w:pStyle w:val="Compact"/>
        <w:numPr>
          <w:ilvl w:val="1"/>
          <w:numId w:val="1070"/>
        </w:numPr>
      </w:pPr>
      <w:r>
        <w:t xml:space="preserve">Our purpose is three laws (→ Table 2): whoever causes the costs pays them; communities learn the truth before construction begins; permits come before turbines.</w:t>
      </w:r>
    </w:p>
    <w:p>
      <w:pPr>
        <w:pStyle w:val="Compact"/>
        <w:numPr>
          <w:ilvl w:val="1"/>
          <w:numId w:val="1070"/>
        </w:numPr>
      </w:pPr>
      <w:r>
        <w:t xml:space="preserve">We do</w:t>
      </w:r>
      <w:r>
        <w:t xml:space="preserve"> </w:t>
      </w:r>
      <w:r>
        <w:rPr>
          <w:b/>
          <w:bCs/>
        </w:rPr>
        <w:t xml:space="preserve">not</w:t>
      </w:r>
      <w:r>
        <w:t xml:space="preserve"> </w:t>
      </w:r>
      <w:r>
        <w:t xml:space="preserve">adopt the Sanders/AOC bill, which ties its moratorium to a long wish list [</w:t>
      </w:r>
      <w:hyperlink w:anchor="src-S36" w:history="1">
        <w:r>
          <w:rPr>
            <w:rStyle w:val="SourceLink"/>
          </w:rPr>
          <w:t xml:space="preserve">S36</w:t>
        </w:r>
      </w:hyperlink>
      <w:r>
        <w:t xml:space="preserve">].</w:t>
      </w:r>
    </w:p>
    <w:p>
      <w:pPr>
        <w:pStyle w:val="Compact"/>
        <w:numPr>
          <w:ilvl w:val="0"/>
          <w:numId w:val="1067"/>
        </w:numPr>
      </w:pPr>
      <w:r>
        <w:rPr>
          <w:b/>
          <w:bCs/>
        </w:rPr>
        <w:t xml:space="preserve">Why federal:</w:t>
      </w:r>
      <w:r>
        <w:t xml:space="preserve"> </w:t>
      </w:r>
      <w:r>
        <w:t xml:space="preserve">costs and power lines cross state lines, and local moratoria are a patchwork (→ F2).</w:t>
      </w:r>
    </w:p>
    <w:bookmarkEnd w:id="114"/>
    <w:bookmarkStart w:id="115" w:name="p5-conclusion"/>
    <w:p>
      <w:pPr>
        <w:pStyle w:val="Heading4"/>
      </w:pPr>
      <w:r>
        <w:t xml:space="preserve">Conclusion</w:t>
      </w:r>
    </w:p>
    <w:p>
      <w:pPr>
        <w:pStyle w:val="FirstParagraph"/>
      </w:pPr>
      <w:r>
        <w:t xml:space="preserve">Today, the rules for hyperscale data centers come after the concrete. The bill is fixed before anyone has decided who pays, permits come after the turbines, and communities learn the truth last. A conditional federal moratorium turns that order around. It pauses new construction only until three laws are in place: whoever causes the costs pays them; communities learn the truth before construction begins; permits come before turbines. Then we build, with rules that protect the families next door.</w:t>
      </w:r>
    </w:p>
    <w:bookmarkEnd w:id="115"/>
    <w:bookmarkEnd w:id="116"/>
    <w:bookmarkEnd w:id="117"/>
    <w:bookmarkStart w:id="118" w:name="p6"/>
    <w:p>
      <w:pPr>
        <w:pStyle w:val="Heading2"/>
        <w:pageBreakBefore/>
      </w:pPr>
      <w:r>
        <w:t xml:space="preserve">P6 Bubble Risk: The Public Is Liable for Bad Investments</w:t>
      </w:r>
    </w:p>
    <w:p>
      <w:pPr>
        <w:pStyle w:val="Hint"/>
      </w:pPr>
      <w:r>
        <w:rPr>
          <w:i/>
          <w:iCs/>
        </w:rPr>
        <w:t xml:space="preserve">Hinweis: P6 war nicht in deiner Textvorlage. Hier steht unverändert der Entwurf aus dem Chat (noch nicht überarbeitet).</w:t>
      </w:r>
    </w:p>
    <w:p>
      <w:pPr>
        <w:pStyle w:val="BodyText"/>
      </w:pPr>
      <w:r>
        <w:rPr>
          <w:i/>
          <w:iCs/>
        </w:rPr>
        <w:t xml:space="preserve">Brief overview: Utilities are building power plants and lines for data centers that may never be built, or that may be abandoned if the AI boom cools down. If that happens, ordinary customers pay for the leftovers.</w:t>
      </w:r>
    </w:p>
    <w:p>
      <w:pPr>
        <w:pStyle w:val="BodyText"/>
      </w:pPr>
      <w:r>
        <w:rPr>
          <w:b/>
          <w:bCs/>
        </w:rPr>
        <w:t xml:space="preserve">Claim:</w:t>
      </w:r>
      <w:r>
        <w:t xml:space="preserve"> </w:t>
      </w:r>
      <w:r>
        <w:t xml:space="preserve">The hyperscale boom shifts the risk of an AI investment bubble onto households and taxpayers. A pause until binding risk-sharing rules exist protects them.</w:t>
      </w:r>
    </w:p>
    <w:p>
      <w:pPr>
        <w:pStyle w:val="BodyText"/>
      </w:pPr>
      <w:r>
        <w:rPr>
          <w:b/>
          <w:bCs/>
        </w:rPr>
        <w:t xml:space="preserve">Proof &amp; Examples:</w:t>
      </w:r>
    </w:p>
    <w:p>
      <w:pPr>
        <w:pStyle w:val="Compact"/>
        <w:numPr>
          <w:ilvl w:val="0"/>
          <w:numId w:val="1071"/>
        </w:numPr>
      </w:pPr>
      <w:r>
        <w:rPr>
          <w:b/>
          <w:bCs/>
        </w:rPr>
        <w:t xml:space="preserve">Forecasts are shaky.</w:t>
      </w:r>
      <w:r>
        <w:t xml:space="preserve"> </w:t>
      </w:r>
      <w:r>
        <w:t xml:space="preserve">The market monitor calls the uncertainty in data center demand forecasts "unprecedented" [</w:t>
      </w:r>
      <w:hyperlink w:anchor="src-S16" w:history="1">
        <w:r>
          <w:rPr>
            <w:rStyle w:val="SourceLink"/>
          </w:rPr>
          <w:t xml:space="preserve">S16</w:t>
        </w:r>
      </w:hyperlink>
      <w:r>
        <w:t xml:space="preserve">] and their accuracy "highly questionable" [</w:t>
      </w:r>
      <w:hyperlink w:anchor="src-S42" w:history="1">
        <w:r>
          <w:rPr>
            <w:rStyle w:val="SourceLink"/>
          </w:rPr>
          <w:t xml:space="preserve">S42</w:t>
        </w:r>
      </w:hyperlink>
      <w:r>
        <w:t xml:space="preserve">]. Yet in one auction, $6.2 billion of costs were for data centers not yet built [</w:t>
      </w:r>
      <w:hyperlink w:anchor="src-S16" w:history="1">
        <w:r>
          <w:rPr>
            <w:rStyle w:val="SourceLink"/>
          </w:rPr>
          <w:t xml:space="preserve">S16</w:t>
        </w:r>
      </w:hyperlink>
      <w:r>
        <w:t xml:space="preserve">].</w:t>
      </w:r>
    </w:p>
    <w:p>
      <w:pPr>
        <w:pStyle w:val="Compact"/>
        <w:numPr>
          <w:ilvl w:val="0"/>
          <w:numId w:val="1071"/>
        </w:numPr>
      </w:pPr>
      <w:r>
        <w:rPr>
          <w:b/>
          <w:bCs/>
        </w:rPr>
        <w:t xml:space="preserve">"Phantom demand" shrinks when commitments are required.</w:t>
      </w:r>
      <w:r>
        <w:t xml:space="preserve"> </w:t>
      </w:r>
      <w:r>
        <w:t xml:space="preserve">The utility AEP Ohio had cited more than 30 GW of data center interest. After regulators required data centers to pay for at least 85% of their reserved capacity for 12 years, formal requests totaled about 13 GW – less than half [</w:t>
      </w:r>
      <w:hyperlink w:anchor="src-S56" w:history="1">
        <w:r>
          <w:rPr>
            <w:rStyle w:val="SourceLink"/>
          </w:rPr>
          <w:t xml:space="preserve">S56</w:t>
        </w:r>
      </w:hyperlink>
      <w:r>
        <w:t xml:space="preserve">].</w:t>
      </w:r>
    </w:p>
    <w:p>
      <w:pPr>
        <w:pStyle w:val="Compact"/>
        <w:numPr>
          <w:ilvl w:val="0"/>
          <w:numId w:val="1071"/>
        </w:numPr>
      </w:pPr>
      <w:r>
        <w:rPr>
          <w:b/>
          <w:bCs/>
        </w:rPr>
        <w:t xml:space="preserve">Even insiders warn.</w:t>
      </w:r>
    </w:p>
    <w:p>
      <w:pPr>
        <w:pStyle w:val="Compact"/>
        <w:numPr>
          <w:ilvl w:val="1"/>
          <w:numId w:val="1072"/>
        </w:numPr>
      </w:pPr>
      <w:r>
        <w:t xml:space="preserve">OpenAI CEO Sam Altman (August 2025): "Are we in a phase where investors as a whole are overexcited about AI? My opinion is yes." [</w:t>
      </w:r>
      <w:hyperlink w:anchor="src-S57" w:history="1">
        <w:r>
          <w:rPr>
            <w:rStyle w:val="SourceLink"/>
          </w:rPr>
          <w:t xml:space="preserve">S57</w:t>
        </w:r>
      </w:hyperlink>
      <w:r>
        <w:t xml:space="preserve">]</w:t>
      </w:r>
    </w:p>
    <w:p>
      <w:pPr>
        <w:pStyle w:val="Compact"/>
        <w:numPr>
          <w:ilvl w:val="1"/>
          <w:numId w:val="1072"/>
        </w:numPr>
      </w:pPr>
      <w:r>
        <w:t xml:space="preserve">In early 2025, Microsoft walked away from data center projects of about 2 GW; analysts at TD Cowen linked this to oversupply relative to its demand forecast [</w:t>
      </w:r>
      <w:hyperlink w:anchor="src-S58" w:history="1">
        <w:r>
          <w:rPr>
            <w:rStyle w:val="SourceLink"/>
          </w:rPr>
          <w:t xml:space="preserve">S58</w:t>
        </w:r>
      </w:hyperlink>
      <w:r>
        <w:t xml:space="preserve">].</w:t>
      </w:r>
    </w:p>
    <w:p>
      <w:pPr>
        <w:pStyle w:val="Compact"/>
        <w:numPr>
          <w:ilvl w:val="0"/>
          <w:numId w:val="1071"/>
        </w:numPr>
      </w:pPr>
      <w:r>
        <w:rPr>
          <w:b/>
          <w:bCs/>
        </w:rPr>
        <w:t xml:space="preserve">Who is on the hook.</w:t>
      </w:r>
      <w:r>
        <w:t xml:space="preserve"> </w:t>
      </w:r>
      <w:r>
        <w:t xml:space="preserve">Grid costs are spread over all customers [</w:t>
      </w:r>
      <w:hyperlink w:anchor="src-S17" w:history="1">
        <w:r>
          <w:rPr>
            <w:rStyle w:val="SourceLink"/>
          </w:rPr>
          <w:t xml:space="preserve">S17</w:t>
        </w:r>
      </w:hyperlink>
      <w:r>
        <w:t xml:space="preserve">]. Louisiana approved gas plants for Meta while critics warned that ratepayer protections were missing [</w:t>
      </w:r>
      <w:hyperlink w:anchor="src-S50" w:history="1">
        <w:r>
          <w:rPr>
            <w:rStyle w:val="SourceLink"/>
          </w:rPr>
          <w:t xml:space="preserve">S50</w:t>
        </w:r>
      </w:hyperlink>
      <w:r>
        <w:t xml:space="preserve">]. The companies' promise to pay even for unused power is voluntary [</w:t>
      </w:r>
      <w:hyperlink w:anchor="src-S26" w:history="1">
        <w:r>
          <w:rPr>
            <w:rStyle w:val="SourceLink"/>
          </w:rPr>
          <w:t xml:space="preserve">S26</w:t>
        </w:r>
      </w:hyperlink>
      <w:r>
        <w:t xml:space="preserve">].</w:t>
      </w:r>
    </w:p>
    <w:p>
      <w:pPr>
        <w:pStyle w:val="FirstParagraph"/>
      </w:pPr>
      <w:r>
        <w:rPr>
          <w:b/>
          <w:bCs/>
        </w:rPr>
        <w:t xml:space="preserve">Explanation (Warrant):</w:t>
      </w:r>
      <w:r>
        <w:t xml:space="preserve"> </w:t>
      </w:r>
      <w:r>
        <w:t xml:space="preserve">Utilities build expensive infrastructure based on forecasts and recover the cost from all customers over decades. If a data center is never built, or leaves early, the power line and the power plant still have to be paid for; these are called "stranded costs". The companies keep the profits if the bet works, and the public pays if it fails. A moratorium buys time to make binding rules like AEP Ohio's apply everywhere.</w:t>
      </w:r>
    </w:p>
    <w:p>
      <w:pPr>
        <w:pStyle w:val="BodyText"/>
      </w:pPr>
      <w:r>
        <w:rPr>
          <w:b/>
          <w:bCs/>
        </w:rPr>
        <w:t xml:space="preserve">Judge Impact:</w:t>
      </w:r>
      <w:r>
        <w:t xml:space="preserve"> </w:t>
      </w:r>
      <w:r>
        <w:t xml:space="preserve">Families should not be the insurance policy for the riskiest investment boom of our time. Private gains with public losses are unfair, and that is exactly what the current rules allow.</w:t>
      </w:r>
    </w:p>
    <w:p>
      <w:pPr>
        <w:pStyle w:val="BodyText"/>
      </w:pPr>
      <w:r>
        <w:rPr>
          <w:b/>
          <w:bCs/>
        </w:rPr>
        <w:t xml:space="preserve">Rebuttal (Contra)</w:t>
      </w:r>
    </w:p>
    <w:p>
      <w:pPr>
        <w:pStyle w:val="Compact"/>
        <w:numPr>
          <w:ilvl w:val="0"/>
          <w:numId w:val="1073"/>
        </w:numPr>
      </w:pPr>
      <w:r>
        <w:rPr>
          <w:b/>
          <w:bCs/>
        </w:rPr>
        <w:t xml:space="preserve">R1</w:t>
      </w:r>
      <w:r>
        <w:t xml:space="preserve"> </w:t>
      </w:r>
      <w:r>
        <w:t xml:space="preserve">"Demand is real: 88% of organizations use AI [</w:t>
      </w:r>
      <w:hyperlink w:anchor="src-S11" w:history="1">
        <w:r>
          <w:rPr>
            <w:rStyle w:val="SourceLink"/>
          </w:rPr>
          <w:t xml:space="preserve">S11</w:t>
        </w:r>
      </w:hyperlink>
      <w:r>
        <w:t xml:space="preserve">], Microsoft said demand exceeded its capacity even in July 2026 [</w:t>
      </w:r>
      <w:hyperlink w:anchor="src-S68" w:history="1">
        <w:r>
          <w:rPr>
            <w:rStyle w:val="SourceLink"/>
          </w:rPr>
          <w:t xml:space="preserve">S68</w:t>
        </w:r>
      </w:hyperlink>
      <w:r>
        <w:t xml:space="preserve">], and OpenAI ran out of GPUs [</w:t>
      </w:r>
      <w:hyperlink w:anchor="src-S6" w:history="1">
        <w:r>
          <w:rPr>
            <w:rStyle w:val="SourceLink"/>
          </w:rPr>
          <w:t xml:space="preserve">S6</w:t>
        </w:r>
      </w:hyperlink>
      <w:r>
        <w:t xml:space="preserve">]."</w:t>
      </w:r>
    </w:p>
    <w:p>
      <w:pPr>
        <w:pStyle w:val="Compact"/>
        <w:numPr>
          <w:ilvl w:val="0"/>
          <w:numId w:val="1073"/>
        </w:numPr>
      </w:pPr>
      <w:r>
        <w:rPr>
          <w:b/>
          <w:bCs/>
        </w:rPr>
        <w:t xml:space="preserve">R2</w:t>
      </w:r>
      <w:r>
        <w:t xml:space="preserve"> </w:t>
      </w:r>
      <w:r>
        <w:t xml:space="preserve">"Hyperscalers promised to pay full costs even for unused power [</w:t>
      </w:r>
      <w:hyperlink w:anchor="src-S26" w:history="1">
        <w:r>
          <w:rPr>
            <w:rStyle w:val="SourceLink"/>
          </w:rPr>
          <w:t xml:space="preserve">S26</w:t>
        </w:r>
      </w:hyperlink>
      <w:r>
        <w:t xml:space="preserve">], and tariffs with minimum payments and exit fees protect customers [</w:t>
      </w:r>
      <w:hyperlink w:anchor="src-S56" w:history="1">
        <w:r>
          <w:rPr>
            <w:rStyle w:val="SourceLink"/>
          </w:rPr>
          <w:t xml:space="preserve">S56</w:t>
        </w:r>
      </w:hyperlink>
      <w:r>
        <w:t xml:space="preserve">]."</w:t>
      </w:r>
    </w:p>
    <w:p>
      <w:pPr>
        <w:pStyle w:val="Compact"/>
        <w:numPr>
          <w:ilvl w:val="0"/>
          <w:numId w:val="1073"/>
        </w:numPr>
      </w:pPr>
      <w:r>
        <w:rPr>
          <w:b/>
          <w:bCs/>
        </w:rPr>
        <w:t xml:space="preserve">R3</w:t>
      </w:r>
      <w:r>
        <w:t xml:space="preserve"> </w:t>
      </w:r>
      <w:r>
        <w:t xml:space="preserve">"Google and Meta took over the capacity Microsoft dropped – 'business as usual', says Mizuho." [</w:t>
      </w:r>
      <w:hyperlink w:anchor="src-S58" w:history="1">
        <w:r>
          <w:rPr>
            <w:rStyle w:val="SourceLink"/>
          </w:rPr>
          <w:t xml:space="preserve">S58</w:t>
        </w:r>
      </w:hyperlink>
      <w:r>
        <w:t xml:space="preserve">]</w:t>
      </w:r>
    </w:p>
    <w:p>
      <w:pPr>
        <w:pStyle w:val="Compact"/>
        <w:numPr>
          <w:ilvl w:val="0"/>
          <w:numId w:val="1073"/>
        </w:numPr>
      </w:pPr>
      <w:r>
        <w:rPr>
          <w:b/>
          <w:bCs/>
        </w:rPr>
        <w:t xml:space="preserve">R4</w:t>
      </w:r>
      <w:r>
        <w:t xml:space="preserve"> </w:t>
      </w:r>
      <w:r>
        <w:t xml:space="preserve">"Altman also said AI is 'the most important thing to happen in a very long time.'" [</w:t>
      </w:r>
      <w:hyperlink w:anchor="src-S57" w:history="1">
        <w:r>
          <w:rPr>
            <w:rStyle w:val="SourceLink"/>
          </w:rPr>
          <w:t xml:space="preserve">S57</w:t>
        </w:r>
      </w:hyperlink>
      <w:r>
        <w:t xml:space="preserve">]</w:t>
      </w:r>
    </w:p>
    <w:p>
      <w:pPr>
        <w:pStyle w:val="FirstParagraph"/>
      </w:pPr>
      <w:r>
        <w:rPr>
          <w:b/>
          <w:bCs/>
        </w:rPr>
        <w:t xml:space="preserve">Frontline (Pro)</w:t>
      </w:r>
    </w:p>
    <w:p>
      <w:pPr>
        <w:pStyle w:val="Compact"/>
        <w:numPr>
          <w:ilvl w:val="0"/>
          <w:numId w:val="1074"/>
        </w:numPr>
      </w:pPr>
      <w:r>
        <w:rPr>
          <w:b/>
          <w:bCs/>
        </w:rPr>
        <w:t xml:space="preserve">F1</w:t>
      </w:r>
      <w:r>
        <w:t xml:space="preserve"> </w:t>
      </w:r>
      <w:r>
        <w:t xml:space="preserve">Real demand is not the same as real forecasts. In Ohio, more than half of the claimed demand vanished the moment commitments were required [</w:t>
      </w:r>
      <w:hyperlink w:anchor="src-S56" w:history="1">
        <w:r>
          <w:rPr>
            <w:rStyle w:val="SourceLink"/>
          </w:rPr>
          <w:t xml:space="preserve">S56</w:t>
        </w:r>
      </w:hyperlink>
      <w:r>
        <w:t xml:space="preserve">], and inflated demand like that is what grid planning is based on [</w:t>
      </w:r>
      <w:hyperlink w:anchor="src-S42" w:history="1">
        <w:r>
          <w:rPr>
            <w:rStyle w:val="SourceLink"/>
          </w:rPr>
          <w:t xml:space="preserve">S42</w:t>
        </w:r>
      </w:hyperlink>
      <w:r>
        <w:t xml:space="preserve">].</w:t>
      </w:r>
    </w:p>
    <w:p>
      <w:pPr>
        <w:pStyle w:val="Compact"/>
        <w:numPr>
          <w:ilvl w:val="0"/>
          <w:numId w:val="1074"/>
        </w:numPr>
      </w:pPr>
      <w:r>
        <w:rPr>
          <w:b/>
          <w:bCs/>
        </w:rPr>
        <w:t xml:space="preserve">F2</w:t>
      </w:r>
      <w:r>
        <w:t xml:space="preserve"> </w:t>
      </w:r>
      <w:r>
        <w:t xml:space="preserve">Protection exists only where it is adopted: AEP Ohio is one utility, only 25 states have tariffs [</w:t>
      </w:r>
      <w:hyperlink w:anchor="src-S27" w:history="1">
        <w:r>
          <w:rPr>
            <w:rStyle w:val="SourceLink"/>
          </w:rPr>
          <w:t xml:space="preserve">S27</w:t>
        </w:r>
      </w:hyperlink>
      <w:r>
        <w:t xml:space="preserve">], and the pledge has no enforcement [</w:t>
      </w:r>
      <w:hyperlink w:anchor="src-S26" w:history="1">
        <w:r>
          <w:rPr>
            <w:rStyle w:val="SourceLink"/>
          </w:rPr>
          <w:t xml:space="preserve">S26</w:t>
        </w:r>
      </w:hyperlink>
      <w:r>
        <w:t xml:space="preserve">]. We want AEP-style rules everywhere; that is the purpose of the moratorium.</w:t>
      </w:r>
    </w:p>
    <w:p>
      <w:pPr>
        <w:pStyle w:val="Compact"/>
        <w:numPr>
          <w:ilvl w:val="0"/>
          <w:numId w:val="1074"/>
        </w:numPr>
      </w:pPr>
      <w:r>
        <w:rPr>
          <w:b/>
          <w:bCs/>
        </w:rPr>
        <w:t xml:space="preserve">F3</w:t>
      </w:r>
      <w:r>
        <w:t xml:space="preserve"> </w:t>
      </w:r>
      <w:r>
        <w:t xml:space="preserve">Altman's own comparison was the dot-com bubble: "there was a real thing" [</w:t>
      </w:r>
      <w:hyperlink w:anchor="src-S57" w:history="1">
        <w:r>
          <w:rPr>
            <w:rStyle w:val="SourceLink"/>
          </w:rPr>
          <w:t xml:space="preserve">S57</w:t>
        </w:r>
      </w:hyperlink>
      <w:r>
        <w:t xml:space="preserve">] – and that bubble still burst. A real technology can still be overbuilt.</w:t>
      </w:r>
    </w:p>
    <w:bookmarkEnd w:id="118"/>
    <w:bookmarkStart w:id="125" w:name="p7"/>
    <w:p>
      <w:pPr>
        <w:pStyle w:val="Heading2"/>
        <w:pageBreakBefore/>
      </w:pPr>
      <w:r>
        <w:t xml:space="preserve">P7 Public Costs, Little Return: Subsidies and Jobs</w:t>
      </w:r>
    </w:p>
    <w:bookmarkStart w:id="119" w:name="p7-speech"/>
    <w:p>
      <w:pPr>
        <w:pStyle w:val="Heading3"/>
      </w:pPr>
      <w:r>
        <w:t xml:space="preserve">Speech version</w:t>
      </w:r>
    </w:p>
    <w:p>
      <w:pPr>
        <w:pStyle w:val="Speech"/>
      </w:pPr>
      <w:r>
        <w:t xml:space="preserve">Our last argument is about money – your money. Public costs, little return.</w:t>
      </w:r>
    </w:p>
    <w:p>
      <w:pPr>
        <w:pStyle w:val="Speech"/>
      </w:pPr>
      <w:r>
        <w:t xml:space="preserve">States are handing data centers billions in tax breaks. According to</w:t>
      </w:r>
      <w:r>
        <w:t xml:space="preserve"> </w:t>
      </w:r>
      <w:hyperlink w:anchor="gl-gjf" w:history="1">
        <w:r>
          <w:rPr>
            <w:rStyle w:val="GlossaryLink"/>
          </w:rPr>
          <w:t xml:space="preserve">Good Jobs First</w:t>
        </w:r>
      </w:hyperlink>
      <w:r>
        <w:t xml:space="preserve">, a nonprofit research center that tracks government subsidies, at least ten states each give up more than 100 million dollars a year in sales-tax breaks for data centers – about 3.1 billion dollars combined. [</w:t>
      </w:r>
      <w:hyperlink w:anchor="src-S59" w:history="1">
        <w:r>
          <w:rPr>
            <w:rStyle w:val="SourceLink"/>
          </w:rPr>
          <w:t xml:space="preserve">S59</w:t>
        </w:r>
      </w:hyperlink>
      <w:r>
        <w:t xml:space="preserve">] And where states measured what comes back, the answer is sobering: Virginia loses 52 cents of every dollar it gives away; Washington state and Georgia lose 60 to 70 cents. [</w:t>
      </w:r>
      <w:hyperlink w:anchor="src-S59" w:history="1">
        <w:r>
          <w:rPr>
            <w:rStyle w:val="SourceLink"/>
          </w:rPr>
          <w:t xml:space="preserve">S59</w:t>
        </w:r>
      </w:hyperlink>
      <w:r>
        <w:t xml:space="preserve">]</w:t>
      </w:r>
    </w:p>
    <w:p>
      <w:pPr>
        <w:pStyle w:val="Speech"/>
      </w:pPr>
      <w:r>
        <w:t xml:space="preserve">Look at Virginia. The</w:t>
      </w:r>
      <w:r>
        <w:t xml:space="preserve"> </w:t>
      </w:r>
      <w:hyperlink w:anchor="gl-jlarc" w:history="1">
        <w:r>
          <w:rPr>
            <w:rStyle w:val="GlossaryLink"/>
          </w:rPr>
          <w:t xml:space="preserve">Joint Legislative Audit and Review Commission</w:t>
        </w:r>
      </w:hyperlink>
      <w:r>
        <w:t xml:space="preserve">, the Virginia legislature’s own watchdog, found that this tax break cost 928 million dollars in a single year – by far the state’s largest economic development incentive. [</w:t>
      </w:r>
      <w:hyperlink w:anchor="src-S60" w:history="1">
        <w:r>
          <w:rPr>
            <w:rStyle w:val="SourceLink"/>
          </w:rPr>
          <w:t xml:space="preserve">S60</w:t>
        </w:r>
      </w:hyperlink>
      <w:r>
        <w:t xml:space="preserve">] By fiscal year 2025, according to Virginia’s official financial report, it was 1.6 billion dollars. [</w:t>
      </w:r>
      <w:hyperlink w:anchor="src-S60" w:history="1">
        <w:r>
          <w:rPr>
            <w:rStyle w:val="SourceLink"/>
          </w:rPr>
          <w:t xml:space="preserve">S60</w:t>
        </w:r>
      </w:hyperlink>
      <w:r>
        <w:t xml:space="preserve">]</w:t>
      </w:r>
      <w:r>
        <w:t xml:space="preserve"> </w:t>
      </w:r>
      <w:r>
        <w:rPr>
          <w:rStyle w:val="Optional"/>
        </w:rPr>
        <w:t xml:space="preserve">[When lawmakers passed it in 2008, it was projected to cost about 1.5 million dollars a year. [</w:t>
      </w:r>
      <w:hyperlink w:anchor="src-S60" w:history="1">
        <w:r>
          <w:rPr>
            <w:rStyle w:val="SourceLink"/>
          </w:rPr>
          <w:t xml:space="preserve">S60</w:t>
        </w:r>
      </w:hyperlink>
      <w:r>
        <w:rPr>
          <w:rStyle w:val="Optional"/>
        </w:rPr>
        <w:t xml:space="preserve">]]</w:t>
      </w:r>
    </w:p>
    <w:p>
      <w:pPr>
        <w:pStyle w:val="Speech"/>
      </w:pPr>
      <w:r>
        <w:t xml:space="preserve">Why does that matter? Because every dollar given away is missing somewhere else – in schools, on roads, for police. 1.6 billion dollars would pay the salaries of more than 20,000 Virginia teachers. [</w:t>
      </w:r>
      <w:hyperlink w:anchor="src-S113" w:history="1">
        <w:r>
          <w:rPr>
            <w:rStyle w:val="SourceLink"/>
          </w:rPr>
          <w:t xml:space="preserve">S113</w:t>
        </w:r>
      </w:hyperlink>
      <w:r>
        <w:t xml:space="preserve">]</w:t>
      </w:r>
    </w:p>
    <w:p>
      <w:pPr>
        <w:pStyle w:val="Speech"/>
      </w:pPr>
      <w:r>
        <w:t xml:space="preserve">And what does the public get in return? Few jobs. Meta’s own announcement for its one-billion-dollar campus in Beaver Dam, Wisconsin, promises more than 1,000 construction workers at peak – but just over 100 permanent jobs. [</w:t>
      </w:r>
      <w:hyperlink w:anchor="src-S61" w:history="1">
        <w:r>
          <w:rPr>
            <w:rStyle w:val="SourceLink"/>
          </w:rPr>
          <w:t xml:space="preserve">S61</w:t>
        </w:r>
      </w:hyperlink>
      <w:r>
        <w:t xml:space="preserve">] In Virginia, about four out of five jobs linked to data centers are construction jobs – and construction ends. [</w:t>
      </w:r>
      <w:hyperlink w:anchor="src-S60" w:history="1">
        <w:r>
          <w:rPr>
            <w:rStyle w:val="SourceLink"/>
          </w:rPr>
          <w:t xml:space="preserve">S60</w:t>
        </w:r>
      </w:hyperlink>
      <w:r>
        <w:t xml:space="preserve">] And Georgia’s state audit office found that 70 percent of its data centers would have been built anyway – without any tax break. [</w:t>
      </w:r>
      <w:hyperlink w:anchor="src-S114" w:history="1">
        <w:r>
          <w:rPr>
            <w:rStyle w:val="SourceLink"/>
          </w:rPr>
          <w:t xml:space="preserve">S114</w:t>
        </w:r>
      </w:hyperlink>
      <w:r>
        <w:t xml:space="preserve">]</w:t>
      </w:r>
    </w:p>
    <w:p>
      <w:pPr>
        <w:pStyle w:val="Speech"/>
      </w:pPr>
      <w:r>
        <w:t xml:space="preserve">So here is the bottom line: taxpayers are paying some of the richest companies in the world – and most of the jobs leave with the cranes. A</w:t>
      </w:r>
      <w:r>
        <w:t xml:space="preserve"> </w:t>
      </w:r>
      <w:hyperlink w:anchor="gl-moratorium" w:history="1">
        <w:r>
          <w:rPr>
            <w:rStyle w:val="GlossaryLink"/>
          </w:rPr>
          <w:t xml:space="preserve">moratorium</w:t>
        </w:r>
      </w:hyperlink>
      <w:r>
        <w:t xml:space="preserve"> </w:t>
      </w:r>
      <w:r>
        <w:t xml:space="preserve">is the window to set conditions before the next wave of deals: full disclosure of who gets what, real job guarantees, and</w:t>
      </w:r>
      <w:r>
        <w:t xml:space="preserve"> </w:t>
      </w:r>
      <w:hyperlink w:anchor="gl-claw-back" w:history="1">
        <w:r>
          <w:rPr>
            <w:rStyle w:val="GlossaryLink"/>
          </w:rPr>
          <w:t xml:space="preserve">claw-backs</w:t>
        </w:r>
      </w:hyperlink>
      <w:r>
        <w:t xml:space="preserve"> </w:t>
      </w:r>
      <w:r>
        <w:t xml:space="preserve">– money that comes back if promises are broken.</w:t>
      </w:r>
    </w:p>
    <w:p>
      <w:pPr>
        <w:pStyle w:val="NavLink"/>
      </w:pPr>
      <w:hyperlink w:anchor="p7-chain" w:history="1">
        <w:r>
          <w:rPr>
            <w:rStyle w:val="NavLinkChar"/>
          </w:rPr>
          <w:t xml:space="preserve">→ Chain of Reasoning (Backup)</w:t>
        </w:r>
      </w:hyperlink>
    </w:p>
    <w:bookmarkEnd w:id="119"/>
    <w:bookmarkStart w:id="120" w:name="p7-rebuttal"/>
    <w:p>
      <w:pPr>
        <w:pStyle w:val="Heading3"/>
      </w:pPr>
      <w:r>
        <w:t xml:space="preserve">Rebuttal (Contra)</w:t>
      </w:r>
    </w:p>
    <w:p>
      <w:pPr>
        <w:pStyle w:val="Compact"/>
        <w:numPr>
          <w:ilvl w:val="0"/>
          <w:numId w:val="1075"/>
        </w:numPr>
      </w:pPr>
      <w:r>
        <w:rPr>
          <w:b/>
          <w:bCs/>
        </w:rPr>
        <w:t xml:space="preserve">R1</w:t>
      </w:r>
      <w:r>
        <w:t xml:space="preserve"> </w:t>
      </w:r>
      <w:r>
        <w:t xml:space="preserve">“Data centers pay huge local taxes – the tax break pays for itself. Look at Loudoun County, Virginia, which calls itself the ‘Data Center Capital of the World’:”</w:t>
      </w:r>
    </w:p>
    <w:p>
      <w:pPr>
        <w:pStyle w:val="Compact"/>
        <w:numPr>
          <w:ilvl w:val="1"/>
          <w:numId w:val="1076"/>
        </w:numPr>
      </w:pPr>
      <w:r>
        <w:rPr>
          <w:b/>
          <w:bCs/>
        </w:rPr>
        <w:t xml:space="preserve">What they pay:</w:t>
      </w:r>
      <w:r>
        <w:t xml:space="preserve"> </w:t>
      </w:r>
      <w:r>
        <w:t xml:space="preserve">Data centers sit on about 4% of the county’s commercial land but pay about 38% of its general fund – about $1.3 billion a year. About $879 million is tax on the computers inside (rate: $4.15 per $100 of value), and about $418 million is tax on buildings and land [</w:t>
      </w:r>
      <w:hyperlink w:anchor="src-S62" w:history="1">
        <w:r>
          <w:rPr>
            <w:rStyle w:val="SourceLink"/>
          </w:rPr>
          <w:t xml:space="preserve">S62</w:t>
        </w:r>
      </w:hyperlink>
      <w:r>
        <w:t xml:space="preserve">].</w:t>
      </w:r>
    </w:p>
    <w:p>
      <w:pPr>
        <w:pStyle w:val="Compact"/>
        <w:numPr>
          <w:ilvl w:val="1"/>
          <w:numId w:val="1076"/>
        </w:numPr>
      </w:pPr>
      <w:r>
        <w:rPr>
          <w:b/>
          <w:bCs/>
        </w:rPr>
        <w:t xml:space="preserve">What residents get:</w:t>
      </w:r>
      <w:r>
        <w:t xml:space="preserve"> </w:t>
      </w:r>
      <w:r>
        <w:t xml:space="preserve">The homeowner tax rate fell almost every year for a decade, from $1.145 (2016) to $0.805 per $100 of assessed value – the lowest in Northern Virginia [</w:t>
      </w:r>
      <w:hyperlink w:anchor="src-S62" w:history="1">
        <w:r>
          <w:rPr>
            <w:rStyle w:val="SourceLink"/>
          </w:rPr>
          <w:t xml:space="preserve">S62</w:t>
        </w:r>
      </w:hyperlink>
      <w:r>
        <w:t xml:space="preserve">]. For a $600,000 home, that is about $4,830 a year instead of $6,870, roughly $2,000 less at the same home value.</w:t>
      </w:r>
    </w:p>
    <w:p>
      <w:pPr>
        <w:pStyle w:val="Compact"/>
        <w:numPr>
          <w:ilvl w:val="0"/>
          <w:numId w:val="1075"/>
        </w:numPr>
      </w:pPr>
      <w:r>
        <w:rPr>
          <w:b/>
          <w:bCs/>
        </w:rPr>
        <w:t xml:space="preserve">R2</w:t>
      </w:r>
      <w:r>
        <w:t xml:space="preserve"> </w:t>
      </w:r>
      <w:r>
        <w:t xml:space="preserve">“Construction is booming, and the whole community benefits. Data center construction averaged $41 billion in 2025 (+32%) [</w:t>
      </w:r>
      <w:hyperlink w:anchor="src-S63" w:history="1">
        <w:r>
          <w:rPr>
            <w:rStyle w:val="SourceLink"/>
          </w:rPr>
          <w:t xml:space="preserve">S63</w:t>
        </w:r>
      </w:hyperlink>
      <w:r>
        <w:t xml:space="preserve">], while other private non-residential construction fell by 7.9% [</w:t>
      </w:r>
      <w:hyperlink w:anchor="src-S63" w:history="1">
        <w:r>
          <w:rPr>
            <w:rStyle w:val="SourceLink"/>
          </w:rPr>
          <w:t xml:space="preserve">S63</w:t>
        </w:r>
      </w:hyperlink>
      <w:r>
        <w:t xml:space="preserve">].”</w:t>
      </w:r>
    </w:p>
    <w:p>
      <w:pPr>
        <w:pStyle w:val="Compact"/>
        <w:numPr>
          <w:ilvl w:val="1"/>
          <w:numId w:val="1077"/>
        </w:numPr>
      </w:pPr>
      <w:r>
        <w:rPr>
          <w:b/>
          <w:bCs/>
        </w:rPr>
        <w:t xml:space="preserve">Jobs and income:</w:t>
      </w:r>
      <w:r>
        <w:t xml:space="preserve"> </w:t>
      </w:r>
      <w:r>
        <w:t xml:space="preserve">According to JLARC, Virginia’s data center industry supports about 74,000 jobs, $5.5 billion in wages and $9.1 billion in economic output per year [</w:t>
      </w:r>
      <w:hyperlink w:anchor="src-S60" w:history="1">
        <w:r>
          <w:rPr>
            <w:rStyle w:val="SourceLink"/>
          </w:rPr>
          <w:t xml:space="preserve">S60</w:t>
        </w:r>
      </w:hyperlink>
      <w:r>
        <w:t xml:space="preserve">].</w:t>
      </w:r>
    </w:p>
    <w:p>
      <w:pPr>
        <w:pStyle w:val="Compact"/>
        <w:numPr>
          <w:ilvl w:val="1"/>
          <w:numId w:val="1077"/>
        </w:numPr>
      </w:pPr>
      <w:r>
        <w:rPr>
          <w:b/>
          <w:bCs/>
        </w:rPr>
        <w:t xml:space="preserve">Work for local trades:</w:t>
      </w:r>
      <w:r>
        <w:t xml:space="preserve"> </w:t>
      </w:r>
      <w:r>
        <w:t xml:space="preserve">Meta’s Beaver Dam campus brings more than 1,000 skilled trade workers at peak [</w:t>
      </w:r>
      <w:hyperlink w:anchor="src-S61" w:history="1">
        <w:r>
          <w:rPr>
            <w:rStyle w:val="SourceLink"/>
          </w:rPr>
          <w:t xml:space="preserve">S61</w:t>
        </w:r>
      </w:hyperlink>
      <w:r>
        <w:t xml:space="preserve">], and its Louisiana campus up to 5,000 [</w:t>
      </w:r>
      <w:hyperlink w:anchor="src-S115" w:history="1">
        <w:r>
          <w:rPr>
            <w:rStyle w:val="SourceLink"/>
          </w:rPr>
          <w:t xml:space="preserve">S115</w:t>
        </w:r>
      </w:hyperlink>
      <w:r>
        <w:t xml:space="preserve">]. Their wages are spent locally – in restaurants, hotels and shops.</w:t>
      </w:r>
    </w:p>
    <w:p>
      <w:pPr>
        <w:pStyle w:val="Compact"/>
        <w:numPr>
          <w:ilvl w:val="0"/>
          <w:numId w:val="1075"/>
        </w:numPr>
      </w:pPr>
      <w:r>
        <w:rPr>
          <w:b/>
          <w:bCs/>
        </w:rPr>
        <w:t xml:space="preserve">R3</w:t>
      </w:r>
      <w:r>
        <w:t xml:space="preserve"> </w:t>
      </w:r>
      <w:r>
        <w:t xml:space="preserve">“Companies pay for infrastructure themselves. In Beaver Dam, Meta covers close to $200 million for grid work – network upgrades, substations and power lines. It also gives $15 million to Alliant Energy’s Hometown Care Energy Fund, which helps families in need pay their energy bills [</w:t>
      </w:r>
      <w:hyperlink w:anchor="src-S61" w:history="1">
        <w:r>
          <w:rPr>
            <w:rStyle w:val="SourceLink"/>
          </w:rPr>
          <w:t xml:space="preserve">S61</w:t>
        </w:r>
      </w:hyperlink>
      <w:r>
        <w:t xml:space="preserve">]. On top of that, it uses dry cooling and restores wetlands [</w:t>
      </w:r>
      <w:hyperlink w:anchor="src-S61" w:history="1">
        <w:r>
          <w:rPr>
            <w:rStyle w:val="SourceLink"/>
          </w:rPr>
          <w:t xml:space="preserve">S61</w:t>
        </w:r>
      </w:hyperlink>
      <w:r>
        <w:t xml:space="preserve">].”</w:t>
      </w:r>
    </w:p>
    <w:p>
      <w:pPr>
        <w:pStyle w:val="Compact"/>
        <w:numPr>
          <w:ilvl w:val="1"/>
          <w:numId w:val="1078"/>
        </w:numPr>
      </w:pPr>
      <w:r>
        <w:rPr>
          <w:b/>
          <w:bCs/>
        </w:rPr>
        <w:t xml:space="preserve">Sources:</w:t>
      </w:r>
      <w:r>
        <w:t xml:space="preserve"> </w:t>
      </w:r>
      <w:r>
        <w:t xml:space="preserve">Meta’s own announcement of November 12, 2025, confirmed by the Wisconsin Economic Development Corporation (</w:t>
      </w:r>
      <w:hyperlink w:anchor="gl-wedc" w:history="1">
        <w:r>
          <w:rPr>
            <w:rStyle w:val="GlossaryLink"/>
          </w:rPr>
          <w:t xml:space="preserve">WEDC</w:t>
        </w:r>
      </w:hyperlink>
      <w:r>
        <w:t xml:space="preserve">, the state’s economic development agency) and local media (Spectrum News 1, Wisconsin Public Radio) [</w:t>
      </w:r>
      <w:hyperlink w:anchor="src-S61" w:history="1">
        <w:r>
          <w:rPr>
            <w:rStyle w:val="SourceLink"/>
          </w:rPr>
          <w:t xml:space="preserve">S61</w:t>
        </w:r>
      </w:hyperlink>
      <w:r>
        <w:t xml:space="preserve">].</w:t>
      </w:r>
    </w:p>
    <w:p>
      <w:pPr>
        <w:pStyle w:val="Compact"/>
        <w:numPr>
          <w:ilvl w:val="1"/>
          <w:numId w:val="1078"/>
        </w:numPr>
      </w:pPr>
      <w:r>
        <w:rPr>
          <w:b/>
          <w:bCs/>
        </w:rPr>
        <w:t xml:space="preserve">Alliant Energy</w:t>
      </w:r>
      <w:r>
        <w:t xml:space="preserve"> </w:t>
      </w:r>
      <w:r>
        <w:t xml:space="preserve">is the local energy company in Wisconsin and Iowa.</w:t>
      </w:r>
    </w:p>
    <w:bookmarkEnd w:id="120"/>
    <w:bookmarkStart w:id="121" w:name="p7-frontline"/>
    <w:p>
      <w:pPr>
        <w:pStyle w:val="Heading3"/>
      </w:pPr>
      <w:r>
        <w:t xml:space="preserve">Frontline (Pro)</w:t>
      </w:r>
    </w:p>
    <w:p>
      <w:pPr>
        <w:pStyle w:val="Speech"/>
      </w:pPr>
      <w:r>
        <w:t xml:space="preserve">These are fair points – data centers do bring tax money and construction work, and we don’t deny that. But you have to weigh: is it worth it for the people who live next door?</w:t>
      </w:r>
    </w:p>
    <w:p>
      <w:pPr>
        <w:pStyle w:val="Speech"/>
      </w:pPr>
      <w:r>
        <w:t xml:space="preserve">On one side: a few more tax dollars – maybe. Because they are not guaranteed: Georgia’s state audit office found that most data centers would have come anyway [</w:t>
      </w:r>
      <w:hyperlink w:anchor="src-S114" w:history="1">
        <w:r>
          <w:rPr>
            <w:rStyle w:val="SourceLink"/>
          </w:rPr>
          <w:t xml:space="preserve">S114</w:t>
        </w:r>
      </w:hyperlink>
      <w:r>
        <w:t xml:space="preserve">], and even Loudoun County expects its data center revenue to stop growing within five to ten years. [</w:t>
      </w:r>
      <w:hyperlink w:anchor="src-S62" w:history="1">
        <w:r>
          <w:rPr>
            <w:rStyle w:val="SourceLink"/>
          </w:rPr>
          <w:t xml:space="preserve">S62</w:t>
        </w:r>
      </w:hyperlink>
      <w:r>
        <w:t xml:space="preserve">]</w:t>
      </w:r>
    </w:p>
    <w:p>
      <w:pPr>
        <w:pStyle w:val="Speech"/>
      </w:pPr>
      <w:r>
        <w:t xml:space="preserve">On the other side: the damage – for sure. Families in Southaven, Mississippi, who cannot sleep because of</w:t>
      </w:r>
      <w:r>
        <w:t xml:space="preserve"> </w:t>
      </w:r>
      <w:hyperlink w:anchor="gl-xai" w:history="1">
        <w:r>
          <w:rPr>
            <w:rStyle w:val="GlossaryLink"/>
          </w:rPr>
          <w:t xml:space="preserve">xAI</w:t>
        </w:r>
      </w:hyperlink>
      <w:r>
        <w:t xml:space="preserve">’s turbines. [</w:t>
      </w:r>
      <w:hyperlink w:anchor="src-S38" w:history="1">
        <w:r>
          <w:rPr>
            <w:rStyle w:val="SourceLink"/>
          </w:rPr>
          <w:t xml:space="preserve">S38</w:t>
        </w:r>
      </w:hyperlink>
      <w:r>
        <w:t xml:space="preserve">] Children in Boxtown, Memphis, growing up next to 35 gas turbines that ran without permits. [</w:t>
      </w:r>
      <w:hyperlink w:anchor="src-S20" w:history="1">
        <w:r>
          <w:rPr>
            <w:rStyle w:val="SourceLink"/>
          </w:rPr>
          <w:t xml:space="preserve">S20</w:t>
        </w:r>
      </w:hyperlink>
      <w:r>
        <w:t xml:space="preserve">] Neighbors in Sterling, Virginia, who lived next to diesel generators during an air-quality alert. [</w:t>
      </w:r>
      <w:hyperlink w:anchor="src-S77" w:history="1">
        <w:r>
          <w:rPr>
            <w:rStyle w:val="SourceLink"/>
          </w:rPr>
          <w:t xml:space="preserve">S77</w:t>
        </w:r>
      </w:hyperlink>
      <w:r>
        <w:t xml:space="preserve">] And millions of households in 13 states paying billions in higher</w:t>
      </w:r>
      <w:r>
        <w:t xml:space="preserve"> </w:t>
      </w:r>
      <w:hyperlink w:anchor="gl-capacity-costs" w:history="1">
        <w:r>
          <w:rPr>
            <w:rStyle w:val="GlossaryLink"/>
          </w:rPr>
          <w:t xml:space="preserve">capacity costs</w:t>
        </w:r>
      </w:hyperlink>
      <w:r>
        <w:t xml:space="preserve">. [</w:t>
      </w:r>
      <w:hyperlink w:anchor="src-S107" w:history="1">
        <w:r>
          <w:rPr>
            <w:rStyle w:val="SourceLink"/>
          </w:rPr>
          <w:t xml:space="preserve">S107</w:t>
        </w:r>
      </w:hyperlink>
      <w:r>
        <w:t xml:space="preserve">]</w:t>
      </w:r>
    </w:p>
    <w:bookmarkEnd w:id="121"/>
    <w:bookmarkStart w:id="124" w:name="p7-chain"/>
    <w:p>
      <w:pPr>
        <w:pStyle w:val="Heading3"/>
      </w:pPr>
      <w:r>
        <w:t xml:space="preserve">Chain of Reasoning (Backup)</w:t>
      </w:r>
    </w:p>
    <w:p>
      <w:pPr>
        <w:pStyle w:val="NavLink"/>
      </w:pPr>
      <w:hyperlink w:anchor="p7-speech" w:history="1">
        <w:r>
          <w:rPr>
            <w:rStyle w:val="NavLinkChar"/>
          </w:rPr>
          <w:t xml:space="preserve">↑ Back to the speech version</w:t>
        </w:r>
      </w:hyperlink>
    </w:p>
    <w:p>
      <w:pPr>
        <w:pStyle w:val="BodyText"/>
      </w:pPr>
      <w:r>
        <w:rPr>
          <w:b/>
          <w:bCs/>
        </w:rPr>
        <w:t xml:space="preserve">Claim:</w:t>
      </w:r>
      <w:r>
        <w:t xml:space="preserve"> </w:t>
      </w:r>
      <w:r>
        <w:t xml:space="preserve">Hyperscale data centers receive large public subsidies that the public does not get back, while creating few permanent jobs. A pause allows conditions on subsidies to be set before more are granted.</w:t>
      </w:r>
    </w:p>
    <w:p>
      <w:pPr>
        <w:pStyle w:val="BodyText"/>
      </w:pPr>
      <w:r>
        <w:rPr>
          <w:b/>
          <w:bCs/>
        </w:rPr>
        <w:t xml:space="preserve">Proof &amp; Examples:</w:t>
      </w:r>
    </w:p>
    <w:p>
      <w:pPr>
        <w:pStyle w:val="Compact"/>
        <w:numPr>
          <w:ilvl w:val="0"/>
          <w:numId w:val="1079"/>
        </w:numPr>
      </w:pPr>
      <w:r>
        <w:rPr>
          <w:b/>
          <w:bCs/>
        </w:rPr>
        <w:t xml:space="preserve">Subsidy scale.</w:t>
      </w:r>
    </w:p>
    <w:p>
      <w:pPr>
        <w:pStyle w:val="Compact"/>
        <w:numPr>
          <w:ilvl w:val="1"/>
          <w:numId w:val="1080"/>
        </w:numPr>
      </w:pPr>
      <w:r>
        <w:rPr>
          <w:b/>
          <w:bCs/>
        </w:rPr>
        <w:t xml:space="preserve">Who says it:</w:t>
      </w:r>
      <w:r>
        <w:t xml:space="preserve"> </w:t>
      </w:r>
      <w:r>
        <w:t xml:space="preserve">Good Jobs First, a nonprofit research center in Washington, D.C., that tracks government subsidies to companies.</w:t>
      </w:r>
    </w:p>
    <w:p>
      <w:pPr>
        <w:pStyle w:val="Compact"/>
        <w:numPr>
          <w:ilvl w:val="1"/>
          <w:numId w:val="1080"/>
        </w:numPr>
      </w:pPr>
      <w:r>
        <w:rPr>
          <w:b/>
          <w:bCs/>
        </w:rPr>
        <w:t xml:space="preserve">"Cloudy with a Loss of Spending Control" (April 2025):</w:t>
      </w:r>
    </w:p>
    <w:p>
      <w:pPr>
        <w:pStyle w:val="Compact"/>
        <w:numPr>
          <w:ilvl w:val="2"/>
          <w:numId w:val="1081"/>
        </w:numPr>
      </w:pPr>
      <w:r>
        <w:t xml:space="preserve">At least 10 states each give up more than $100 million a year in sales-tax breaks for data centers: Texas, Virginia, Illinois, Georgia, Iowa, Nevada, Ohio, Minnesota, Washington and Tennessee. That is about $3.1 billion combined.</w:t>
      </w:r>
    </w:p>
    <w:p>
      <w:pPr>
        <w:pStyle w:val="Compact"/>
        <w:numPr>
          <w:ilvl w:val="2"/>
          <w:numId w:val="1081"/>
        </w:numPr>
      </w:pPr>
      <w:r>
        <w:t xml:space="preserve">Texas alone loses more than $1 billion a year.</w:t>
      </w:r>
    </w:p>
    <w:p>
      <w:pPr>
        <w:pStyle w:val="Compact"/>
        <w:numPr>
          <w:ilvl w:val="2"/>
          <w:numId w:val="1081"/>
        </w:numPr>
      </w:pPr>
      <w:r>
        <w:t xml:space="preserve">Of the 32 states with data center tax breaks, 12 do not even disclose their total losses [</w:t>
      </w:r>
      <w:hyperlink w:anchor="src-S59" w:history="1">
        <w:r>
          <w:rPr>
            <w:rStyle w:val="SourceLink"/>
          </w:rPr>
          <w:t xml:space="preserve">S59</w:t>
        </w:r>
      </w:hyperlink>
      <w:r>
        <w:t xml:space="preserve">].</w:t>
      </w:r>
    </w:p>
    <w:p>
      <w:pPr>
        <w:pStyle w:val="Compact"/>
        <w:numPr>
          <w:ilvl w:val="1"/>
          <w:numId w:val="1080"/>
        </w:numPr>
      </w:pPr>
      <w:r>
        <w:rPr>
          <w:b/>
          <w:bCs/>
        </w:rPr>
        <w:t xml:space="preserve">"Cloudy Data, Costly Deals" (November 2025):</w:t>
      </w:r>
      <w:r>
        <w:t xml:space="preserve"> </w:t>
      </w:r>
      <w:r>
        <w:t xml:space="preserve">the states that calculated their return lose 52 to 70 cents for every dollar they give away – Virginia 52 cents, Washington state and Georgia 60 to 70 cents [</w:t>
      </w:r>
      <w:hyperlink w:anchor="src-S59" w:history="1">
        <w:r>
          <w:rPr>
            <w:rStyle w:val="SourceLink"/>
          </w:rPr>
          <w:t xml:space="preserve">S59</w:t>
        </w:r>
      </w:hyperlink>
      <w:r>
        <w:t xml:space="preserve">].</w:t>
      </w:r>
    </w:p>
    <w:p>
      <w:pPr>
        <w:pStyle w:val="Compact"/>
        <w:numPr>
          <w:ilvl w:val="1"/>
          <w:numId w:val="1080"/>
        </w:numPr>
      </w:pPr>
      <w:r>
        <w:rPr>
          <w:b/>
          <w:bCs/>
        </w:rPr>
        <w:t xml:space="preserve">2026 update ("Even Cloudier with a Greater Loss of Spending Control"):</w:t>
      </w:r>
    </w:p>
    <w:p>
      <w:pPr>
        <w:pStyle w:val="Compact"/>
        <w:numPr>
          <w:ilvl w:val="2"/>
          <w:numId w:val="1082"/>
        </w:numPr>
      </w:pPr>
      <w:r>
        <w:t xml:space="preserve">Georgia now projects $2.5 billion for fiscal year 2026, and Texas $1.3 billion.</w:t>
      </w:r>
    </w:p>
    <w:p>
      <w:pPr>
        <w:pStyle w:val="Compact"/>
        <w:numPr>
          <w:ilvl w:val="2"/>
          <w:numId w:val="1082"/>
        </w:numPr>
      </w:pPr>
      <w:r>
        <w:t xml:space="preserve">Including local sales tax, Virginia's cost reached about $1.94 billion in fiscal year 2025.</w:t>
      </w:r>
    </w:p>
    <w:p>
      <w:pPr>
        <w:pStyle w:val="Compact"/>
        <w:numPr>
          <w:ilvl w:val="2"/>
          <w:numId w:val="1082"/>
        </w:numPr>
      </w:pPr>
      <w:r>
        <w:t xml:space="preserve">Good Jobs First recommends pausing new subsidies until caps, sunset dates and safeguards are in place [</w:t>
      </w:r>
      <w:hyperlink w:anchor="src-S59" w:history="1">
        <w:r>
          <w:rPr>
            <w:rStyle w:val="SourceLink"/>
          </w:rPr>
          <w:t xml:space="preserve">S59</w:t>
        </w:r>
      </w:hyperlink>
      <w:r>
        <w:t xml:space="preserve">].</w:t>
      </w:r>
    </w:p>
    <w:p>
      <w:pPr>
        <w:pStyle w:val="Compact"/>
        <w:numPr>
          <w:ilvl w:val="1"/>
          <w:numId w:val="1080"/>
        </w:numPr>
      </w:pPr>
      <w:r>
        <w:rPr>
          <w:b/>
          <w:bCs/>
        </w:rPr>
        <w:t xml:space="preserve">Not even counted:</w:t>
      </w:r>
      <w:r>
        <w:t xml:space="preserve"> </w:t>
      </w:r>
      <w:r>
        <w:t xml:space="preserve">local property-tax breaks and electricity discounts, so the true cost is higher [</w:t>
      </w:r>
      <w:hyperlink w:anchor="src-S59" w:history="1">
        <w:r>
          <w:rPr>
            <w:rStyle w:val="SourceLink"/>
          </w:rPr>
          <w:t xml:space="preserve">S59</w:t>
        </w:r>
      </w:hyperlink>
      <w:r>
        <w:t xml:space="preserve">].</w:t>
      </w:r>
    </w:p>
    <w:p>
      <w:pPr>
        <w:pStyle w:val="Compact"/>
        <w:numPr>
          <w:ilvl w:val="0"/>
          <w:numId w:val="1079"/>
        </w:numPr>
      </w:pPr>
      <w:r>
        <w:rPr>
          <w:b/>
          <w:bCs/>
        </w:rPr>
        <w:t xml:space="preserve">Virginia.</w:t>
      </w:r>
    </w:p>
    <w:p>
      <w:pPr>
        <w:pStyle w:val="Compact"/>
        <w:numPr>
          <w:ilvl w:val="1"/>
          <w:numId w:val="1083"/>
        </w:numPr>
      </w:pPr>
      <w:r>
        <w:rPr>
          <w:b/>
          <w:bCs/>
        </w:rPr>
        <w:t xml:space="preserve">Who says it:</w:t>
      </w:r>
      <w:r>
        <w:t xml:space="preserve"> </w:t>
      </w:r>
      <w:r>
        <w:t xml:space="preserve">JLARC – the Joint Legislative Audit and Review Commission, the Virginia General Assembly's independent audit and evaluation agency. Its report "Data Centers in Virginia" (December 2024) found:</w:t>
      </w:r>
    </w:p>
    <w:p>
      <w:pPr>
        <w:pStyle w:val="Compact"/>
        <w:numPr>
          <w:ilvl w:val="2"/>
          <w:numId w:val="1084"/>
        </w:numPr>
      </w:pPr>
      <w:r>
        <w:t xml:space="preserve">The data center sales-tax exemption cost $928.6 million in fiscal year 2023, by far the state's largest economic development incentive. About 90% of the industry uses it.</w:t>
      </w:r>
    </w:p>
    <w:p>
      <w:pPr>
        <w:pStyle w:val="Compact"/>
        <w:numPr>
          <w:ilvl w:val="2"/>
          <w:numId w:val="1084"/>
        </w:numPr>
      </w:pPr>
      <w:r>
        <w:t xml:space="preserve">Each dollar of revenue given up brings back only about 48 cents in new state revenue [</w:t>
      </w:r>
      <w:hyperlink w:anchor="src-S60" w:history="1">
        <w:r>
          <w:rPr>
            <w:rStyle w:val="SourceLink"/>
          </w:rPr>
          <w:t xml:space="preserve">S60</w:t>
        </w:r>
      </w:hyperlink>
      <w:r>
        <w:t xml:space="preserve">].</w:t>
      </w:r>
    </w:p>
    <w:p>
      <w:pPr>
        <w:pStyle w:val="Compact"/>
        <w:numPr>
          <w:ilvl w:val="1"/>
          <w:numId w:val="1083"/>
        </w:numPr>
      </w:pPr>
      <w:r>
        <w:rPr>
          <w:b/>
          <w:bCs/>
        </w:rPr>
        <w:t xml:space="preserve">Fiscal year 2025:</w:t>
      </w:r>
      <w:r>
        <w:t xml:space="preserve"> </w:t>
      </w:r>
      <w:r>
        <w:t xml:space="preserve">Virginia's Annual Comprehensive Financial Report (the state's official annual financial statement) puts the cost at $1.6 billion, up 118% from the year before. When the break passed in 2008, it was projected to cost about $1.54 million a year (Senate Majority Leader Scott Surovell, via The Register) [</w:t>
      </w:r>
      <w:hyperlink w:anchor="src-S60" w:history="1">
        <w:r>
          <w:rPr>
            <w:rStyle w:val="SourceLink"/>
          </w:rPr>
          <w:t xml:space="preserve">S60</w:t>
        </w:r>
      </w:hyperlink>
      <w:r>
        <w:t xml:space="preserve">].</w:t>
      </w:r>
    </w:p>
    <w:p>
      <w:pPr>
        <w:pStyle w:val="Compact"/>
        <w:numPr>
          <w:ilvl w:val="1"/>
          <w:numId w:val="1083"/>
        </w:numPr>
      </w:pPr>
      <w:r>
        <w:rPr>
          <w:b/>
          <w:bCs/>
        </w:rPr>
        <w:t xml:space="preserve">Why losing tax money hurts:</w:t>
      </w:r>
    </w:p>
    <w:p>
      <w:pPr>
        <w:pStyle w:val="Compact"/>
        <w:numPr>
          <w:ilvl w:val="2"/>
          <w:numId w:val="1085"/>
        </w:numPr>
      </w:pPr>
      <w:r>
        <w:t xml:space="preserve">A tax break works like spending: the state gives up money it would otherwise collect, and that money is missing for schools, roads, police and health care.</w:t>
      </w:r>
    </w:p>
    <w:p>
      <w:pPr>
        <w:pStyle w:val="Compact"/>
        <w:numPr>
          <w:ilvl w:val="2"/>
          <w:numId w:val="1085"/>
        </w:numPr>
      </w:pPr>
      <w:r>
        <w:t xml:space="preserve">$1.6 billion equals the salaries of more than 20,000 Virginia teachers. According to the Virginia Department of Education, the average budgeted teacher salary in fiscal year 2025 was $73,808 [</w:t>
      </w:r>
      <w:hyperlink w:anchor="src-S113" w:history="1">
        <w:r>
          <w:rPr>
            <w:rStyle w:val="SourceLink"/>
          </w:rPr>
          <w:t xml:space="preserve">S113</w:t>
        </w:r>
      </w:hyperlink>
      <w:r>
        <w:t xml:space="preserve">].</w:t>
      </w:r>
    </w:p>
    <w:p>
      <w:pPr>
        <w:pStyle w:val="Compact"/>
        <w:numPr>
          <w:ilvl w:val="2"/>
          <w:numId w:val="1085"/>
        </w:numPr>
      </w:pPr>
      <w:r>
        <w:t xml:space="preserve">Unlike normal spending, a tax break needs no new vote each year. It grows automatically with the industry, from a projected $1.5 million to $1.6 billion [</w:t>
      </w:r>
      <w:hyperlink w:anchor="src-S60" w:history="1">
        <w:r>
          <w:rPr>
            <w:rStyle w:val="SourceLink"/>
          </w:rPr>
          <w:t xml:space="preserve">S60</w:t>
        </w:r>
      </w:hyperlink>
      <w:r>
        <w:t xml:space="preserve">]. And 12 states don't even report what they lose [</w:t>
      </w:r>
      <w:hyperlink w:anchor="src-S59" w:history="1">
        <w:r>
          <w:rPr>
            <w:rStyle w:val="SourceLink"/>
          </w:rPr>
          <w:t xml:space="preserve">S59</w:t>
        </w:r>
      </w:hyperlink>
      <w:r>
        <w:t xml:space="preserve">].</w:t>
      </w:r>
    </w:p>
    <w:p>
      <w:pPr>
        <w:pStyle w:val="Compact"/>
        <w:numPr>
          <w:ilvl w:val="2"/>
          <w:numId w:val="1085"/>
        </w:numPr>
      </w:pPr>
      <w:r>
        <w:t xml:space="preserve">The whole state pays, but the local property taxes go only to the few counties where the data centers stand [</w:t>
      </w:r>
      <w:hyperlink w:anchor="src-S60" w:history="1">
        <w:r>
          <w:rPr>
            <w:rStyle w:val="SourceLink"/>
          </w:rPr>
          <w:t xml:space="preserve">S60</w:t>
        </w:r>
      </w:hyperlink>
      <w:r>
        <w:t xml:space="preserve">,</w:t>
      </w:r>
      <w:r>
        <w:t xml:space="preserve"> </w:t>
      </w:r>
      <w:hyperlink w:anchor="src-S62" w:history="1">
        <w:r>
          <w:rPr>
            <w:rStyle w:val="SourceLink"/>
          </w:rPr>
          <w:t xml:space="preserve">S62</w:t>
        </w:r>
      </w:hyperlink>
      <w:r>
        <w:t xml:space="preserve">].</w:t>
      </w:r>
    </w:p>
    <w:p>
      <w:pPr>
        <w:pStyle w:val="Compact"/>
        <w:numPr>
          <w:ilvl w:val="0"/>
          <w:numId w:val="1000"/>
        </w:numPr>
      </w:pPr>
      <w:hyperlink w:anchor="p7-further" w:history="1">
        <w:r>
          <w:rPr>
            <w:rStyle w:val="NavLinkChar"/>
          </w:rPr>
          <w:t xml:space="preserve">(→ see Further explanation)</w:t>
        </w:r>
      </w:hyperlink>
    </w:p>
    <w:p>
      <w:pPr>
        <w:pStyle w:val="Caption"/>
      </w:pPr>
      <w:r>
        <w:rPr>
          <w:b/>
          <w:bCs/>
        </w:rPr>
        <w:t xml:space="preserve">Table 1 – Data center tax breaks: what states give up</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019"/>
        <w:gridCol w:w="2954"/>
        <w:gridCol w:w="3215"/>
        <w:gridCol w:w="1224"/>
      </w:tblGrid>
      <w:tr>
        <w:trPr>
          <w:tblHeader w:val="true"/>
        </w:trPr>
        <w:tc>
          <w:tcPr>
            <w:tcW w:w="2019" w:type="dxa"/>
            <w:shd w:val="clear" w:color="auto" w:fill="DCE6F2"/>
          </w:tcPr>
          <w:p>
            <w:pPr>
              <w:pStyle w:val="TableText"/>
              <w:jc w:val="left"/>
            </w:pPr>
            <w:r>
              <w:rPr>
                <w:b/>
              </w:rPr>
              <w:t xml:space="preserve">State</w:t>
            </w:r>
          </w:p>
        </w:tc>
        <w:tc>
          <w:tcPr>
            <w:tcW w:w="2954" w:type="dxa"/>
            <w:shd w:val="clear" w:color="auto" w:fill="DCE6F2"/>
          </w:tcPr>
          <w:p>
            <w:pPr>
              <w:pStyle w:val="TableText"/>
              <w:jc w:val="left"/>
            </w:pPr>
            <w:r>
              <w:rPr>
                <w:b/>
              </w:rPr>
              <w:t xml:space="preserve">Annual cost</w:t>
            </w:r>
          </w:p>
        </w:tc>
        <w:tc>
          <w:tcPr>
            <w:tcW w:w="3215" w:type="dxa"/>
            <w:shd w:val="clear" w:color="auto" w:fill="DCE6F2"/>
          </w:tcPr>
          <w:p>
            <w:pPr>
              <w:pStyle w:val="TableText"/>
              <w:jc w:val="left"/>
            </w:pPr>
            <w:r>
              <w:rPr>
                <w:b/>
              </w:rPr>
              <w:t xml:space="preserve">What comes back</w:t>
            </w:r>
          </w:p>
        </w:tc>
        <w:tc>
          <w:tcPr>
            <w:tcW w:w="1224" w:type="dxa"/>
            <w:shd w:val="clear" w:color="auto" w:fill="DCE6F2"/>
          </w:tcPr>
          <w:p>
            <w:pPr>
              <w:pStyle w:val="TableText"/>
              <w:jc w:val="left"/>
            </w:pPr>
            <w:r>
              <w:rPr>
                <w:b/>
              </w:rPr>
              <w:t xml:space="preserve">Source</w:t>
            </w:r>
          </w:p>
        </w:tc>
      </w:tr>
      <w:tr>
        <w:tc>
          <w:tcPr>
            <w:tcW w:w="2019" w:type="dxa"/>
          </w:tcPr>
          <w:p>
            <w:pPr>
              <w:pStyle w:val="TableText"/>
              <w:jc w:val="left"/>
            </w:pPr>
            <w:r>
              <w:t xml:space="preserve">Virginia</w:t>
            </w:r>
          </w:p>
        </w:tc>
        <w:tc>
          <w:tcPr>
            <w:tcW w:w="2954" w:type="dxa"/>
          </w:tcPr>
          <w:p>
            <w:pPr>
              <w:pStyle w:val="TableText"/>
              <w:jc w:val="left"/>
            </w:pPr>
            <w:r>
              <w:t xml:space="preserve">$928.6M (FY2023) → $1.6B (FY2025, state); about $1.94B including local sales tax</w:t>
            </w:r>
          </w:p>
        </w:tc>
        <w:tc>
          <w:tcPr>
            <w:tcW w:w="3215" w:type="dxa"/>
          </w:tcPr>
          <w:p>
            <w:pPr>
              <w:pStyle w:val="TableText"/>
              <w:jc w:val="left"/>
            </w:pPr>
            <w:r>
              <w:t xml:space="preserve">About 48 cents in state revenue per $1 → loses 52 cents</w:t>
            </w:r>
          </w:p>
        </w:tc>
        <w:tc>
          <w:tcPr>
            <w:tcW w:w="1224" w:type="dxa"/>
          </w:tcPr>
          <w:p>
            <w:pPr>
              <w:pStyle w:val="TableText"/>
              <w:jc w:val="left"/>
            </w:pPr>
            <w:r>
              <w:t xml:space="preserve">[</w:t>
            </w:r>
            <w:hyperlink w:anchor="src-S59" w:history="1">
              <w:r>
                <w:rPr>
                  <w:rStyle w:val="SourceLink"/>
                </w:rPr>
                <w:t xml:space="preserve">S59</w:t>
              </w:r>
            </w:hyperlink>
            <w:r>
              <w:t xml:space="preserve">,</w:t>
            </w:r>
            <w:r>
              <w:t xml:space="preserve"> </w:t>
            </w:r>
            <w:hyperlink w:anchor="src-S60" w:history="1">
              <w:r>
                <w:rPr>
                  <w:rStyle w:val="SourceLink"/>
                </w:rPr>
                <w:t xml:space="preserve">S60</w:t>
              </w:r>
            </w:hyperlink>
            <w:r>
              <w:t xml:space="preserve">]</w:t>
            </w:r>
          </w:p>
        </w:tc>
      </w:tr>
      <w:tr>
        <w:tc>
          <w:tcPr>
            <w:tcW w:w="2019" w:type="dxa"/>
          </w:tcPr>
          <w:p>
            <w:pPr>
              <w:pStyle w:val="TableText"/>
              <w:jc w:val="left"/>
            </w:pPr>
            <w:r>
              <w:t xml:space="preserve">Georgia</w:t>
            </w:r>
          </w:p>
        </w:tc>
        <w:tc>
          <w:tcPr>
            <w:tcW w:w="2954" w:type="dxa"/>
          </w:tcPr>
          <w:p>
            <w:pPr>
              <w:pStyle w:val="TableText"/>
              <w:jc w:val="left"/>
            </w:pPr>
            <w:r>
              <w:t xml:space="preserve">$472M (FY2025, state audit office); projected $2.5B (FY2026)</w:t>
            </w:r>
          </w:p>
        </w:tc>
        <w:tc>
          <w:tcPr>
            <w:tcW w:w="3215" w:type="dxa"/>
          </w:tcPr>
          <w:p>
            <w:pPr>
              <w:pStyle w:val="TableText"/>
              <w:jc w:val="left"/>
            </w:pPr>
            <w:r>
              <w:t xml:space="preserve">Loses 60–70 cents per $1 (figure shared with Washington state); 70% of data centers would have been built anyway</w:t>
            </w:r>
          </w:p>
        </w:tc>
        <w:tc>
          <w:tcPr>
            <w:tcW w:w="1224" w:type="dxa"/>
          </w:tcPr>
          <w:p>
            <w:pPr>
              <w:pStyle w:val="TableText"/>
              <w:jc w:val="left"/>
            </w:pPr>
            <w:r>
              <w:t xml:space="preserve">[</w:t>
            </w:r>
            <w:hyperlink w:anchor="src-S59" w:history="1">
              <w:r>
                <w:rPr>
                  <w:rStyle w:val="SourceLink"/>
                </w:rPr>
                <w:t xml:space="preserve">S59</w:t>
              </w:r>
            </w:hyperlink>
            <w:r>
              <w:t xml:space="preserve">,</w:t>
            </w:r>
            <w:r>
              <w:t xml:space="preserve"> </w:t>
            </w:r>
            <w:hyperlink w:anchor="src-S114" w:history="1">
              <w:r>
                <w:rPr>
                  <w:rStyle w:val="SourceLink"/>
                </w:rPr>
                <w:t xml:space="preserve">S114</w:t>
              </w:r>
            </w:hyperlink>
            <w:r>
              <w:t xml:space="preserve">]</w:t>
            </w:r>
          </w:p>
        </w:tc>
      </w:tr>
      <w:tr>
        <w:tc>
          <w:tcPr>
            <w:tcW w:w="2019" w:type="dxa"/>
          </w:tcPr>
          <w:p>
            <w:pPr>
              <w:pStyle w:val="TableText"/>
              <w:jc w:val="left"/>
            </w:pPr>
            <w:r>
              <w:t xml:space="preserve">Texas</w:t>
            </w:r>
          </w:p>
        </w:tc>
        <w:tc>
          <w:tcPr>
            <w:tcW w:w="2954" w:type="dxa"/>
          </w:tcPr>
          <w:p>
            <w:pPr>
              <w:pStyle w:val="TableText"/>
              <w:jc w:val="left"/>
            </w:pPr>
            <w:r>
              <w:t xml:space="preserve">More than $1B (FY2025) → $1.3B (FY2026, projected)</w:t>
            </w:r>
          </w:p>
        </w:tc>
        <w:tc>
          <w:tcPr>
            <w:tcW w:w="3215" w:type="dxa"/>
          </w:tcPr>
          <w:p>
            <w:pPr>
              <w:pStyle w:val="TableText"/>
              <w:jc w:val="left"/>
            </w:pPr>
            <w:r>
              <w:t xml:space="preserve">Not stated in the sources</w:t>
            </w:r>
          </w:p>
        </w:tc>
        <w:tc>
          <w:tcPr>
            <w:tcW w:w="1224" w:type="dxa"/>
          </w:tcPr>
          <w:p>
            <w:pPr>
              <w:pStyle w:val="TableText"/>
              <w:jc w:val="left"/>
            </w:pPr>
            <w:r>
              <w:t xml:space="preserve">[</w:t>
            </w:r>
            <w:hyperlink w:anchor="src-S59" w:history="1">
              <w:r>
                <w:rPr>
                  <w:rStyle w:val="SourceLink"/>
                </w:rPr>
                <w:t xml:space="preserve">S59</w:t>
              </w:r>
            </w:hyperlink>
            <w:r>
              <w:t xml:space="preserve">]</w:t>
            </w:r>
          </w:p>
        </w:tc>
      </w:tr>
      <w:tr>
        <w:tc>
          <w:tcPr>
            <w:tcW w:w="2019" w:type="dxa"/>
          </w:tcPr>
          <w:p>
            <w:pPr>
              <w:pStyle w:val="TableText"/>
              <w:jc w:val="left"/>
            </w:pPr>
            <w:r>
              <w:t xml:space="preserve">12 of 32 states with data center tax breaks</w:t>
            </w:r>
          </w:p>
        </w:tc>
        <w:tc>
          <w:tcPr>
            <w:tcW w:w="2954" w:type="dxa"/>
          </w:tcPr>
          <w:p>
            <w:pPr>
              <w:pStyle w:val="TableText"/>
              <w:jc w:val="left"/>
            </w:pPr>
            <w:r>
              <w:t xml:space="preserve">Unknown – not disclosed</w:t>
            </w:r>
          </w:p>
        </w:tc>
        <w:tc>
          <w:tcPr>
            <w:tcW w:w="3215" w:type="dxa"/>
          </w:tcPr>
          <w:p>
            <w:pPr>
              <w:pStyle w:val="TableText"/>
              <w:jc w:val="left"/>
            </w:pPr>
            <w:r>
              <w:t xml:space="preserve">Unknown</w:t>
            </w:r>
          </w:p>
        </w:tc>
        <w:tc>
          <w:tcPr>
            <w:tcW w:w="1224" w:type="dxa"/>
          </w:tcPr>
          <w:p>
            <w:pPr>
              <w:pStyle w:val="TableText"/>
              <w:jc w:val="left"/>
            </w:pPr>
            <w:r>
              <w:t xml:space="preserve">[</w:t>
            </w:r>
            <w:hyperlink w:anchor="src-S59" w:history="1">
              <w:r>
                <w:rPr>
                  <w:rStyle w:val="SourceLink"/>
                </w:rPr>
                <w:t xml:space="preserve">S59</w:t>
              </w:r>
            </w:hyperlink>
            <w:r>
              <w:t xml:space="preserve">]</w:t>
            </w:r>
          </w:p>
        </w:tc>
      </w:tr>
    </w:tbl>
    <w:p>
      <w:pPr>
        <w:pStyle w:val="Caption"/>
        <w:spacing w:before="200"/>
      </w:pPr>
      <w:r>
        <w:rPr>
          <w:b/>
          <w:bCs/>
        </w:rPr>
        <w:t xml:space="preserve">Table 2 – Investment vs. permanent jobs</w:t>
      </w:r>
    </w:p>
    <w:tbl>
      <w:tblPr>
        <w:tblStyle w:val="Table"/>
        <w:tblW w:type="dxa" w:w="9412"/>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Row="1" w:lastRow="0" w:firstColumn="0" w:lastColumn="0" w:noHBand="0" w:noVBand="0" w:val="0020"/>
      </w:tblPr>
      <w:tblGrid>
        <w:gridCol w:w="2546"/>
        <w:gridCol w:w="2251"/>
        <w:gridCol w:w="3391"/>
        <w:gridCol w:w="1224"/>
      </w:tblGrid>
      <w:tr>
        <w:trPr>
          <w:tblHeader w:val="true"/>
        </w:trPr>
        <w:tc>
          <w:tcPr>
            <w:tcW w:w="2546" w:type="dxa"/>
            <w:shd w:val="clear" w:color="auto" w:fill="DCE6F2"/>
          </w:tcPr>
          <w:p>
            <w:pPr>
              <w:pStyle w:val="TableText"/>
              <w:jc w:val="left"/>
            </w:pPr>
            <w:r>
              <w:rPr>
                <w:b/>
              </w:rPr>
              <w:t xml:space="preserve">Project / place</w:t>
            </w:r>
          </w:p>
        </w:tc>
        <w:tc>
          <w:tcPr>
            <w:tcW w:w="2251" w:type="dxa"/>
            <w:shd w:val="clear" w:color="auto" w:fill="DCE6F2"/>
          </w:tcPr>
          <w:p>
            <w:pPr>
              <w:pStyle w:val="TableText"/>
              <w:jc w:val="left"/>
            </w:pPr>
            <w:r>
              <w:rPr>
                <w:b/>
              </w:rPr>
              <w:t xml:space="preserve">Investment</w:t>
            </w:r>
          </w:p>
        </w:tc>
        <w:tc>
          <w:tcPr>
            <w:tcW w:w="3391" w:type="dxa"/>
            <w:shd w:val="clear" w:color="auto" w:fill="DCE6F2"/>
          </w:tcPr>
          <w:p>
            <w:pPr>
              <w:pStyle w:val="TableText"/>
              <w:jc w:val="left"/>
            </w:pPr>
            <w:r>
              <w:rPr>
                <w:b/>
              </w:rPr>
              <w:t xml:space="preserve">Jobs</w:t>
            </w:r>
          </w:p>
        </w:tc>
        <w:tc>
          <w:tcPr>
            <w:tcW w:w="1224" w:type="dxa"/>
            <w:shd w:val="clear" w:color="auto" w:fill="DCE6F2"/>
          </w:tcPr>
          <w:p>
            <w:pPr>
              <w:pStyle w:val="TableText"/>
              <w:jc w:val="left"/>
            </w:pPr>
            <w:r>
              <w:rPr>
                <w:b/>
              </w:rPr>
              <w:t xml:space="preserve">Source</w:t>
            </w:r>
          </w:p>
        </w:tc>
      </w:tr>
      <w:tr>
        <w:tc>
          <w:tcPr>
            <w:tcW w:w="2546" w:type="dxa"/>
          </w:tcPr>
          <w:p>
            <w:pPr>
              <w:pStyle w:val="TableText"/>
              <w:jc w:val="left"/>
            </w:pPr>
            <w:r>
              <w:t xml:space="preserve">Meta, Beaver Dam (Wisconsin)</w:t>
            </w:r>
          </w:p>
        </w:tc>
        <w:tc>
          <w:tcPr>
            <w:tcW w:w="2251" w:type="dxa"/>
          </w:tcPr>
          <w:p>
            <w:pPr>
              <w:pStyle w:val="TableText"/>
              <w:jc w:val="left"/>
            </w:pPr>
            <w:r>
              <w:t xml:space="preserve">More than $1 billion</w:t>
            </w:r>
          </w:p>
        </w:tc>
        <w:tc>
          <w:tcPr>
            <w:tcW w:w="3391" w:type="dxa"/>
          </w:tcPr>
          <w:p>
            <w:pPr>
              <w:pStyle w:val="TableText"/>
              <w:jc w:val="left"/>
            </w:pPr>
            <w:r>
              <w:t xml:space="preserve">More than 1,000 construction workers at peak; just over 100 permanent jobs</w:t>
            </w:r>
          </w:p>
        </w:tc>
        <w:tc>
          <w:tcPr>
            <w:tcW w:w="1224" w:type="dxa"/>
          </w:tcPr>
          <w:p>
            <w:pPr>
              <w:pStyle w:val="TableText"/>
              <w:jc w:val="left"/>
            </w:pPr>
            <w:r>
              <w:t xml:space="preserve">[</w:t>
            </w:r>
            <w:hyperlink w:anchor="src-S61" w:history="1">
              <w:r>
                <w:rPr>
                  <w:rStyle w:val="SourceLink"/>
                </w:rPr>
                <w:t xml:space="preserve">S61</w:t>
              </w:r>
            </w:hyperlink>
            <w:r>
              <w:t xml:space="preserve">]</w:t>
            </w:r>
          </w:p>
        </w:tc>
      </w:tr>
      <w:tr>
        <w:tc>
          <w:tcPr>
            <w:tcW w:w="2546" w:type="dxa"/>
          </w:tcPr>
          <w:p>
            <w:pPr>
              <w:pStyle w:val="TableText"/>
              <w:jc w:val="left"/>
            </w:pPr>
            <w:r>
              <w:t xml:space="preserve">Meta "Hyperion", Richland Parish (Louisiana)</w:t>
            </w:r>
          </w:p>
        </w:tc>
        <w:tc>
          <w:tcPr>
            <w:tcW w:w="2251" w:type="dxa"/>
          </w:tcPr>
          <w:p>
            <w:pPr>
              <w:pStyle w:val="TableText"/>
              <w:jc w:val="left"/>
            </w:pPr>
            <w:r>
              <w:t xml:space="preserve">$10 billion (2024), now more than $50 billion</w:t>
            </w:r>
          </w:p>
        </w:tc>
        <w:tc>
          <w:tcPr>
            <w:tcW w:w="3391" w:type="dxa"/>
          </w:tcPr>
          <w:p>
            <w:pPr>
              <w:pStyle w:val="TableText"/>
              <w:jc w:val="left"/>
            </w:pPr>
            <w:r>
              <w:t xml:space="preserve">Up to 5,000 construction workers at peak; 500 direct jobs by 2032</w:t>
            </w:r>
          </w:p>
        </w:tc>
        <w:tc>
          <w:tcPr>
            <w:tcW w:w="1224" w:type="dxa"/>
          </w:tcPr>
          <w:p>
            <w:pPr>
              <w:pStyle w:val="TableText"/>
              <w:jc w:val="left"/>
            </w:pPr>
            <w:r>
              <w:t xml:space="preserve">[</w:t>
            </w:r>
            <w:hyperlink w:anchor="src-S115" w:history="1">
              <w:r>
                <w:rPr>
                  <w:rStyle w:val="SourceLink"/>
                </w:rPr>
                <w:t xml:space="preserve">S115</w:t>
              </w:r>
            </w:hyperlink>
            <w:r>
              <w:t xml:space="preserve">]</w:t>
            </w:r>
          </w:p>
        </w:tc>
      </w:tr>
      <w:tr>
        <w:tc>
          <w:tcPr>
            <w:tcW w:w="2546" w:type="dxa"/>
          </w:tcPr>
          <w:p>
            <w:pPr>
              <w:pStyle w:val="TableText"/>
              <w:jc w:val="left"/>
            </w:pPr>
            <w:r>
              <w:t xml:space="preserve">Virginia (whole industry)</w:t>
            </w:r>
          </w:p>
        </w:tc>
        <w:tc>
          <w:tcPr>
            <w:tcW w:w="2251" w:type="dxa"/>
          </w:tcPr>
          <w:p>
            <w:pPr>
              <w:pStyle w:val="TableText"/>
              <w:jc w:val="left"/>
            </w:pPr>
            <w:r>
              <w:t xml:space="preserve">–</w:t>
            </w:r>
          </w:p>
        </w:tc>
        <w:tc>
          <w:tcPr>
            <w:tcW w:w="3391" w:type="dxa"/>
          </w:tcPr>
          <w:p>
            <w:pPr>
              <w:pStyle w:val="TableText"/>
              <w:jc w:val="left"/>
            </w:pPr>
            <w:r>
              <w:t xml:space="preserve">About 74,000 jobs supported: about 59,000 in construction, about 15,000 in operations</w:t>
            </w:r>
          </w:p>
        </w:tc>
        <w:tc>
          <w:tcPr>
            <w:tcW w:w="1224" w:type="dxa"/>
          </w:tcPr>
          <w:p>
            <w:pPr>
              <w:pStyle w:val="TableText"/>
              <w:jc w:val="left"/>
            </w:pPr>
            <w:r>
              <w:t xml:space="preserve">[</w:t>
            </w:r>
            <w:hyperlink w:anchor="src-S60" w:history="1">
              <w:r>
                <w:rPr>
                  <w:rStyle w:val="SourceLink"/>
                </w:rPr>
                <w:t xml:space="preserve">S60</w:t>
              </w:r>
            </w:hyperlink>
            <w:r>
              <w:t xml:space="preserve">]</w:t>
            </w:r>
          </w:p>
        </w:tc>
      </w:tr>
      <w:tr>
        <w:tc>
          <w:tcPr>
            <w:tcW w:w="2546" w:type="dxa"/>
          </w:tcPr>
          <w:p>
            <w:pPr>
              <w:pStyle w:val="TableText"/>
              <w:jc w:val="left"/>
            </w:pPr>
            <w:r>
              <w:t xml:space="preserve">Georgia (whole industry, corrected audit)</w:t>
            </w:r>
          </w:p>
        </w:tc>
        <w:tc>
          <w:tcPr>
            <w:tcW w:w="2251" w:type="dxa"/>
          </w:tcPr>
          <w:p>
            <w:pPr>
              <w:pStyle w:val="TableText"/>
              <w:jc w:val="left"/>
            </w:pPr>
            <w:r>
              <w:t xml:space="preserve">–</w:t>
            </w:r>
          </w:p>
        </w:tc>
        <w:tc>
          <w:tcPr>
            <w:tcW w:w="3391" w:type="dxa"/>
          </w:tcPr>
          <w:p>
            <w:pPr>
              <w:pStyle w:val="TableText"/>
              <w:jc w:val="left"/>
            </w:pPr>
            <w:r>
              <w:t xml:space="preserve">8,505 construction jobs, 1,641 operations jobs</w:t>
            </w:r>
          </w:p>
        </w:tc>
        <w:tc>
          <w:tcPr>
            <w:tcW w:w="1224" w:type="dxa"/>
          </w:tcPr>
          <w:p>
            <w:pPr>
              <w:pStyle w:val="TableText"/>
              <w:jc w:val="left"/>
            </w:pPr>
            <w:r>
              <w:t xml:space="preserve">[</w:t>
            </w:r>
            <w:hyperlink w:anchor="src-S114" w:history="1">
              <w:r>
                <w:rPr>
                  <w:rStyle w:val="SourceLink"/>
                </w:rPr>
                <w:t xml:space="preserve">S114</w:t>
              </w:r>
            </w:hyperlink>
            <w:r>
              <w:t xml:space="preserve">]</w:t>
            </w:r>
          </w:p>
        </w:tc>
      </w:tr>
    </w:tbl>
    <w:p>
      <w:pPr>
        <w:pStyle w:val="BodyText"/>
        <w:spacing w:before="200"/>
      </w:pPr>
      <w:r>
        <w:rPr>
          <w:b/>
          <w:bCs/>
        </w:rPr>
        <w:t xml:space="preserve">Judge Impact:</w:t>
      </w:r>
      <w:r>
        <w:t xml:space="preserve"> </w:t>
      </w:r>
      <w:r>
        <w:t xml:space="preserve">It is the judge's tax money too. Billions in tax breaks for about 100 permanent jobs per billion dollars is a bad deal for the public – especially when most of the projects would have come anyway [</w:t>
      </w:r>
      <w:hyperlink w:anchor="src-S114" w:history="1">
        <w:r>
          <w:rPr>
            <w:rStyle w:val="SourceLink"/>
          </w:rPr>
          <w:t xml:space="preserve">S114</w:t>
        </w:r>
      </w:hyperlink>
      <w:r>
        <w:t xml:space="preserve">]. A short pause lets us set the conditions before the next wave of deals is signed.</w:t>
      </w:r>
    </w:p>
    <w:bookmarkStart w:id="122" w:name="p7-further"/>
    <w:p>
      <w:pPr>
        <w:pStyle w:val="Heading4"/>
      </w:pPr>
      <w:r>
        <w:t xml:space="preserve">Further explanation (Warrant)</w:t>
      </w:r>
    </w:p>
    <w:p>
      <w:pPr>
        <w:pStyle w:val="Compact"/>
        <w:numPr>
          <w:ilvl w:val="0"/>
          <w:numId w:val="1086"/>
        </w:numPr>
      </w:pPr>
      <w:r>
        <w:rPr>
          <w:b/>
          <w:bCs/>
        </w:rPr>
        <w:t xml:space="preserve">Why few jobs remain:</w:t>
      </w:r>
      <w:r>
        <w:t xml:space="preserve"> </w:t>
      </w:r>
      <w:r>
        <w:t xml:space="preserve">A data center is a building full of machines. Once it is built, the machines run largely automatically, so only a small team remains:</w:t>
      </w:r>
    </w:p>
    <w:p>
      <w:pPr>
        <w:pStyle w:val="Compact"/>
        <w:numPr>
          <w:ilvl w:val="1"/>
          <w:numId w:val="1087"/>
        </w:numPr>
      </w:pPr>
      <w:r>
        <w:t xml:space="preserve">just over 100 permanent jobs for a $1 billion campus [</w:t>
      </w:r>
      <w:hyperlink w:anchor="src-S61" w:history="1">
        <w:r>
          <w:rPr>
            <w:rStyle w:val="SourceLink"/>
          </w:rPr>
          <w:t xml:space="preserve">S61</w:t>
        </w:r>
      </w:hyperlink>
      <w:r>
        <w:t xml:space="preserve">];</w:t>
      </w:r>
    </w:p>
    <w:p>
      <w:pPr>
        <w:pStyle w:val="Compact"/>
        <w:numPr>
          <w:ilvl w:val="1"/>
          <w:numId w:val="1087"/>
        </w:numPr>
      </w:pPr>
      <w:r>
        <w:t xml:space="preserve">in Virginia, about 15,000 operations jobs vs. about 59,000 in construction [</w:t>
      </w:r>
      <w:hyperlink w:anchor="src-S60" w:history="1">
        <w:r>
          <w:rPr>
            <w:rStyle w:val="SourceLink"/>
          </w:rPr>
          <w:t xml:space="preserve">S60</w:t>
        </w:r>
      </w:hyperlink>
      <w:r>
        <w:t xml:space="preserve">];</w:t>
      </w:r>
    </w:p>
    <w:p>
      <w:pPr>
        <w:pStyle w:val="Compact"/>
        <w:numPr>
          <w:ilvl w:val="1"/>
          <w:numId w:val="1087"/>
        </w:numPr>
      </w:pPr>
      <w:r>
        <w:t xml:space="preserve">in Georgia, 1,641 operations jobs vs. 8,505 in construction [</w:t>
      </w:r>
      <w:hyperlink w:anchor="src-S114" w:history="1">
        <w:r>
          <w:rPr>
            <w:rStyle w:val="SourceLink"/>
          </w:rPr>
          <w:t xml:space="preserve">S114</w:t>
        </w:r>
      </w:hyperlink>
      <w:r>
        <w:t xml:space="preserve">].</w:t>
      </w:r>
    </w:p>
    <w:p>
      <w:pPr>
        <w:pStyle w:val="Compact"/>
        <w:numPr>
          <w:ilvl w:val="0"/>
          <w:numId w:val="1086"/>
        </w:numPr>
      </w:pPr>
      <w:r>
        <w:rPr>
          <w:b/>
          <w:bCs/>
        </w:rPr>
        <w:t xml:space="preserve">Why a tax break is a cost:</w:t>
      </w:r>
      <w:r>
        <w:t xml:space="preserve"> </w:t>
      </w:r>
      <w:r>
        <w:t xml:space="preserve">A tax exemption is money that does not go to schools, roads or police. $1.6 billion equals the salaries of more than 20,000 Virginia teachers [</w:t>
      </w:r>
      <w:hyperlink w:anchor="src-S113" w:history="1">
        <w:r>
          <w:rPr>
            <w:rStyle w:val="SourceLink"/>
          </w:rPr>
          <w:t xml:space="preserve">S113</w:t>
        </w:r>
      </w:hyperlink>
      <w:r>
        <w:t xml:space="preserve">]. Unlike normal spending, it needs no new vote each year and grows automatically with the industry [</w:t>
      </w:r>
      <w:hyperlink w:anchor="src-S60" w:history="1">
        <w:r>
          <w:rPr>
            <w:rStyle w:val="SourceLink"/>
          </w:rPr>
          <w:t xml:space="preserve">S60</w:t>
        </w:r>
      </w:hyperlink>
      <w:r>
        <w:t xml:space="preserve">].</w:t>
      </w:r>
    </w:p>
    <w:p>
      <w:pPr>
        <w:pStyle w:val="Compact"/>
        <w:numPr>
          <w:ilvl w:val="0"/>
          <w:numId w:val="1086"/>
        </w:numPr>
      </w:pPr>
      <w:r>
        <w:rPr>
          <w:b/>
          <w:bCs/>
        </w:rPr>
        <w:t xml:space="preserve">Why the public doesn't get it back:</w:t>
      </w:r>
      <w:r>
        <w:t xml:space="preserve"> </w:t>
      </w:r>
      <w:r>
        <w:t xml:space="preserve">States get back only 30 to 48 cents per dollar [</w:t>
      </w:r>
      <w:hyperlink w:anchor="src-S59" w:history="1">
        <w:r>
          <w:rPr>
            <w:rStyle w:val="SourceLink"/>
          </w:rPr>
          <w:t xml:space="preserve">S59</w:t>
        </w:r>
      </w:hyperlink>
      <w:r>
        <w:t xml:space="preserve">,</w:t>
      </w:r>
      <w:r>
        <w:t xml:space="preserve"> </w:t>
      </w:r>
      <w:hyperlink w:anchor="src-S60" w:history="1">
        <w:r>
          <w:rPr>
            <w:rStyle w:val="SourceLink"/>
          </w:rPr>
          <w:t xml:space="preserve">S60</w:t>
        </w:r>
      </w:hyperlink>
      <w:r>
        <w:t xml:space="preserve">], and 70% of the projects would have come anyway [</w:t>
      </w:r>
      <w:hyperlink w:anchor="src-S114" w:history="1">
        <w:r>
          <w:rPr>
            <w:rStyle w:val="SourceLink"/>
          </w:rPr>
          <w:t xml:space="preserve">S114</w:t>
        </w:r>
      </w:hyperlink>
      <w:r>
        <w:t xml:space="preserve">]. So taxpayers are subsidizing some of the richest companies in the world.</w:t>
      </w:r>
    </w:p>
    <w:p>
      <w:pPr>
        <w:pStyle w:val="Compact"/>
        <w:numPr>
          <w:ilvl w:val="0"/>
          <w:numId w:val="1086"/>
        </w:numPr>
      </w:pPr>
      <w:r>
        <w:rPr>
          <w:b/>
          <w:bCs/>
        </w:rPr>
        <w:t xml:space="preserve">Why a moratorium is the window:</w:t>
      </w:r>
      <w:r>
        <w:t xml:space="preserve"> </w:t>
      </w:r>
      <w:r>
        <w:t xml:space="preserve">These deals run for decades. Virginia's exemption runs until 2035 [</w:t>
      </w:r>
      <w:hyperlink w:anchor="src-S117" w:history="1">
        <w:r>
          <w:rPr>
            <w:rStyle w:val="SourceLink"/>
          </w:rPr>
          <w:t xml:space="preserve">S117</w:t>
        </w:r>
      </w:hyperlink>
      <w:r>
        <w:t xml:space="preserve">], and Richland Parish's tax break for Meta lasts 30 years [</w:t>
      </w:r>
      <w:hyperlink w:anchor="src-S115" w:history="1">
        <w:r>
          <w:rPr>
            <w:rStyle w:val="SourceLink"/>
          </w:rPr>
          <w:t xml:space="preserve">S115</w:t>
        </w:r>
      </w:hyperlink>
      <w:r>
        <w:t xml:space="preserve">]. Once signed, they are hard to change. A pause stops new deals until three conditions are the national standard:</w:t>
      </w:r>
    </w:p>
    <w:p>
      <w:pPr>
        <w:pStyle w:val="Compact"/>
        <w:numPr>
          <w:ilvl w:val="1"/>
          <w:numId w:val="1088"/>
        </w:numPr>
      </w:pPr>
      <w:r>
        <w:rPr>
          <w:b/>
          <w:bCs/>
        </w:rPr>
        <w:t xml:space="preserve">Disclosure:</w:t>
      </w:r>
      <w:r>
        <w:t xml:space="preserve"> </w:t>
      </w:r>
      <w:r>
        <w:t xml:space="preserve">who gets how much, published company by company. Today, 12 of 32 states don't even report their losses [</w:t>
      </w:r>
      <w:hyperlink w:anchor="src-S59" w:history="1">
        <w:r>
          <w:rPr>
            <w:rStyle w:val="SourceLink"/>
          </w:rPr>
          <w:t xml:space="preserve">S59</w:t>
        </w:r>
      </w:hyperlink>
      <w:r>
        <w:t xml:space="preserve">].</w:t>
      </w:r>
    </w:p>
    <w:p>
      <w:pPr>
        <w:pStyle w:val="Compact"/>
        <w:numPr>
          <w:ilvl w:val="1"/>
          <w:numId w:val="1088"/>
        </w:numPr>
      </w:pPr>
      <w:r>
        <w:rPr>
          <w:b/>
          <w:bCs/>
        </w:rPr>
        <w:t xml:space="preserve">Job guarantees:</w:t>
      </w:r>
      <w:r>
        <w:t xml:space="preserve"> </w:t>
      </w:r>
      <w:r>
        <w:t xml:space="preserve">a binding minimum of permanent jobs.</w:t>
      </w:r>
    </w:p>
    <w:p>
      <w:pPr>
        <w:pStyle w:val="Compact"/>
        <w:numPr>
          <w:ilvl w:val="1"/>
          <w:numId w:val="1088"/>
        </w:numPr>
      </w:pPr>
      <w:r>
        <w:rPr>
          <w:b/>
          <w:bCs/>
        </w:rPr>
        <w:t xml:space="preserve">Claw-backs:</w:t>
      </w:r>
      <w:r>
        <w:t xml:space="preserve"> </w:t>
      </w:r>
      <w:r>
        <w:t xml:space="preserve">money comes back if promises are not kept, as Washington state already requires [</w:t>
      </w:r>
      <w:hyperlink w:anchor="src-S118" w:history="1">
        <w:r>
          <w:rPr>
            <w:rStyle w:val="SourceLink"/>
          </w:rPr>
          <w:t xml:space="preserve">S118</w:t>
        </w:r>
      </w:hyperlink>
      <w:r>
        <w:t xml:space="preserve">].</w:t>
      </w:r>
    </w:p>
    <w:p>
      <w:pPr>
        <w:pStyle w:val="Compact"/>
        <w:numPr>
          <w:ilvl w:val="1"/>
          <w:numId w:val="1088"/>
        </w:numPr>
      </w:pPr>
      <w:r>
        <w:t xml:space="preserve">Good Jobs First itself recommends pausing new subsidies until caps and safeguards are in place [</w:t>
      </w:r>
      <w:hyperlink w:anchor="src-S59" w:history="1">
        <w:r>
          <w:rPr>
            <w:rStyle w:val="SourceLink"/>
          </w:rPr>
          <w:t xml:space="preserve">S59</w:t>
        </w:r>
      </w:hyperlink>
      <w:r>
        <w:t xml:space="preserve">].</w:t>
      </w:r>
    </w:p>
    <w:bookmarkEnd w:id="122"/>
    <w:bookmarkStart w:id="123" w:name="p7-conclusion"/>
    <w:p>
      <w:pPr>
        <w:pStyle w:val="Heading4"/>
      </w:pPr>
      <w:r>
        <w:t xml:space="preserve">Conclusion</w:t>
      </w:r>
    </w:p>
    <w:p>
      <w:pPr>
        <w:pStyle w:val="FirstParagraph"/>
      </w:pPr>
      <w:r>
        <w:t xml:space="preserve">Data centers are not charities, and the public should not be their bank. Today, states give away billions – Virginia alone $1.6 billion a year – and get back less than half, while most of the jobs leave with the cranes. A moratorium stops the next wave of deals until the rules are fair: disclose who gets what, guarantee real jobs, and take the money back when promises are broken. Then we build – on terms that work for taxpayers, not just for the richest companies in the world.</w:t>
      </w:r>
    </w:p>
    <w:bookmarkEnd w:id="123"/>
    <w:bookmarkEnd w:id="124"/>
    <w:bookmarkEnd w:id="125"/>
    <w:bookmarkEnd w:id="126"/>
    <w:bookmarkStart w:id="127" w:name="part-d"/>
    <w:p>
      <w:pPr>
        <w:pStyle w:val="Heading1"/>
        <w:pageBreakBefore/>
      </w:pPr>
      <w:r>
        <w:t xml:space="preserve">Part D – Contra-Arguments → Pro-Rebuttal → Contra-Frontline</w:t>
      </w:r>
    </w:p>
    <w:p>
      <w:pPr>
        <w:pStyle w:val="Hint"/>
      </w:pPr>
      <w:r>
        <w:rPr>
          <w:i/>
          <w:iCs/>
        </w:rPr>
        <w:t xml:space="preserve">Wird später ergänzt (C1–C8).</w:t>
      </w:r>
    </w:p>
    <w:bookmarkEnd w:id="127"/>
    <w:bookmarkStart w:id="481" w:name="part-e"/>
    <w:p>
      <w:pPr>
        <w:pStyle w:val="Heading1"/>
        <w:pageBreakBefore/>
      </w:pPr>
      <w:r>
        <w:t xml:space="preserve">Part E – Sources</w:t>
      </w:r>
    </w:p>
    <w:p>
      <w:pPr>
        <w:pStyle w:val="Hint"/>
      </w:pPr>
      <w:r>
        <w:rPr>
          <w:i/>
          <w:iCs/>
        </w:rPr>
        <w:t xml:space="preserve">Every source card has a bookmark: the [S#] tags in Parts A–C link here, and the “Used” line of each card links back to the sections that cite it. Card links lead to the original sources.</w:t>
      </w:r>
    </w:p>
    <w:bookmarkStart w:id="129" w:name="src-S1"/>
    <w:p>
      <w:pPr>
        <w:pStyle w:val="Heading2"/>
      </w:pPr>
      <w:r>
        <w:t xml:space="preserve">S1 – Legal Information Institute (Cornell Law School): “moratorium”</w:t>
      </w:r>
    </w:p>
    <w:p>
      <w:pPr>
        <w:pStyle w:val="CardField"/>
      </w:pPr>
      <w:r>
        <w:rPr>
          <w:b/>
          <w:bCs/>
        </w:rPr>
        <w:t xml:space="preserve">Who &amp; When:</w:t>
      </w:r>
      <w:r>
        <w:t xml:space="preserve"> </w:t>
      </w:r>
      <w:r>
        <w:t xml:space="preserve">Legal Information Institute (LII) at Cornell Law School, “Wex” legal encyclopedia; last reviewed July 2026.</w:t>
      </w:r>
    </w:p>
    <w:p>
      <w:pPr>
        <w:pStyle w:val="CardField"/>
      </w:pPr>
      <w:r>
        <w:rPr>
          <w:b/>
          <w:bCs/>
        </w:rPr>
        <w:t xml:space="preserve">Origin:</w:t>
      </w:r>
      <w:r>
        <w:t xml:space="preserve"> </w:t>
      </w:r>
      <w:r>
        <w:t xml:space="preserve">Legal encyclopedia definition, editorially managed.</w:t>
      </w:r>
    </w:p>
    <w:p>
      <w:pPr>
        <w:pStyle w:val="CardField"/>
      </w:pPr>
      <w:r>
        <w:rPr>
          <w:b/>
          <w:bCs/>
        </w:rPr>
        <w:t xml:space="preserve">Context &amp; Classification:</w:t>
      </w:r>
      <w:r>
        <w:t xml:space="preserve"> </w:t>
      </w:r>
      <w:r>
        <w:t xml:space="preserve">Reputable, open-access legal reference; references the Supreme Court ruling</w:t>
      </w:r>
      <w:r>
        <w:t xml:space="preserve"> </w:t>
      </w:r>
      <w:r>
        <w:rPr>
          <w:i/>
          <w:iCs/>
        </w:rPr>
        <w:t xml:space="preserve">Tahoe-Sierra</w:t>
      </w:r>
      <w:r>
        <w:t xml:space="preserve"> </w:t>
      </w:r>
      <w:r>
        <w:t xml:space="preserve">(2002).</w:t>
      </w:r>
    </w:p>
    <w:p>
      <w:pPr>
        <w:pStyle w:val="CardField"/>
      </w:pPr>
      <w:r>
        <w:rPr>
          <w:b/>
          <w:bCs/>
        </w:rPr>
        <w:t xml:space="preserve">Key Takeaways:</w:t>
      </w:r>
      <w:r>
        <w:t xml:space="preserve"> </w:t>
      </w:r>
      <w:r>
        <w:t xml:space="preserve">Moratorium = suspension of an activity “for a period of time”; duration can be predetermined, indefinite, or tied to the fulfillment of a specific purpose. Moratoriums do not constitute automatic expropriation, though they may give rise to compensation claims in individual cases.</w:t>
      </w:r>
    </w:p>
    <w:p>
      <w:pPr>
        <w:pStyle w:val="CardField"/>
      </w:pPr>
      <w:r>
        <w:rPr>
          <w:b/>
          <w:bCs/>
        </w:rPr>
        <w:t xml:space="preserve">Potential Counterpoints/Vulnerabilities:</w:t>
      </w:r>
      <w:r>
        <w:t xml:space="preserve"> </w:t>
      </w:r>
      <w:r>
        <w:t xml:space="preserve">Both sides can utilize this definition: the PRO side emphasizes “for a period of time,” while the CONTRA side emphasizes that it can be “indefinite.”</w:t>
      </w:r>
    </w:p>
    <w:p>
      <w:pPr>
        <w:pStyle w:val="CardField"/>
      </w:pPr>
      <w:r>
        <w:rPr>
          <w:b/>
          <w:bCs/>
        </w:rPr>
        <w:t xml:space="preserve">Original Quote:</w:t>
      </w:r>
      <w:r>
        <w:t xml:space="preserve"> </w:t>
      </w:r>
      <w:r>
        <w:t xml:space="preserve">“A moratorium is the authorization to either postpone the repayment of debts, the performance of obligations, or to suspend an activity or law for a period of time. A moratorium may stay in place for a pre-determined amount of time, indefinitely, or until the purpose for which the moratorium was granted is satisfied or resolved.”</w:t>
      </w:r>
    </w:p>
    <w:p>
      <w:pPr>
        <w:pStyle w:val="CardField"/>
      </w:pPr>
      <w:r>
        <w:rPr>
          <w:b/>
          <w:bCs/>
        </w:rPr>
        <w:t xml:space="preserve">Link:</w:t>
      </w:r>
      <w:r>
        <w:t xml:space="preserve"> </w:t>
      </w:r>
      <w:hyperlink r:id="rId128" w:history="1">
        <w:r>
          <w:rPr>
            <w:rStyle w:val="Hyperlink"/>
          </w:rPr>
          <w:t xml:space="preserve">https://www.law.cornell.edu/wex/moratorium</w:t>
        </w:r>
      </w:hyperlink>
    </w:p>
    <w:p>
      <w:pPr>
        <w:pStyle w:val="CardField"/>
      </w:pPr>
      <w:r>
        <w:rPr>
          <w:b/>
          <w:bCs/>
        </w:rPr>
        <w:t xml:space="preserve">Used:</w:t>
      </w:r>
      <w:r>
        <w:t xml:space="preserve"> </w:t>
      </w:r>
      <w:hyperlink w:anchor="a2" w:history="1">
        <w:r>
          <w:rPr>
            <w:rStyle w:val="NavLinkChar"/>
          </w:rPr>
          <w:t xml:space="preserve">A2</w:t>
        </w:r>
      </w:hyperlink>
      <w:r>
        <w:t xml:space="preserve">,</w:t>
      </w:r>
      <w:r>
        <w:t xml:space="preserve"> </w:t>
      </w:r>
      <w:hyperlink w:anchor="a5" w:history="1">
        <w:r>
          <w:rPr>
            <w:rStyle w:val="NavLinkChar"/>
          </w:rPr>
          <w:t xml:space="preserve">A5</w:t>
        </w:r>
      </w:hyperlink>
      <w:r>
        <w:t xml:space="preserve">,</w:t>
      </w:r>
      <w:r>
        <w:t xml:space="preserve"> </w:t>
      </w:r>
      <w:hyperlink w:anchor="b1" w:history="1">
        <w:r>
          <w:rPr>
            <w:rStyle w:val="NavLinkChar"/>
          </w:rPr>
          <w:t xml:space="preserve">B1</w:t>
        </w:r>
      </w:hyperlink>
      <w:r>
        <w:t xml:space="preserve">,</w:t>
      </w:r>
      <w:r>
        <w:t xml:space="preserve"> </w:t>
      </w:r>
      <w:hyperlink w:anchor="b2" w:history="1">
        <w:r>
          <w:rPr>
            <w:rStyle w:val="NavLinkChar"/>
          </w:rPr>
          <w:t xml:space="preserve">B2</w:t>
        </w:r>
      </w:hyperlink>
      <w:r>
        <w:t xml:space="preserve">,</w:t>
      </w:r>
      <w:r>
        <w:t xml:space="preserve"> </w:t>
      </w:r>
      <w:hyperlink w:anchor="p5" w:history="1">
        <w:r>
          <w:rPr>
            <w:rStyle w:val="NavLinkChar"/>
          </w:rPr>
          <w:t xml:space="preserve">P5</w:t>
        </w:r>
      </w:hyperlink>
    </w:p>
    <w:bookmarkEnd w:id="129"/>
    <w:bookmarkStart w:id="131" w:name="src-S2"/>
    <w:p>
      <w:pPr>
        <w:pStyle w:val="Heading2"/>
      </w:pPr>
      <w:r>
        <w:t xml:space="preserve">S2 – IDC Definition</w:t>
      </w:r>
    </w:p>
    <w:p>
      <w:pPr>
        <w:pStyle w:val="CardSub"/>
      </w:pPr>
      <w:r>
        <w:rPr>
          <w:i/>
          <w:iCs/>
        </w:rPr>
        <w:t xml:space="preserve">IBM Think: “What is a hyperscale data center?” (IDC (International Dara Corporation) definition)</w:t>
      </w:r>
    </w:p>
    <w:p>
      <w:pPr>
        <w:pStyle w:val="CardField"/>
      </w:pPr>
      <w:r>
        <w:rPr>
          <w:b/>
          <w:bCs/>
        </w:rPr>
        <w:t xml:space="preserve">Who &amp; When:</w:t>
      </w:r>
      <w:r>
        <w:t xml:space="preserve"> </w:t>
      </w:r>
      <w:r>
        <w:t xml:space="preserve">Phill Powell and Ian Smalley, IBM, December 26, 2024.</w:t>
      </w:r>
    </w:p>
    <w:p>
      <w:pPr>
        <w:pStyle w:val="CardField"/>
      </w:pPr>
      <w:r>
        <w:rPr>
          <w:b/>
          <w:bCs/>
        </w:rPr>
        <w:t xml:space="preserve">Origin:</w:t>
      </w:r>
      <w:r>
        <w:t xml:space="preserve"> </w:t>
      </w:r>
      <w:r>
        <w:t xml:space="preserve">Explanatory article; reflects the definition provided by the market research firm IDC (International Data Corporation).</w:t>
      </w:r>
    </w:p>
    <w:p>
      <w:pPr>
        <w:pStyle w:val="CardField"/>
      </w:pPr>
      <w:r>
        <w:rPr>
          <w:b/>
          <w:bCs/>
        </w:rPr>
        <w:t xml:space="preserve">Context &amp; Classification:</w:t>
      </w:r>
      <w:r>
        <w:t xml:space="preserve"> </w:t>
      </w:r>
      <w:r>
        <w:t xml:space="preserve">Secondary source: The original IDC documents require payment. While IBM is a cloud provider itself, the definition originates from IDC and is an industry standard.</w:t>
      </w:r>
    </w:p>
    <w:p>
      <w:pPr>
        <w:pStyle w:val="CardField"/>
      </w:pPr>
      <w:r>
        <w:rPr>
          <w:b/>
          <w:bCs/>
        </w:rPr>
        <w:t xml:space="preserve">Key Takeaways:</w:t>
      </w:r>
      <w:r>
        <w:t xml:space="preserve"> </w:t>
      </w:r>
      <w:r>
        <w:t xml:space="preserve">Hyperscale = at least 5,000 servers AND at least 10,000 square feet (≈ 929 m²). Typical use cases: AI, automation, data analysis, data storage, and data processing.</w:t>
      </w:r>
    </w:p>
    <w:p>
      <w:pPr>
        <w:pStyle w:val="CardField"/>
      </w:pPr>
      <w:r>
        <w:rPr>
          <w:b/>
          <w:bCs/>
        </w:rPr>
        <w:t xml:space="preserve">Potential Counterpoints/Vulnerabilities:</w:t>
      </w:r>
      <w:r>
        <w:t xml:space="preserve"> </w:t>
      </w:r>
      <w:r>
        <w:t xml:space="preserve">“There is no legal definition.” → True; that is why we cite the source. Other classifications use megawatts (e.g., Executive Order 14318: &gt;100 MW; see reference). The IDC threshold is relatively low—meaning it captures a larger number of facilities rather than a smaller one.</w:t>
      </w:r>
    </w:p>
    <w:p>
      <w:pPr>
        <w:pStyle w:val="CardField"/>
      </w:pPr>
      <w:r>
        <w:rPr>
          <w:b/>
          <w:bCs/>
        </w:rPr>
        <w:t xml:space="preserve">Link:</w:t>
      </w:r>
      <w:r>
        <w:t xml:space="preserve"> </w:t>
      </w:r>
      <w:hyperlink r:id="rId130" w:history="1">
        <w:r>
          <w:rPr>
            <w:rStyle w:val="Hyperlink"/>
          </w:rPr>
          <w:t xml:space="preserve">https://www.ibm.com/think/topics/hyperscale-data-center</w:t>
        </w:r>
      </w:hyperlink>
    </w:p>
    <w:p>
      <w:pPr>
        <w:pStyle w:val="CardField"/>
      </w:pPr>
      <w:r>
        <w:rPr>
          <w:b/>
          <w:bCs/>
        </w:rPr>
        <w:t xml:space="preserve">Used:</w:t>
      </w:r>
      <w:r>
        <w:t xml:space="preserve"> </w:t>
      </w:r>
      <w:hyperlink w:anchor="a1" w:history="1">
        <w:r>
          <w:rPr>
            <w:rStyle w:val="NavLinkChar"/>
          </w:rPr>
          <w:t xml:space="preserve">A1</w:t>
        </w:r>
      </w:hyperlink>
      <w:r>
        <w:t xml:space="preserve">,</w:t>
      </w:r>
      <w:r>
        <w:t xml:space="preserve"> </w:t>
      </w:r>
      <w:hyperlink w:anchor="a3" w:history="1">
        <w:r>
          <w:rPr>
            <w:rStyle w:val="NavLinkChar"/>
          </w:rPr>
          <w:t xml:space="preserve">A3</w:t>
        </w:r>
      </w:hyperlink>
      <w:r>
        <w:t xml:space="preserve">,</w:t>
      </w:r>
      <w:r>
        <w:t xml:space="preserve"> </w:t>
      </w:r>
      <w:hyperlink w:anchor="b1" w:history="1">
        <w:r>
          <w:rPr>
            <w:rStyle w:val="NavLinkChar"/>
          </w:rPr>
          <w:t xml:space="preserve">B1</w:t>
        </w:r>
      </w:hyperlink>
      <w:r>
        <w:t xml:space="preserve">,</w:t>
      </w:r>
      <w:r>
        <w:t xml:space="preserve"> </w:t>
      </w:r>
      <w:hyperlink w:anchor="b2" w:history="1">
        <w:r>
          <w:rPr>
            <w:rStyle w:val="NavLinkChar"/>
          </w:rPr>
          <w:t xml:space="preserve">B2</w:t>
        </w:r>
      </w:hyperlink>
    </w:p>
    <w:bookmarkEnd w:id="131"/>
    <w:bookmarkStart w:id="135" w:name="src-S3"/>
    <w:p>
      <w:pPr>
        <w:pStyle w:val="Heading2"/>
      </w:pPr>
      <w:r>
        <w:t xml:space="preserve">S3 – Stargate UAE: G42 press release, OpenAI announcement, The National</w:t>
      </w:r>
    </w:p>
    <w:p>
      <w:pPr>
        <w:pStyle w:val="CardField"/>
      </w:pPr>
      <w:r>
        <w:rPr>
          <w:b/>
          <w:bCs/>
        </w:rPr>
        <w:t xml:space="preserve">Who &amp; When:</w:t>
      </w:r>
      <w:r>
        <w:t xml:space="preserve"> </w:t>
      </w:r>
      <w:r>
        <w:t xml:space="preserve">G42 / OpenAI, May 22, 2025; construction progress according to</w:t>
      </w:r>
      <w:r>
        <w:t xml:space="preserve"> </w:t>
      </w:r>
      <w:r>
        <w:rPr>
          <w:i/>
          <w:iCs/>
        </w:rPr>
        <w:t xml:space="preserve">The National</w:t>
      </w:r>
      <w:r>
        <w:t xml:space="preserve"> </w:t>
      </w:r>
      <w:r>
        <w:t xml:space="preserve">(October 16, 2025).</w:t>
      </w:r>
    </w:p>
    <w:p>
      <w:pPr>
        <w:pStyle w:val="CardField"/>
      </w:pPr>
      <w:r>
        <w:rPr>
          <w:b/>
          <w:bCs/>
        </w:rPr>
        <w:t xml:space="preserve">Origin:</w:t>
      </w:r>
      <w:r>
        <w:t xml:space="preserve"> </w:t>
      </w:r>
      <w:r>
        <w:t xml:space="preserve">Company announcements and/or economic report.</w:t>
      </w:r>
    </w:p>
    <w:p>
      <w:pPr>
        <w:pStyle w:val="CardField"/>
      </w:pPr>
      <w:r>
        <w:rPr>
          <w:b/>
          <w:bCs/>
        </w:rPr>
        <w:t xml:space="preserve">Context &amp; Classification:</w:t>
      </w:r>
      <w:r>
        <w:t xml:space="preserve"> </w:t>
      </w:r>
      <w:r>
        <w:t xml:space="preserve">Part of OpenAI’s "OpenAI for Countries" program, described by OpenAI as being "in coordination with the U.S. government"; partners: Nvidia, Cisco, SoftBank.</w:t>
      </w:r>
    </w:p>
    <w:p>
      <w:pPr>
        <w:pStyle w:val="CardField"/>
      </w:pPr>
      <w:r>
        <w:rPr>
          <w:b/>
          <w:bCs/>
        </w:rPr>
        <w:t xml:space="preserve">Key Takeaways:</w:t>
      </w:r>
      <w:r>
        <w:t xml:space="preserve"> </w:t>
      </w:r>
      <w:r>
        <w:t xml:space="preserve">1 GW cluster built by G42 (subsidiary Khazna) and operated by OpenAI and Oracle; part of the 5 GW "UAE–US AI Campus" in Abu Dhabi (approx. 10 square miles); initial 200 MW capacity scheduled to go online in 2026; full build-out in about three years.</w:t>
      </w:r>
    </w:p>
    <w:p>
      <w:pPr>
        <w:pStyle w:val="CardField"/>
      </w:pPr>
      <w:r>
        <w:rPr>
          <w:b/>
          <w:bCs/>
        </w:rPr>
        <w:t xml:space="preserve">Potential Counterpoints/Vulnerabilities:</w:t>
      </w:r>
      <w:r>
        <w:t xml:space="preserve"> </w:t>
      </w:r>
      <w:r>
        <w:t xml:space="preserve">PRO: "Coordinated with the U.S. government – control remains."</w:t>
      </w:r>
    </w:p>
    <w:p>
      <w:pPr>
        <w:pStyle w:val="CardField"/>
      </w:pPr>
      <w:r>
        <w:rPr>
          <w:b/>
          <w:bCs/>
        </w:rPr>
        <w:t xml:space="preserve">Original Quote:</w:t>
      </w:r>
      <w:r>
        <w:t xml:space="preserve"> </w:t>
      </w:r>
      <w:r>
        <w:t xml:space="preserve">“Stargate UAE, a 1-gigawatt compute cluster, will be built by G42 and operated by OpenAI and Oracle.”</w:t>
      </w:r>
    </w:p>
    <w:p>
      <w:pPr>
        <w:pStyle w:val="CardField"/>
      </w:pPr>
      <w:r>
        <w:rPr>
          <w:b/>
          <w:bCs/>
        </w:rPr>
        <w:t xml:space="preserve">Links:</w:t>
      </w:r>
    </w:p>
    <w:p>
      <w:pPr>
        <w:pStyle w:val="CardList"/>
        <w:numPr>
          <w:ilvl w:val="0"/>
          <w:numId w:val="1089"/>
        </w:numPr>
      </w:pPr>
      <w:hyperlink r:id="rId132" w:history="1">
        <w:r>
          <w:rPr>
            <w:rStyle w:val="Hyperlink"/>
          </w:rPr>
          <w:t xml:space="preserve">g42.ai</w:t>
        </w:r>
      </w:hyperlink>
    </w:p>
    <w:p>
      <w:pPr>
        <w:pStyle w:val="CardList"/>
        <w:numPr>
          <w:ilvl w:val="0"/>
          <w:numId w:val="1089"/>
        </w:numPr>
      </w:pPr>
      <w:hyperlink r:id="rId133" w:history="1">
        <w:r>
          <w:rPr>
            <w:rStyle w:val="Hyperlink"/>
          </w:rPr>
          <w:t xml:space="preserve">openai.com</w:t>
        </w:r>
      </w:hyperlink>
    </w:p>
    <w:p>
      <w:pPr>
        <w:pStyle w:val="CardList"/>
        <w:numPr>
          <w:ilvl w:val="0"/>
          <w:numId w:val="1089"/>
        </w:numPr>
      </w:pPr>
      <w:hyperlink r:id="rId134" w:history="1">
        <w:r>
          <w:rPr>
            <w:rStyle w:val="Hyperlink"/>
          </w:rPr>
          <w:t xml:space="preserve">thenationalnews.com</w:t>
        </w:r>
      </w:hyperlink>
    </w:p>
    <w:p>
      <w:pPr>
        <w:pStyle w:val="CardField"/>
      </w:pPr>
      <w:r>
        <w:rPr>
          <w:b/>
          <w:bCs/>
        </w:rPr>
        <w:t xml:space="preserve">Used:</w:t>
      </w:r>
      <w:r>
        <w:t xml:space="preserve"> </w:t>
      </w:r>
      <w:hyperlink w:anchor="b2" w:history="1">
        <w:r>
          <w:rPr>
            <w:rStyle w:val="NavLinkChar"/>
          </w:rPr>
          <w:t xml:space="preserve">B2</w:t>
        </w:r>
      </w:hyperlink>
      <w:r>
        <w:t xml:space="preserve">,</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p>
    <w:bookmarkEnd w:id="135"/>
    <w:bookmarkStart w:id="137" w:name="src-S4"/>
    <w:p>
      <w:pPr>
        <w:pStyle w:val="Heading2"/>
      </w:pPr>
      <w:r>
        <w:t xml:space="preserve">S4 – Johor (Malaysia): w.media (2024) and Data Center Dynamics (2025)</w:t>
      </w:r>
    </w:p>
    <w:p>
      <w:pPr>
        <w:pStyle w:val="CardField"/>
      </w:pPr>
      <w:r>
        <w:rPr>
          <w:b/>
          <w:bCs/>
        </w:rPr>
        <w:t xml:space="preserve">Who &amp; When:</w:t>
      </w:r>
      <w:r>
        <w:t xml:space="preserve"> </w:t>
      </w:r>
      <w:r>
        <w:t xml:space="preserve">Hazel Moises, w.media, October 31, 2024 (Data: DC Byte); Jason Ma, Data Center Dynamics, October 29, 2025 (Data: DC Byte, July 2025).</w:t>
      </w:r>
    </w:p>
    <w:p>
      <w:pPr>
        <w:pStyle w:val="CardField"/>
      </w:pPr>
      <w:r>
        <w:rPr>
          <w:b/>
          <w:bCs/>
        </w:rPr>
        <w:t xml:space="preserve">Methodology:</w:t>
      </w:r>
      <w:r>
        <w:t xml:space="preserve"> </w:t>
      </w:r>
      <w:r>
        <w:t xml:space="preserve">Industry analyses based on market data from DC Byte.</w:t>
      </w:r>
    </w:p>
    <w:p>
      <w:pPr>
        <w:pStyle w:val="CardField"/>
      </w:pPr>
      <w:r>
        <w:rPr>
          <w:b/>
          <w:bCs/>
        </w:rPr>
        <w:t xml:space="preserve">Context &amp; Classification:</w:t>
      </w:r>
      <w:r>
        <w:t xml:space="preserve"> </w:t>
      </w:r>
      <w:r>
        <w:t xml:space="preserve">The 1,500 MW figure includes facilities under construction and in the planning stage; w.media phrases the cause cautiously ("arguably"). Malaysia also provided support through expedited permitting (Green Lane Pathway, 2023).</w:t>
      </w:r>
    </w:p>
    <w:p>
      <w:pPr>
        <w:pStyle w:val="CardField"/>
      </w:pPr>
      <w:r>
        <w:rPr>
          <w:b/>
          <w:bCs/>
        </w:rPr>
        <w:t xml:space="preserve">Key Takeaways:</w:t>
      </w:r>
      <w:r>
        <w:t xml:space="preserve"> </w:t>
      </w:r>
      <w:r>
        <w:t xml:space="preserve">Johor: grew from 10 MW (early 2021) to over 1,500 MW (2024, incl. construction/planning); w.media attributes this to Singapore’s moratorium. DC Byte (July 2025): 487 MW operational, 324 MW under construction, 1.4 GW firmly planned, 3.4 GW in early planning stages. AWS, Microsoft, and Oracle are active in Malaysia. Bottlenecks: Grid operator TNB investing 42.8 billion ringgit (~$10 billion) by 2027; tariff increases; water supply issues.</w:t>
      </w:r>
    </w:p>
    <w:p>
      <w:pPr>
        <w:pStyle w:val="CardField"/>
      </w:pPr>
      <w:r>
        <w:rPr>
          <w:b/>
          <w:bCs/>
        </w:rPr>
        <w:t xml:space="preserve">Potential Counterpoints/Vulnerabilities:</w:t>
      </w:r>
      <w:r>
        <w:t xml:space="preserve"> </w:t>
      </w:r>
      <w:r>
        <w:t xml:space="preserve">"Causality is only 'arguable'." → Timeline and industry reports strongly support this link; Malaysia’s supportive measures only arrived in 2023.</w:t>
      </w:r>
    </w:p>
    <w:p>
      <w:pPr>
        <w:pStyle w:val="CardField"/>
      </w:pPr>
      <w:r>
        <w:rPr>
          <w:b/>
          <w:bCs/>
        </w:rPr>
        <w:t xml:space="preserve">Original Quote:</w:t>
      </w:r>
      <w:r>
        <w:t xml:space="preserve"> </w:t>
      </w:r>
      <w:r>
        <w:t xml:space="preserve">“It arguably began when Singapore imposed a moratorium on new data centers in 2019, ceding the stage for new data centers and causing demand to spill over to Johor and Batam.”</w:t>
      </w:r>
    </w:p>
    <w:p>
      <w:pPr>
        <w:pStyle w:val="CardField"/>
      </w:pPr>
      <w:r>
        <w:rPr>
          <w:b/>
          <w:bCs/>
        </w:rPr>
        <w:t xml:space="preserve">Link:</w:t>
      </w:r>
      <w:r>
        <w:t xml:space="preserve"> </w:t>
      </w:r>
      <w:hyperlink r:id="rId136" w:history="1">
        <w:r>
          <w:rPr>
            <w:rStyle w:val="Hyperlink"/>
          </w:rPr>
          <w:t xml:space="preserve">https://w.media/johor-from-10mw-to-1500mw-in-three-years/</w:t>
        </w:r>
      </w:hyperlink>
    </w:p>
    <w:p>
      <w:pPr>
        <w:pStyle w:val="CardField"/>
      </w:pPr>
      <w:r>
        <w:rPr>
          <w:b/>
          <w:bCs/>
        </w:rPr>
        <w:t xml:space="preserve">Used:</w:t>
      </w:r>
      <w:r>
        <w:t xml:space="preserve"> </w:t>
      </w:r>
      <w:hyperlink w:anchor="a6" w:history="1">
        <w:r>
          <w:rPr>
            <w:rStyle w:val="NavLinkChar"/>
          </w:rPr>
          <w:t xml:space="preserve">A6</w:t>
        </w:r>
      </w:hyperlink>
      <w:r>
        <w:t xml:space="preserve">,</w:t>
      </w:r>
      <w:r>
        <w:t xml:space="preserve"> </w:t>
      </w:r>
      <w:hyperlink w:anchor="p5" w:history="1">
        <w:r>
          <w:rPr>
            <w:rStyle w:val="NavLinkChar"/>
          </w:rPr>
          <w:t xml:space="preserve">P5</w:t>
        </w:r>
      </w:hyperlink>
    </w:p>
    <w:bookmarkEnd w:id="137"/>
    <w:bookmarkStart w:id="140" w:name="src-S5"/>
    <w:p>
      <w:pPr>
        <w:pStyle w:val="Heading2"/>
      </w:pPr>
      <w:r>
        <w:t xml:space="preserve">S5 – Share of electricity generated by fossil fuels</w:t>
      </w:r>
    </w:p>
    <w:p>
      <w:pPr>
        <w:pStyle w:val="CardField"/>
      </w:pPr>
      <w:r>
        <w:rPr>
          <w:b/>
          <w:bCs/>
        </w:rPr>
        <w:t xml:space="preserve">What:</w:t>
      </w:r>
      <w:r>
        <w:t xml:space="preserve"> </w:t>
      </w:r>
      <w:r>
        <w:t xml:space="preserve">Electricity generation from coal, oil, and gas, measured as a percentage of total electricity produced in the country or region.</w:t>
      </w:r>
    </w:p>
    <w:p>
      <w:pPr>
        <w:pStyle w:val="CardField"/>
      </w:pPr>
      <w:r>
        <w:rPr>
          <w:b/>
          <w:bCs/>
        </w:rPr>
        <w:t xml:space="preserve">Source:</w:t>
      </w:r>
      <w:r>
        <w:t xml:space="preserve"> </w:t>
      </w:r>
      <w:r>
        <w:t xml:space="preserve">Ember (2026); Energy Institute – Statistical Review of World Energy (2026); Pinto et al. (2023); Department for Energy Security and Net Zero of the UK (2023) – with major processing by Our World in Data</w:t>
      </w:r>
    </w:p>
    <w:p>
      <w:pPr>
        <w:pStyle w:val="CardField"/>
      </w:pPr>
      <w:r>
        <w:rPr>
          <w:b/>
          <w:bCs/>
        </w:rPr>
        <w:t xml:space="preserve">Last updated:</w:t>
      </w:r>
      <w:r>
        <w:t xml:space="preserve"> </w:t>
      </w:r>
      <w:r>
        <w:t xml:space="preserve">June 30, 2026</w:t>
      </w:r>
    </w:p>
    <w:p>
      <w:pPr>
        <w:pStyle w:val="CardField"/>
      </w:pPr>
      <w:r>
        <w:rPr>
          <w:b/>
          <w:bCs/>
        </w:rPr>
        <w:t xml:space="preserve">Next expected update:</w:t>
      </w:r>
      <w:r>
        <w:t xml:space="preserve"> </w:t>
      </w:r>
      <w:r>
        <w:t xml:space="preserve">June 2027</w:t>
      </w:r>
    </w:p>
    <w:p>
      <w:pPr>
        <w:pStyle w:val="CardField"/>
      </w:pPr>
      <w:r>
        <w:rPr>
          <w:b/>
          <w:bCs/>
        </w:rPr>
        <w:t xml:space="preserve">Date range:</w:t>
      </w:r>
      <w:r>
        <w:t xml:space="preserve"> </w:t>
      </w:r>
      <w:r>
        <w:t xml:space="preserve">1900–2025</w:t>
      </w:r>
    </w:p>
    <w:p>
      <w:pPr>
        <w:pStyle w:val="CardField"/>
      </w:pPr>
      <w:r>
        <w:rPr>
          <w:b/>
          <w:bCs/>
        </w:rPr>
        <w:t xml:space="preserve">Unit:</w:t>
      </w:r>
      <w:r>
        <w:t xml:space="preserve"> </w:t>
      </w:r>
      <w:r>
        <w:t xml:space="preserve">%</w:t>
      </w:r>
    </w:p>
    <w:p>
      <w:pPr>
        <w:pStyle w:val="CardField"/>
      </w:pPr>
      <w:r>
        <w:rPr>
          <w:b/>
          <w:bCs/>
        </w:rPr>
        <w:t xml:space="preserve">Links:</w:t>
      </w:r>
    </w:p>
    <w:p>
      <w:pPr>
        <w:pStyle w:val="CardList"/>
        <w:numPr>
          <w:ilvl w:val="0"/>
          <w:numId w:val="1090"/>
        </w:numPr>
      </w:pPr>
      <w:hyperlink r:id="rId138" w:history="1">
        <w:r>
          <w:rPr>
            <w:rStyle w:val="Hyperlink"/>
          </w:rPr>
          <w:t xml:space="preserve">https://ourworldindata.org/grapher/electricity-mix?source=fossil&amp;metric=share_of_generation&amp;frequency=annual</w:t>
        </w:r>
      </w:hyperlink>
    </w:p>
    <w:p>
      <w:pPr>
        <w:pStyle w:val="CardList"/>
        <w:numPr>
          <w:ilvl w:val="0"/>
          <w:numId w:val="1090"/>
        </w:numPr>
      </w:pPr>
      <w:hyperlink r:id="rId139" w:history="1">
        <w:r>
          <w:rPr>
            <w:rStyle w:val="Hyperlink"/>
          </w:rPr>
          <w:t xml:space="preserve">Sources and processing (Our World in Data)</w:t>
        </w:r>
      </w:hyperlink>
    </w:p>
    <w:p>
      <w:pPr>
        <w:pStyle w:val="CardField"/>
      </w:pPr>
      <w:r>
        <w:rPr>
          <w:b/>
          <w:bCs/>
        </w:rPr>
        <w:t xml:space="preserve">Used:</w:t>
      </w:r>
      <w:r>
        <w:t xml:space="preserve"> </w:t>
      </w:r>
      <w:hyperlink w:anchor="b2" w:history="1">
        <w:r>
          <w:rPr>
            <w:rStyle w:val="NavLinkChar"/>
          </w:rPr>
          <w:t xml:space="preserve">B2</w:t>
        </w:r>
      </w:hyperlink>
    </w:p>
    <w:bookmarkEnd w:id="140"/>
    <w:bookmarkStart w:id="142" w:name="src-S6"/>
    <w:p>
      <w:pPr>
        <w:pStyle w:val="Heading2"/>
      </w:pPr>
      <w:r>
        <w:t xml:space="preserve">S6 – TechCrunch: "OpenAI CEO Sam Altman says the company is out of GPUs"</w:t>
      </w:r>
    </w:p>
    <w:p>
      <w:pPr>
        <w:pStyle w:val="CardField"/>
      </w:pPr>
      <w:r>
        <w:rPr>
          <w:b/>
          <w:bCs/>
        </w:rPr>
        <w:t xml:space="preserve">Who &amp; When:</w:t>
      </w:r>
      <w:r>
        <w:t xml:space="preserve"> </w:t>
      </w:r>
      <w:r>
        <w:t xml:space="preserve">TechCrunch, February 27, 2025.</w:t>
      </w:r>
    </w:p>
    <w:p>
      <w:pPr>
        <w:pStyle w:val="CardField"/>
      </w:pPr>
      <w:r>
        <w:rPr>
          <w:b/>
          <w:bCs/>
        </w:rPr>
        <w:t xml:space="preserve">Origin:</w:t>
      </w:r>
      <w:r>
        <w:t xml:space="preserve"> </w:t>
      </w:r>
      <w:r>
        <w:t xml:space="preserve">Report based on a post by Sam Altman.</w:t>
      </w:r>
    </w:p>
    <w:p>
      <w:pPr>
        <w:pStyle w:val="CardField"/>
      </w:pPr>
      <w:r>
        <w:rPr>
          <w:b/>
          <w:bCs/>
        </w:rPr>
        <w:t xml:space="preserve">Context &amp; Classification:</w:t>
      </w:r>
      <w:r>
        <w:t xml:space="preserve"> </w:t>
      </w:r>
      <w:r>
        <w:t xml:space="preserve">Direct quote from the OpenAI CEO.</w:t>
      </w:r>
    </w:p>
    <w:p>
      <w:pPr>
        <w:pStyle w:val="CardField"/>
      </w:pPr>
      <w:r>
        <w:rPr>
          <w:b/>
          <w:bCs/>
        </w:rPr>
        <w:t xml:space="preserve">Key Takeaways:</w:t>
      </w:r>
      <w:r>
        <w:t xml:space="preserve"> </w:t>
      </w:r>
      <w:r>
        <w:t xml:space="preserve">GPT-4.5 was rolled out in stages due to a GPU shortage: first to ChatGPT Pro subscribers (the most expensive tier), and a week later to Plus subscribers.</w:t>
      </w:r>
    </w:p>
    <w:p>
      <w:pPr>
        <w:pStyle w:val="CardField"/>
      </w:pPr>
      <w:r>
        <w:rPr>
          <w:b/>
          <w:bCs/>
        </w:rPr>
        <w:t xml:space="preserve">Potential Counterpoints/Vulnerabilities:</w:t>
      </w:r>
      <w:r>
        <w:t xml:space="preserve"> </w:t>
      </w:r>
      <w:r>
        <w:t xml:space="preserve">PRO: "Short-term bottleneck in February 2025." → Microsoft confirms ongoing shortages in July 2026.</w:t>
      </w:r>
    </w:p>
    <w:p>
      <w:pPr>
        <w:pStyle w:val="CardField"/>
      </w:pPr>
      <w:r>
        <w:rPr>
          <w:b/>
          <w:bCs/>
        </w:rPr>
        <w:t xml:space="preserve">Original Quote:</w:t>
      </w:r>
      <w:r>
        <w:t xml:space="preserve"> </w:t>
      </w:r>
      <w:r>
        <w:t xml:space="preserve">“We’ve been growing a lot and are out of GPUs. We will add tens of thousands of GPUs next week and roll it out to the Plus tier then.”</w:t>
      </w:r>
    </w:p>
    <w:p>
      <w:pPr>
        <w:pStyle w:val="CardField"/>
      </w:pPr>
      <w:r>
        <w:rPr>
          <w:b/>
          <w:bCs/>
        </w:rPr>
        <w:t xml:space="preserve">Link:</w:t>
      </w:r>
      <w:r>
        <w:t xml:space="preserve"> </w:t>
      </w:r>
      <w:hyperlink r:id="rId141" w:history="1">
        <w:r>
          <w:rPr>
            <w:rStyle w:val="Hyperlink"/>
          </w:rPr>
          <w:t xml:space="preserve">https://techcrunch.com/2025/02/27/openai-ceo-sam-altman-says-the-company-is-out-of-gpus/</w:t>
        </w:r>
      </w:hyperlink>
    </w:p>
    <w:p>
      <w:pPr>
        <w:pStyle w:val="CardField"/>
      </w:pPr>
      <w:r>
        <w:rPr>
          <w:b/>
          <w:bCs/>
        </w:rPr>
        <w:t xml:space="preserve">Used:</w:t>
      </w:r>
      <w:r>
        <w:t xml:space="preserve"> </w:t>
      </w:r>
      <w:hyperlink w:anchor="b2" w:history="1">
        <w:r>
          <w:rPr>
            <w:rStyle w:val="NavLinkChar"/>
          </w:rPr>
          <w:t xml:space="preserve">B2</w:t>
        </w:r>
      </w:hyperlink>
      <w:r>
        <w:t xml:space="preserve">,</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p>
    <w:bookmarkEnd w:id="142"/>
    <w:bookmarkStart w:id="146" w:name="src-S7"/>
    <w:p>
      <w:pPr>
        <w:pStyle w:val="Heading2"/>
      </w:pPr>
      <w:r>
        <w:t xml:space="preserve">S7 – Stärkstes KI-Modell</w:t>
      </w:r>
    </w:p>
    <w:p>
      <w:pPr>
        <w:pStyle w:val="CardField"/>
      </w:pPr>
      <w:r>
        <w:rPr>
          <w:b/>
          <w:bCs/>
        </w:rPr>
        <w:t xml:space="preserve">Who &amp; When:</w:t>
      </w:r>
      <w:r>
        <w:t xml:space="preserve"> </w:t>
      </w:r>
      <w:r>
        <w:t xml:space="preserve">The leaderboard is a live page with no fixed publication date. I retrieved it on October 5, 2026. The methodology page lists the current index as Intelligence Index v4.3.2. A related dated article is "Gemini 4 Argon" from September 30, 2026.</w:t>
      </w:r>
    </w:p>
    <w:p>
      <w:pPr>
        <w:pStyle w:val="CardField"/>
      </w:pPr>
      <w:r>
        <w:rPr>
          <w:b/>
          <w:bCs/>
        </w:rPr>
        <w:t xml:space="preserve">Origin:</w:t>
      </w:r>
      <w:r>
        <w:t xml:space="preserve"> </w:t>
      </w:r>
      <w:r>
        <w:t xml:space="preserve">Artificial Analysis describes itself as an independent benchmarking company for AI, and its founders are Micah Hill-Smith (CEO, formerly at McKinsey) and George Cameron (CPO), both based in San Francisco. The About page lists individual tech investors and founders as backers. It doesn't give funding amounts or revenue sources. The leaderboard is a primary source: the benchmark operator publishes its own measurements. It is not peer-reviewed.</w:t>
      </w:r>
    </w:p>
    <w:p>
      <w:pPr>
        <w:pStyle w:val="CardField"/>
      </w:pPr>
      <w:r>
        <w:rPr>
          <w:b/>
          <w:bCs/>
        </w:rPr>
        <w:t xml:space="preserve">Context &amp; Classification:</w:t>
      </w:r>
      <w:r>
        <w:t xml:space="preserve"> </w:t>
      </w:r>
      <w:r>
        <w:t xml:space="preserve">The leaderboard ranks 195 models on intelligence, price, speed, latency and context window. The Intelligence Index is a weighted average of 10 evaluations in four categories: Agents 30%, Coding 20%, Scientific Reasoning 20% and General 30%. All models are tested under identical conditions. In July 2026, six labs had models above 50 points on an earlier version of the index, and Moonshot AI's Kimi K3 debuted in third place. On September 30, Google's Gemini 4 Argon tied OpenAI's GPT-6 Astra at 53 points.</w:t>
      </w:r>
    </w:p>
    <w:p>
      <w:pPr>
        <w:pStyle w:val="CardField"/>
      </w:pPr>
      <w:r>
        <w:rPr>
          <w:b/>
          <w:bCs/>
        </w:rPr>
        <w:t xml:space="preserve">Key Takeaways:</w:t>
      </w:r>
      <w:r>
        <w:t xml:space="preserve"> </w:t>
      </w:r>
      <w:r>
        <w:t xml:space="preserve">Claude Opus 5.5 (max) from Anthropic ranks first with 58 points. The top five entries are all Anthropic models. Those five are three distinct models (Opus 5.5, Sonnet 5.5, Fable 5.1) at different effort settings. OpenAI's GPT-6 Astra and Google's Gemini 4 Argon follow at 53 points. The best open-weights models are Chinese: Xiaomi's MiMo-V2.6-Pro at 46, GLM-5.3 at 45 and Kimi K3 at 44. This supports the claim that US companies currently build the most capable AI models. Chinese models are the closest followers, roughly 12 points behind the top.</w:t>
      </w:r>
    </w:p>
    <w:p>
      <w:pPr>
        <w:pStyle w:val="CardField"/>
      </w:pPr>
      <w:r>
        <w:rPr>
          <w:b/>
          <w:bCs/>
        </w:rPr>
        <w:t xml:space="preserve">Potential Counterpoints/Vulnerabilities:</w:t>
      </w:r>
    </w:p>
    <w:p>
      <w:pPr>
        <w:pStyle w:val="CardList"/>
        <w:numPr>
          <w:ilvl w:val="0"/>
          <w:numId w:val="1091"/>
        </w:numPr>
      </w:pPr>
      <w:r>
        <w:rPr>
          <w:b/>
          <w:bCs/>
        </w:rPr>
        <w:t xml:space="preserve">Private benchmarks:</w:t>
      </w:r>
      <w:r>
        <w:t xml:space="preserve"> </w:t>
      </w:r>
      <w:r>
        <w:t xml:space="preserve">Four of the ten evaluations are private (AA-Briefcase, AutomationBench-AA, AA-Omniscience, CritPt), which together make up 45% of the index weight. Outsiders can't replicate them.</w:t>
      </w:r>
    </w:p>
    <w:p>
      <w:pPr>
        <w:pStyle w:val="CardList"/>
        <w:numPr>
          <w:ilvl w:val="0"/>
          <w:numId w:val="1092"/>
        </w:numPr>
      </w:pPr>
      <w:r>
        <w:rPr>
          <w:b/>
          <w:bCs/>
        </w:rPr>
        <w:t xml:space="preserve">LLM judges:</w:t>
      </w:r>
      <w:r>
        <w:t xml:space="preserve"> </w:t>
      </w:r>
      <w:r>
        <w:t xml:space="preserve">Several evaluations are graded by panels of Claude, GPT and Gemini models, or by a single GPT model. That could favor US models. Artificial Analysis uses three-judge panels to reduce this.</w:t>
      </w:r>
    </w:p>
    <w:p>
      <w:pPr>
        <w:pStyle w:val="CardList"/>
        <w:numPr>
          <w:ilvl w:val="0"/>
          <w:numId w:val="1093"/>
        </w:numPr>
      </w:pPr>
      <w:r>
        <w:rPr>
          <w:b/>
          <w:bCs/>
        </w:rPr>
        <w:t xml:space="preserve">Weighting is a design choice:</w:t>
      </w:r>
      <w:r>
        <w:t xml:space="preserve"> </w:t>
      </w:r>
      <w:r>
        <w:t xml:space="preserve">The index weights agentic tasks heavily and is primarily text-based and English-language. Different weights could change the ranking.</w:t>
      </w:r>
    </w:p>
    <w:p>
      <w:pPr>
        <w:pStyle w:val="CardList"/>
        <w:numPr>
          <w:ilvl w:val="0"/>
          <w:numId w:val="1094"/>
        </w:numPr>
      </w:pPr>
      <w:r>
        <w:rPr>
          <w:b/>
          <w:bCs/>
        </w:rPr>
        <w:t xml:space="preserve">Scores shift between versions:</w:t>
      </w:r>
      <w:r>
        <w:t xml:space="preserve"> </w:t>
      </w:r>
      <w:r>
        <w:t xml:space="preserve">The index was updated to v4.1.1 on August 6. Kimi K3 scored 57 in July but 44 now, so compare ranks rather than raw scores across dates.</w:t>
      </w:r>
    </w:p>
    <w:p>
      <w:pPr>
        <w:pStyle w:val="CardList"/>
        <w:numPr>
          <w:ilvl w:val="0"/>
          <w:numId w:val="1095"/>
        </w:numPr>
      </w:pPr>
      <w:r>
        <w:rPr>
          <w:b/>
          <w:bCs/>
        </w:rPr>
        <w:t xml:space="preserve">Self-reported precision:</w:t>
      </w:r>
      <w:r>
        <w:t xml:space="preserve"> </w:t>
      </w:r>
      <w:r>
        <w:t xml:space="preserve">The site claims a 95% confidence interval of less than ±1% for the overall index. That figure comes from the company itself. artificialanalysis</w:t>
      </w:r>
    </w:p>
    <w:p>
      <w:pPr>
        <w:pStyle w:val="CardList"/>
        <w:numPr>
          <w:ilvl w:val="0"/>
          <w:numId w:val="1096"/>
        </w:numPr>
      </w:pPr>
      <w:r>
        <w:rPr>
          <w:b/>
          <w:bCs/>
        </w:rPr>
        <w:t xml:space="preserve">Commercial ties:</w:t>
      </w:r>
      <w:r>
        <w:t xml:space="preserve"> </w:t>
      </w:r>
      <w:r>
        <w:t xml:space="preserve">The About page shows logos and endorsements from major AI labs. That signals credibility but also closeness to the companies it ranks. artificialanalysis</w:t>
      </w:r>
    </w:p>
    <w:p>
      <w:pPr>
        <w:pStyle w:val="CardList"/>
        <w:numPr>
          <w:ilvl w:val="0"/>
          <w:numId w:val="1097"/>
        </w:numPr>
      </w:pPr>
      <w:r>
        <w:rPr>
          <w:b/>
          <w:bCs/>
        </w:rPr>
        <w:t xml:space="preserve">Other rankings differ:</w:t>
      </w:r>
      <w:r>
        <w:t xml:space="preserve"> </w:t>
      </w:r>
      <w:r>
        <w:t xml:space="preserve">arena.ai (October 2) puts Google's Gemini 4 Argon at #1, so cross-check with a second source.</w:t>
      </w:r>
    </w:p>
    <w:p>
      <w:pPr>
        <w:pStyle w:val="CardField"/>
      </w:pPr>
      <w:r>
        <w:rPr>
          <w:b/>
          <w:bCs/>
        </w:rPr>
        <w:t xml:space="preserve">Links:</w:t>
      </w:r>
    </w:p>
    <w:p>
      <w:pPr>
        <w:pStyle w:val="CardList"/>
        <w:numPr>
          <w:ilvl w:val="0"/>
          <w:numId w:val="1098"/>
        </w:numPr>
      </w:pPr>
      <w:hyperlink r:id="rId143" w:history="1">
        <w:r>
          <w:rPr>
            <w:rStyle w:val="Hyperlink"/>
          </w:rPr>
          <w:t xml:space="preserve">https://artificialanalysis.ai/leaderboards/models</w:t>
        </w:r>
      </w:hyperlink>
    </w:p>
    <w:p>
      <w:pPr>
        <w:pStyle w:val="CardList"/>
        <w:numPr>
          <w:ilvl w:val="0"/>
          <w:numId w:val="1098"/>
        </w:numPr>
      </w:pPr>
      <w:hyperlink r:id="rId144" w:history="1">
        <w:r>
          <w:rPr>
            <w:rStyle w:val="Hyperlink"/>
          </w:rPr>
          <w:t xml:space="preserve">Methodology (artificialanalysis.ai)</w:t>
        </w:r>
      </w:hyperlink>
    </w:p>
    <w:p>
      <w:pPr>
        <w:pStyle w:val="CardList"/>
        <w:numPr>
          <w:ilvl w:val="0"/>
          <w:numId w:val="1098"/>
        </w:numPr>
      </w:pPr>
      <w:hyperlink r:id="rId145" w:history="1">
        <w:r>
          <w:rPr>
            <w:rStyle w:val="Hyperlink"/>
          </w:rPr>
          <w:t xml:space="preserve">About (artificialanalysis.ai)</w:t>
        </w:r>
      </w:hyperlink>
    </w:p>
    <w:p>
      <w:pPr>
        <w:pStyle w:val="CardField"/>
      </w:pPr>
      <w:r>
        <w:rPr>
          <w:b/>
          <w:bCs/>
        </w:rPr>
        <w:t xml:space="preserve">Used:</w:t>
      </w:r>
      <w:r>
        <w:t xml:space="preserve"> </w:t>
      </w:r>
      <w:hyperlink w:anchor="a6" w:history="1">
        <w:r>
          <w:rPr>
            <w:rStyle w:val="NavLinkChar"/>
          </w:rPr>
          <w:t xml:space="preserve">A6</w:t>
        </w:r>
      </w:hyperlink>
      <w:r>
        <w:t xml:space="preserve">,</w:t>
      </w:r>
      <w:r>
        <w:t xml:space="preserve"> </w:t>
      </w:r>
      <w:hyperlink w:anchor="b2" w:history="1">
        <w:r>
          <w:rPr>
            <w:rStyle w:val="NavLinkChar"/>
          </w:rPr>
          <w:t xml:space="preserve">B2</w:t>
        </w:r>
      </w:hyperlink>
      <w:r>
        <w:t xml:space="preserve">,</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p>
    <w:bookmarkEnd w:id="146"/>
    <w:bookmarkStart w:id="148" w:name="src-S8"/>
    <w:p>
      <w:pPr>
        <w:pStyle w:val="Heading2"/>
      </w:pPr>
      <w:r>
        <w:t xml:space="preserve">S8 – NIST / CAISI: Evaluation of DeepSeek Models</w:t>
      </w:r>
    </w:p>
    <w:p>
      <w:pPr>
        <w:pStyle w:val="CardField"/>
      </w:pPr>
      <w:r>
        <w:rPr>
          <w:b/>
          <w:bCs/>
        </w:rPr>
        <w:t xml:space="preserve">Who &amp; When:</w:t>
      </w:r>
      <w:r>
        <w:t xml:space="preserve"> </w:t>
      </w:r>
      <w:r>
        <w:t xml:space="preserve">Center for AI Standards and Innovation (CAISI) at the National Institute of Standards and Technology (NIST, US Department of Commerce); September 30, 2025 (updated November 20, 2025).</w:t>
      </w:r>
    </w:p>
    <w:p>
      <w:pPr>
        <w:pStyle w:val="CardField"/>
      </w:pPr>
      <w:r>
        <w:rPr>
          <w:b/>
          <w:bCs/>
        </w:rPr>
        <w:t xml:space="preserve">Methodology:</w:t>
      </w:r>
      <w:r>
        <w:t xml:space="preserve"> </w:t>
      </w:r>
      <w:r>
        <w:t xml:space="preserve">Comparison of DeepSeek models (including R1-0528) against US reference models across numerous benchmarks: software, cybersecurity, costs, safety (agent hijacking, jailbreaks), and political narratives.</w:t>
      </w:r>
    </w:p>
    <w:p>
      <w:pPr>
        <w:pStyle w:val="CardField"/>
      </w:pPr>
      <w:r>
        <w:rPr>
          <w:b/>
          <w:bCs/>
        </w:rPr>
        <w:t xml:space="preserve">Context &amp; Classification:</w:t>
      </w:r>
      <w:r>
        <w:t xml:space="preserve"> </w:t>
      </w:r>
      <w:r>
        <w:t xml:space="preserve">US government agency (potential political interest), but with documented methodology.</w:t>
      </w:r>
    </w:p>
    <w:p>
      <w:pPr>
        <w:pStyle w:val="CardField"/>
      </w:pPr>
      <w:r>
        <w:rPr>
          <w:b/>
          <w:bCs/>
        </w:rPr>
        <w:t xml:space="preserve">Key Takeaways:</w:t>
      </w:r>
      <w:r>
        <w:t xml:space="preserve"> </w:t>
      </w:r>
      <w:r>
        <w:t xml:space="preserve">The top US model solves over 20% more software and cyber tasks; a US reference model is 35% cheaper on average; DeepSeek agents followed malicious instructions 12 times more often on average; following a jailbreak, R1-0528 answered 94% of overtly malicious requests (compared to 8% for US models); DeepSeek models reproduced misleading CCP narratives four times as often; downloads have risen by nearly 1,000% since January 2025.</w:t>
      </w:r>
    </w:p>
    <w:p>
      <w:pPr>
        <w:pStyle w:val="CardField"/>
      </w:pPr>
      <w:r>
        <w:rPr>
          <w:b/>
          <w:bCs/>
        </w:rPr>
        <w:t xml:space="preserve">Potential Counterpoints/Vulnerabilities:</w:t>
      </w:r>
      <w:r>
        <w:t xml:space="preserve"> </w:t>
      </w:r>
      <w:r>
        <w:t xml:space="preserve">PRO: "Government source with a vested interest." → Methodology is transparent; results are verifiable.</w:t>
      </w:r>
    </w:p>
    <w:p>
      <w:pPr>
        <w:pStyle w:val="CardField"/>
      </w:pPr>
      <w:r>
        <w:rPr>
          <w:b/>
          <w:bCs/>
        </w:rPr>
        <w:t xml:space="preserve">Link:</w:t>
      </w:r>
      <w:r>
        <w:t xml:space="preserve"> </w:t>
      </w:r>
      <w:hyperlink r:id="rId147" w:history="1">
        <w:r>
          <w:rPr>
            <w:rStyle w:val="Hyperlink"/>
          </w:rPr>
          <w:t xml:space="preserve">https://www.nist.gov/news-events/news/2025/09/caisi-evaluation-deepseek-ai-models-finds-shortcomings-and-risks</w:t>
        </w:r>
      </w:hyperlink>
    </w:p>
    <w:p>
      <w:pPr>
        <w:pStyle w:val="CardField"/>
      </w:pPr>
      <w:r>
        <w:rPr>
          <w:b/>
          <w:bCs/>
        </w:rPr>
        <w:t xml:space="preserve">Used:</w:t>
      </w:r>
      <w:r>
        <w:t xml:space="preserve"> </w:t>
      </w:r>
      <w:hyperlink w:anchor="b2" w:history="1">
        <w:r>
          <w:rPr>
            <w:rStyle w:val="NavLinkChar"/>
          </w:rPr>
          <w:t xml:space="preserve">B2</w:t>
        </w:r>
      </w:hyperlink>
      <w:r>
        <w:t xml:space="preserve">,</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p>
    <w:bookmarkEnd w:id="148"/>
    <w:bookmarkStart w:id="150" w:name="src-S9"/>
    <w:p>
      <w:pPr>
        <w:pStyle w:val="Heading2"/>
      </w:pPr>
      <w:r>
        <w:t xml:space="preserve">S9 – International Energy Agency (IEA): "Key Questions on Energy and AI – Executive summary"</w:t>
      </w:r>
    </w:p>
    <w:p>
      <w:pPr>
        <w:pStyle w:val="CardField"/>
      </w:pPr>
      <w:r>
        <w:rPr>
          <w:b/>
          <w:bCs/>
        </w:rPr>
        <w:t xml:space="preserve">Who &amp; When:</w:t>
      </w:r>
      <w:r>
        <w:t xml:space="preserve"> </w:t>
      </w:r>
      <w:r>
        <w:t xml:space="preserve">IEA, Paris; special report in the</w:t>
      </w:r>
      <w:r>
        <w:t xml:space="preserve"> </w:t>
      </w:r>
      <w:r>
        <w:rPr>
          <w:i/>
          <w:iCs/>
        </w:rPr>
        <w:t xml:space="preserve">World Energy Outlook</w:t>
      </w:r>
      <w:r>
        <w:t xml:space="preserve"> </w:t>
      </w:r>
      <w:r>
        <w:t xml:space="preserve">series (led by Laura Cozzi; lead authors Thomas Spencer and Siddharth Singh). Published on April 16, 2026; no subsequent updates noted. Accessed by me on October 5, 2026.</w:t>
      </w:r>
    </w:p>
    <w:p>
      <w:pPr>
        <w:pStyle w:val="CardField"/>
      </w:pPr>
      <w:r>
        <w:rPr>
          <w:b/>
          <w:bCs/>
        </w:rPr>
        <w:t xml:space="preserve">Methodology:</w:t>
      </w:r>
      <w:r>
        <w:t xml:space="preserve"> </w:t>
      </w:r>
      <w:r>
        <w:t xml:space="preserve">IEA’s own modeling, supplemented by OECD analyses regarding the impact of AI on GDP. Reviewers included government agencies, researchers (Koomey, Luccioni), and companies such as Amazon, Google, Microsoft, Nvidia, and Chevron (pp. 3–4).</w:t>
      </w:r>
    </w:p>
    <w:p>
      <w:pPr>
        <w:pStyle w:val="CardField"/>
      </w:pPr>
      <w:r>
        <w:rPr>
          <w:b/>
          <w:bCs/>
        </w:rPr>
        <w:t xml:space="preserve">Context &amp; Classification:</w:t>
      </w:r>
      <w:r>
        <w:t xml:space="preserve"> </w:t>
      </w:r>
      <w:r>
        <w:t xml:space="preserve">High credibility. The report serves as the primary source for the IEA forecast and is current (dating back 5.5 months). The figure for 2030—950 TWh—is virtually identical to the 2025 figure (945 TWh). Limitations: It is a forecast (base case), not a measurement. Underlying data come from third parties (OMDIA, BNEF), and the figures are global rather than US-specific. The IEA is funded by member states, with the US contributing approximately one-quarter.</w:t>
      </w:r>
    </w:p>
    <w:p>
      <w:pPr>
        <w:pStyle w:val="CardField"/>
      </w:pPr>
      <w:r>
        <w:rPr>
          <w:b/>
          <w:bCs/>
        </w:rPr>
        <w:t xml:space="preserve">Key Takeaways:</w:t>
      </w:r>
      <w:r>
        <w:t xml:space="preserve"> </w:t>
      </w:r>
      <w:r>
        <w:t xml:space="preserve">Data center electricity consumption is projected to grow from 485 TWh (2025) to 950 TWh (2030), representing about 3% of global demand (p. 10).</w:t>
      </w:r>
    </w:p>
    <w:p>
      <w:pPr>
        <w:pStyle w:val="CardList"/>
        <w:numPr>
          <w:ilvl w:val="0"/>
          <w:numId w:val="1099"/>
        </w:numPr>
      </w:pPr>
      <w:r>
        <w:rPr>
          <w:b/>
          <w:bCs/>
        </w:rPr>
        <w:t xml:space="preserve">Locally, the load is much higher:</w:t>
      </w:r>
      <w:r>
        <w:t xml:space="preserve"> </w:t>
      </w:r>
      <w:r>
        <w:t xml:space="preserve">20–30% of electricity demand in cluster regions (p. 34). The ERCOT queue for large-scale consumers grew from 63 GW to over 230 GW (pp. 26–27).</w:t>
      </w:r>
    </w:p>
    <w:p>
      <w:pPr>
        <w:pStyle w:val="CardList"/>
        <w:numPr>
          <w:ilvl w:val="0"/>
          <w:numId w:val="1100"/>
        </w:numPr>
      </w:pPr>
      <w:r>
        <w:rPr>
          <w:b/>
          <w:bCs/>
        </w:rPr>
        <w:t xml:space="preserve">Electricity prices:</w:t>
      </w:r>
      <w:r>
        <w:t xml:space="preserve"> </w:t>
      </w:r>
      <w:r>
        <w:t xml:space="preserve">Data centers can drive them up locally, but do not necessarily have to (pp. 13–14).</w:t>
      </w:r>
    </w:p>
    <w:p>
      <w:pPr>
        <w:pStyle w:val="CardCont"/>
      </w:pPr>
      <w:r>
        <w:t xml:space="preserve">The IEA recommends pipeline management and flexible grid connections; it makes no mention of a moratorium (p. 14).</w:t>
      </w:r>
    </w:p>
    <w:p>
      <w:pPr>
        <w:pStyle w:val="CardField"/>
      </w:pPr>
      <w:r>
        <w:rPr>
          <w:b/>
          <w:bCs/>
        </w:rPr>
        <w:t xml:space="preserve">Potential Counterpoints/Vulnerabilities:</w:t>
      </w:r>
      <w:r>
        <w:t xml:space="preserve"> </w:t>
      </w:r>
      <w:r>
        <w:t xml:space="preserve">Both sides can use this source. Pro-moratorium arguments cite the rapid pace of growth, grid bottlenecks, and price risks. Arguments against cite the small share (around 3%) and the IEA’s proposed alternatives to a construction freeze.</w:t>
      </w:r>
    </w:p>
    <w:p>
      <w:pPr>
        <w:pStyle w:val="CardList"/>
        <w:numPr>
          <w:ilvl w:val="0"/>
          <w:numId w:val="1101"/>
        </w:numPr>
      </w:pPr>
      <w:r>
        <w:rPr>
          <w:b/>
          <w:bCs/>
        </w:rPr>
        <w:t xml:space="preserve">Most likely line of attack:</w:t>
      </w:r>
      <w:r>
        <w:t xml:space="preserve"> </w:t>
      </w:r>
      <w:r>
        <w:t xml:space="preserve">"Global forecast, no US data, nothing on the moratorium."</w:t>
      </w:r>
    </w:p>
    <w:p>
      <w:pPr>
        <w:pStyle w:val="CardList"/>
        <w:numPr>
          <w:ilvl w:val="0"/>
          <w:numId w:val="1102"/>
        </w:numPr>
      </w:pPr>
      <w:r>
        <w:rPr>
          <w:b/>
          <w:bCs/>
        </w:rPr>
        <w:t xml:space="preserve">Response:</w:t>
      </w:r>
      <w:r>
        <w:t xml:space="preserve"> </w:t>
      </w:r>
      <w:r>
        <w:t xml:space="preserve">We use the source for mechanisms and orders of magnitude; US-specific evidence (ERCOT) is included in the same report, and we supplement hard US figures with data from LBNL.</w:t>
      </w:r>
    </w:p>
    <w:p>
      <w:pPr>
        <w:pStyle w:val="CardList"/>
        <w:numPr>
          <w:ilvl w:val="0"/>
          <w:numId w:val="1103"/>
        </w:numPr>
      </w:pPr>
      <w:r>
        <w:rPr>
          <w:b/>
          <w:bCs/>
        </w:rPr>
        <w:t xml:space="preserve">Second line of attack (independence):</w:t>
      </w:r>
      <w:r>
        <w:t xml:space="preserve"> </w:t>
      </w:r>
      <w:r>
        <w:t xml:space="preserve">Former IEA oil chief Atkinson and Mark Mills criticized the IEA’s climate focus; the IEA dismissed this criticism as flawed. Response: The criticism targets oil and climate scenarios, not the figures regarding data centers. ajot</w:t>
      </w:r>
    </w:p>
    <w:p>
      <w:pPr>
        <w:pStyle w:val="CardField"/>
      </w:pPr>
      <w:r>
        <w:rPr>
          <w:b/>
          <w:bCs/>
        </w:rPr>
        <w:t xml:space="preserve">Original Quote:</w:t>
      </w:r>
      <w:r>
        <w:t xml:space="preserve"> </w:t>
      </w:r>
      <w:r>
        <w:t xml:space="preserve">"[…] roughly doubling from 485 TWh in 2025 to 950 TWh in 2030"</w:t>
      </w:r>
    </w:p>
    <w:p>
      <w:pPr>
        <w:pStyle w:val="CardField"/>
      </w:pPr>
      <w:r>
        <w:rPr>
          <w:b/>
          <w:bCs/>
        </w:rPr>
        <w:t xml:space="preserve">Link:</w:t>
      </w:r>
      <w:r>
        <w:t xml:space="preserve"> </w:t>
      </w:r>
      <w:hyperlink r:id="rId149" w:history="1">
        <w:r>
          <w:rPr>
            <w:rStyle w:val="Hyperlink"/>
          </w:rPr>
          <w:t xml:space="preserve">https://www.iea.org/reports/key-questions-on-energy-and-ai/executive-summary</w:t>
        </w:r>
      </w:hyperlink>
    </w:p>
    <w:p>
      <w:pPr>
        <w:pStyle w:val="CardField"/>
      </w:pPr>
      <w:r>
        <w:rPr>
          <w:b/>
          <w:bCs/>
        </w:rPr>
        <w:t xml:space="preserve">Used:</w:t>
      </w:r>
      <w:r>
        <w:t xml:space="preserve"> </w:t>
      </w:r>
      <w:hyperlink w:anchor="b2" w:history="1">
        <w:r>
          <w:rPr>
            <w:rStyle w:val="NavLinkChar"/>
          </w:rPr>
          <w:t xml:space="preserve">B2</w:t>
        </w:r>
      </w:hyperlink>
    </w:p>
    <w:bookmarkEnd w:id="150"/>
    <w:bookmarkStart w:id="152" w:name="src-S10"/>
    <w:p>
      <w:pPr>
        <w:pStyle w:val="Heading2"/>
      </w:pPr>
      <w:r>
        <w:t xml:space="preserve">S10 – Digital Edge Indonesia (Alissa Shebila): „What is a Hyperscale Data Center? Exploring Its Advantages"</w:t>
      </w:r>
    </w:p>
    <w:p>
      <w:pPr>
        <w:pStyle w:val="CardField"/>
      </w:pPr>
      <w:r>
        <w:rPr>
          <w:b/>
          <w:bCs/>
        </w:rPr>
        <w:t xml:space="preserve">Who &amp; When:</w:t>
      </w:r>
      <w:r>
        <w:t xml:space="preserve"> </w:t>
      </w:r>
      <w:r>
        <w:t xml:space="preserve">Corporate blog of Digital Edge Indonesia; author: Alissa Shebila (Marketing Manager). Published: Jan 5, 2023; updated: Mar 30, 2026; accessed: Oct 5, 2026.</w:t>
      </w:r>
    </w:p>
    <w:p>
      <w:pPr>
        <w:pStyle w:val="CardField"/>
      </w:pPr>
      <w:r>
        <w:rPr>
          <w:b/>
          <w:bCs/>
        </w:rPr>
        <w:t xml:space="preserve">Origin:</w:t>
      </w:r>
      <w:r>
        <w:t xml:space="preserve"> </w:t>
      </w:r>
      <w:r>
        <w:t xml:space="preserve">Marketing and SEO article from a data center provider. It contains no citations, has undergone no peer review, and outlines no discernible methodology.</w:t>
      </w:r>
    </w:p>
    <w:p>
      <w:pPr>
        <w:pStyle w:val="CardField"/>
      </w:pPr>
      <w:r>
        <w:rPr>
          <w:b/>
          <w:bCs/>
        </w:rPr>
        <w:t xml:space="preserve">Context &amp; Classification:</w:t>
      </w:r>
      <w:r>
        <w:t xml:space="preserve"> </w:t>
      </w:r>
      <w:r>
        <w:t xml:space="preserve">Low credibility. ● The author is a marketing manager; the publisher sells "hyperscale-ready" space (Stonepeak-backed Digital Edge platform). ● Neither the definition (sourced from IDC) nor the Google PUE figure is substantiated or dated. ● It is a secondary source with a focus on Indonesia. ● Primary sources are Google’s PUE page (fleet average 2025: 1.09) and IBM for the IDC criteria.</w:t>
      </w:r>
    </w:p>
    <w:p>
      <w:pPr>
        <w:pStyle w:val="CardField"/>
      </w:pPr>
      <w:r>
        <w:rPr>
          <w:b/>
          <w:bCs/>
        </w:rPr>
        <w:t xml:space="preserve">What we can use:</w:t>
      </w:r>
      <w:r>
        <w:t xml:space="preserve"> </w:t>
      </w:r>
      <w:r>
        <w:t xml:space="preserve">"Hyperscale" typically implies at least 10,000 square feet (approx. 930 m²) and over 5,000 servers (section: "Understanding Hyperscale Data Centers"). Regarding the PUE figure (Google approx. 1.1), it is better to cite Google directly. The statements concerning personnel and reliability are unsubstantiated and cannot be used.</w:t>
      </w:r>
    </w:p>
    <w:p>
      <w:pPr>
        <w:pStyle w:val="CardField"/>
      </w:pPr>
      <w:r>
        <w:rPr>
          <w:b/>
          <w:bCs/>
        </w:rPr>
        <w:t xml:space="preserve">Potential Counterpoints/Vulnerabilities:</w:t>
      </w:r>
      <w:r>
        <w:t xml:space="preserve"> </w:t>
      </w:r>
      <w:r>
        <w:t xml:space="preserve">The most likely criticism is "unsubstantiated advertising." A more serious objection is: "PUE measures only efficiency per watt of IT load, not total consumption." According to LBNL/DOE, US data center consumption rose from 58 TWh (2014) to 176 TWh (2023). Answer: “We rely on Google’s own data and IDC criteria; the page is merely a summary. We use PUE only for per-unit efficiency, not for total consumption.” The CONTRA side (opposing a moratorium) can use the efficiency figure, while the PRO side can use the definition for scope delineation. Google’s figure is self-reported data.</w:t>
      </w:r>
    </w:p>
    <w:p>
      <w:pPr>
        <w:pStyle w:val="CardField"/>
      </w:pPr>
      <w:r>
        <w:rPr>
          <w:b/>
          <w:bCs/>
        </w:rPr>
        <w:t xml:space="preserve">Original Quote:</w:t>
      </w:r>
      <w:r>
        <w:t xml:space="preserve"> </w:t>
      </w:r>
      <w:r>
        <w:t xml:space="preserve">“[…] at least 10,000 square feet and housing over 5,000 servers”</w:t>
      </w:r>
    </w:p>
    <w:p>
      <w:pPr>
        <w:pStyle w:val="CardField"/>
      </w:pPr>
      <w:r>
        <w:rPr>
          <w:b/>
          <w:bCs/>
        </w:rPr>
        <w:t xml:space="preserve">Link:</w:t>
      </w:r>
      <w:r>
        <w:t xml:space="preserve"> </w:t>
      </w:r>
      <w:hyperlink r:id="rId151" w:history="1">
        <w:r>
          <w:rPr>
            <w:rStyle w:val="Hyperlink"/>
          </w:rPr>
          <w:t xml:space="preserve">Digital Edge Indonesia – Hyperscale Data Center</w:t>
        </w:r>
      </w:hyperlink>
    </w:p>
    <w:p>
      <w:pPr>
        <w:pStyle w:val="CardField"/>
      </w:pPr>
      <w:r>
        <w:rPr>
          <w:b/>
          <w:bCs/>
        </w:rPr>
        <w:t xml:space="preserve">Used:</w:t>
      </w:r>
      <w:r>
        <w:t xml:space="preserve"> </w:t>
      </w:r>
      <w:hyperlink w:anchor="b2" w:history="1">
        <w:r>
          <w:rPr>
            <w:rStyle w:val="NavLinkChar"/>
          </w:rPr>
          <w:t xml:space="preserve">B2</w:t>
        </w:r>
      </w:hyperlink>
    </w:p>
    <w:bookmarkEnd w:id="152"/>
    <w:bookmarkStart w:id="156" w:name="src-S11"/>
    <w:p>
      <w:pPr>
        <w:pStyle w:val="Heading2"/>
      </w:pPr>
      <w:r>
        <w:t xml:space="preserve">S11 – Stanford AI Index 2026, Chapter 4 "Economy"</w:t>
      </w:r>
    </w:p>
    <w:p>
      <w:pPr>
        <w:pStyle w:val="CardField"/>
      </w:pPr>
      <w:r>
        <w:rPr>
          <w:b/>
          <w:bCs/>
        </w:rPr>
        <w:t xml:space="preserve">Who &amp; When:</w:t>
      </w:r>
      <w:r>
        <w:t xml:space="preserve"> </w:t>
      </w:r>
      <w:r>
        <w:t xml:space="preserve">Stanford Institute for Human-Centered AI (HAI), AI Index Steering Committee; released April 13, 2026 (data mostly through 2025).</w:t>
      </w:r>
    </w:p>
    <w:p>
      <w:pPr>
        <w:pStyle w:val="CardField"/>
      </w:pPr>
      <w:r>
        <w:rPr>
          <w:b/>
          <w:bCs/>
        </w:rPr>
        <w:t xml:space="preserve">Origin:</w:t>
      </w:r>
      <w:r>
        <w:t xml:space="preserve"> </w:t>
      </w:r>
      <w:r>
        <w:t xml:space="preserve">Independent annual research report (academic), compiled from third-party surveys and datasets.</w:t>
      </w:r>
    </w:p>
    <w:p>
      <w:pPr>
        <w:pStyle w:val="CardField"/>
      </w:pPr>
      <w:r>
        <w:rPr>
          <w:b/>
          <w:bCs/>
        </w:rPr>
        <w:t xml:space="preserve">Context &amp; Classification:</w:t>
      </w:r>
      <w:r>
        <w:t xml:space="preserve"> </w:t>
      </w:r>
      <w:r>
        <w:t xml:space="preserve">Ninth annual edition of the AI Index. Chapter 4 analyzes the economic footprint of AI across the private sector, labor markets, productivity and the future of work. It is widely treated as the standard reference for AI trend data.</w:t>
      </w:r>
    </w:p>
    <w:p>
      <w:pPr>
        <w:pStyle w:val="CardField"/>
      </w:pPr>
      <w:r>
        <w:rPr>
          <w:b/>
          <w:bCs/>
        </w:rPr>
        <w:t xml:space="preserve">Key Takeaways:</w:t>
      </w:r>
      <w:r>
        <w:t xml:space="preserve"> </w:t>
      </w:r>
      <w:r>
        <w:t xml:space="preserve">Organizational AI use rose from 55% (2023) to 88% (2025); regionally, Europe leads at 91%, North America at 90%. Generative AI reached 53% adoption within three years, faster than the internet or the PC at the same stage. Global corporate AI investment hit a record $581.69 billion in 2025 (up from $14.57 billion in 2013), of which $344.66 billion was private investment. U.S. generative AI consumer surplus grew from $112 billion to $172 billion, with users up from 95 to 115 million.</w:t>
      </w:r>
    </w:p>
    <w:p>
      <w:pPr>
        <w:pStyle w:val="CardField"/>
      </w:pPr>
      <w:r>
        <w:rPr>
          <w:b/>
          <w:bCs/>
        </w:rPr>
        <w:t xml:space="preserve">Potential Counterpoints/Vulnerabilities:</w:t>
      </w:r>
    </w:p>
    <w:p>
      <w:pPr>
        <w:pStyle w:val="CardList"/>
        <w:numPr>
          <w:ilvl w:val="0"/>
          <w:numId w:val="1104"/>
        </w:numPr>
      </w:pPr>
      <w:r>
        <w:rPr>
          <w:b/>
          <w:bCs/>
        </w:rPr>
        <w:t xml:space="preserve">PRO:</w:t>
      </w:r>
      <w:r>
        <w:t xml:space="preserve"> </w:t>
      </w:r>
      <w:r>
        <w:t xml:space="preserve">"Demand is not hype – usage jumped from 55% to 88% in two years, and generative AI spread faster than the PC or the internet."</w:t>
      </w:r>
    </w:p>
    <w:p>
      <w:pPr>
        <w:pStyle w:val="CardList"/>
        <w:numPr>
          <w:ilvl w:val="0"/>
          <w:numId w:val="1105"/>
        </w:numPr>
      </w:pPr>
      <w:r>
        <w:rPr>
          <w:b/>
          <w:bCs/>
        </w:rPr>
        <w:t xml:space="preserve">SCRUTINY:</w:t>
      </w:r>
      <w:r>
        <w:t xml:space="preserve"> </w:t>
      </w:r>
      <w:r>
        <w:t xml:space="preserve">"Usage ≠ value. Most organizations are still in the pilot phase, and AI agents are in single digits in most business functions. The data is survey-based and self-reported, and Stanford collates it from third parties. Adoption is uneven across countries and income levels."</w:t>
      </w:r>
    </w:p>
    <w:p>
      <w:pPr>
        <w:pStyle w:val="CardField"/>
      </w:pPr>
      <w:r>
        <w:rPr>
          <w:b/>
          <w:bCs/>
        </w:rPr>
        <w:t xml:space="preserve">Original Quote:</w:t>
      </w:r>
      <w:r>
        <w:t xml:space="preserve"> </w:t>
      </w:r>
      <w:r>
        <w:t xml:space="preserve">"Global adoption rose from 55% in 2023 to 88% in 2025"</w:t>
      </w:r>
    </w:p>
    <w:p>
      <w:pPr>
        <w:pStyle w:val="CardField"/>
      </w:pPr>
      <w:r>
        <w:rPr>
          <w:b/>
          <w:bCs/>
        </w:rPr>
        <w:t xml:space="preserve">Links:</w:t>
      </w:r>
    </w:p>
    <w:p>
      <w:pPr>
        <w:pStyle w:val="CardList"/>
        <w:numPr>
          <w:ilvl w:val="0"/>
          <w:numId w:val="1106"/>
        </w:numPr>
      </w:pPr>
      <w:hyperlink r:id="rId153" w:history="1">
        <w:r>
          <w:rPr>
            <w:rStyle w:val="Hyperlink"/>
          </w:rPr>
          <w:t xml:space="preserve">hai.stanford.edu</w:t>
        </w:r>
      </w:hyperlink>
    </w:p>
    <w:p>
      <w:pPr>
        <w:pStyle w:val="CardList"/>
        <w:numPr>
          <w:ilvl w:val="0"/>
          <w:numId w:val="1106"/>
        </w:numPr>
      </w:pPr>
      <w:hyperlink r:id="rId154" w:history="1">
        <w:r>
          <w:rPr>
            <w:rStyle w:val="Hyperlink"/>
          </w:rPr>
          <w:t xml:space="preserve">Chapter 4 PDF</w:t>
        </w:r>
      </w:hyperlink>
    </w:p>
    <w:p>
      <w:pPr>
        <w:pStyle w:val="CardList"/>
        <w:numPr>
          <w:ilvl w:val="0"/>
          <w:numId w:val="1106"/>
        </w:numPr>
      </w:pPr>
      <w:hyperlink r:id="rId155" w:history="1">
        <w:r>
          <w:rPr>
            <w:rStyle w:val="Hyperlink"/>
          </w:rPr>
          <w:t xml:space="preserve">Full report PDF</w:t>
        </w:r>
      </w:hyperlink>
    </w:p>
    <w:p>
      <w:pPr>
        <w:pStyle w:val="CardField"/>
      </w:pPr>
      <w:r>
        <w:rPr>
          <w:b/>
          <w:bCs/>
        </w:rPr>
        <w:t xml:space="preserve">Used:</w:t>
      </w:r>
      <w:r>
        <w:t xml:space="preserve"> </w:t>
      </w:r>
      <w:hyperlink w:anchor="a3" w:history="1">
        <w:r>
          <w:rPr>
            <w:rStyle w:val="NavLinkChar"/>
          </w:rPr>
          <w:t xml:space="preserve">A3</w:t>
        </w:r>
      </w:hyperlink>
      <w:r>
        <w:t xml:space="preserve">,</w:t>
      </w:r>
      <w:r>
        <w:t xml:space="preserve"> </w:t>
      </w:r>
      <w:hyperlink w:anchor="b2" w:history="1">
        <w:r>
          <w:rPr>
            <w:rStyle w:val="NavLinkChar"/>
          </w:rPr>
          <w:t xml:space="preserve">B2</w:t>
        </w:r>
      </w:hyperlink>
      <w:r>
        <w:t xml:space="preserve">,</w:t>
      </w:r>
      <w:r>
        <w:t xml:space="preserve"> </w:t>
      </w:r>
      <w:hyperlink w:anchor="p6" w:history="1">
        <w:r>
          <w:rPr>
            <w:rStyle w:val="NavLinkChar"/>
          </w:rPr>
          <w:t xml:space="preserve">P6</w:t>
        </w:r>
      </w:hyperlink>
    </w:p>
    <w:bookmarkEnd w:id="156"/>
    <w:bookmarkStart w:id="158" w:name="src-S12"/>
    <w:p>
      <w:pPr>
        <w:pStyle w:val="Heading2"/>
      </w:pPr>
      <w:r>
        <w:t xml:space="preserve">S12 – Lawrence Berkeley National Laboratory: Data Center Energy Usage Report – 2025 Update</w:t>
      </w:r>
    </w:p>
    <w:p>
      <w:pPr>
        <w:pStyle w:val="CardField"/>
      </w:pPr>
      <w:r>
        <w:rPr>
          <w:b/>
          <w:bCs/>
        </w:rPr>
        <w:t xml:space="preserve">Who &amp; When:</w:t>
      </w:r>
      <w:r>
        <w:t xml:space="preserve"> </w:t>
      </w:r>
      <w:r>
        <w:t xml:space="preserve">Sarah Josephine Smith, Alex Hubbard, Alexander Newkirk, Mohan Ganeshalingam, Billie Holecek, Dale A. Sartor, Michael Mills, Arman Shehabi (LBNL); published June 2026.</w:t>
      </w:r>
    </w:p>
    <w:p>
      <w:pPr>
        <w:pStyle w:val="CardField"/>
      </w:pPr>
      <w:r>
        <w:rPr>
          <w:b/>
          <w:bCs/>
        </w:rPr>
        <w:t xml:space="preserve">Methodology:</w:t>
      </w:r>
      <w:r>
        <w:t xml:space="preserve"> </w:t>
      </w:r>
      <w:r>
        <w:t xml:space="preserve">Updates the 2024 model; incorporates specialized AI chips (ASICs), accounts for higher wattage in new accelerators (e.g., Nvidia Blackwell), and applies new assumptions regarding utilization rates for AI usage (inference). Includes shipment data through Q3 2025; 2024 is the final "historical" year.</w:t>
      </w:r>
    </w:p>
    <w:p>
      <w:pPr>
        <w:pStyle w:val="CardField"/>
      </w:pPr>
      <w:r>
        <w:rPr>
          <w:b/>
          <w:bCs/>
        </w:rPr>
        <w:t xml:space="preserve">Context &amp; Classification:</w:t>
      </w:r>
      <w:r>
        <w:t xml:space="preserve"> </w:t>
      </w:r>
      <w:r>
        <w:t xml:space="preserve">Most recent official U.S. forecast (as of October 2026).</w:t>
      </w:r>
    </w:p>
    <w:p>
      <w:pPr>
        <w:pStyle w:val="CardList"/>
        <w:numPr>
          <w:ilvl w:val="0"/>
          <w:numId w:val="1107"/>
        </w:numPr>
      </w:pPr>
      <w:r>
        <w:rPr>
          <w:b/>
          <w:bCs/>
        </w:rPr>
        <w:t xml:space="preserve">Key figures used:</w:t>
      </w:r>
      <w:r>
        <w:t xml:space="preserve"> </w:t>
      </w:r>
      <w:r>
        <w:t xml:space="preserve">2024: 192 TWh = 4.7% of U.S. electricity. 2030 (reference case): 649 TWh = 11.8%; range 521–843 TWh = 9.5–15.3%; equivalent to approx. 148 GW of connected load at 50% utilization.</w:t>
      </w:r>
    </w:p>
    <w:p>
      <w:pPr>
        <w:pStyle w:val="CardField"/>
      </w:pPr>
      <w:r>
        <w:rPr>
          <w:b/>
          <w:bCs/>
        </w:rPr>
        <w:t xml:space="preserve">Potential Counterpoints/Vulnerabilities:</w:t>
      </w:r>
      <w:r>
        <w:t xml:space="preserve"> </w:t>
      </w:r>
      <w:r>
        <w:t xml:space="preserve">"It's a forecast, not a fact." → Yes, but it is the</w:t>
      </w:r>
      <w:r>
        <w:t xml:space="preserve"> </w:t>
      </w:r>
      <w:r>
        <w:rPr>
          <w:i/>
          <w:iCs/>
        </w:rPr>
        <w:t xml:space="preserve">official</w:t>
      </w:r>
      <w:r>
        <w:t xml:space="preserve"> </w:t>
      </w:r>
      <w:r>
        <w:t xml:space="preserve">forecast; even the low-end figure represents a doubling of the share.</w:t>
      </w:r>
    </w:p>
    <w:p>
      <w:pPr>
        <w:pStyle w:val="CardField"/>
      </w:pPr>
      <w:r>
        <w:rPr>
          <w:b/>
          <w:bCs/>
        </w:rPr>
        <w:t xml:space="preserve">Original Quote:</w:t>
      </w:r>
      <w:r>
        <w:t xml:space="preserve"> </w:t>
      </w:r>
      <w:r>
        <w:t xml:space="preserve">“… data centers could account for 11.8% of total U.S. electricity by 2030 … between 9.5 and 15.3%.”</w:t>
      </w:r>
    </w:p>
    <w:p>
      <w:pPr>
        <w:pStyle w:val="CardField"/>
      </w:pPr>
      <w:r>
        <w:rPr>
          <w:b/>
          <w:bCs/>
        </w:rPr>
        <w:t xml:space="preserve">Link:</w:t>
      </w:r>
      <w:r>
        <w:t xml:space="preserve"> </w:t>
      </w:r>
      <w:hyperlink r:id="rId157" w:history="1">
        <w:r>
          <w:rPr>
            <w:rStyle w:val="Hyperlink"/>
          </w:rPr>
          <w:t xml:space="preserve">https://eta.lbl.gov/publications/united-states-data-center-energy-2025</w:t>
        </w:r>
      </w:hyperlink>
    </w:p>
    <w:p>
      <w:pPr>
        <w:pStyle w:val="CardField"/>
      </w:pPr>
      <w:r>
        <w:rPr>
          <w:b/>
          <w:bCs/>
        </w:rPr>
        <w:t xml:space="preserve">Used:</w:t>
      </w:r>
      <w:r>
        <w:t xml:space="preserve"> </w:t>
      </w:r>
      <w:hyperlink w:anchor="p1" w:history="1">
        <w:r>
          <w:rPr>
            <w:rStyle w:val="NavLinkChar"/>
          </w:rPr>
          <w:t xml:space="preserve">P1</w:t>
        </w:r>
      </w:hyperlink>
    </w:p>
    <w:bookmarkEnd w:id="158"/>
    <w:bookmarkStart w:id="160" w:name="src-S13"/>
    <w:p>
      <w:pPr>
        <w:pStyle w:val="Heading2"/>
      </w:pPr>
      <w:r>
        <w:t xml:space="preserve">S13 – International Energy Agency (IEA): “Energy and AI” (Special Report)</w:t>
      </w:r>
    </w:p>
    <w:p>
      <w:pPr>
        <w:pStyle w:val="CardField"/>
      </w:pPr>
      <w:r>
        <w:rPr>
          <w:b/>
          <w:bCs/>
        </w:rPr>
        <w:t xml:space="preserve">Who &amp; When:</w:t>
      </w:r>
      <w:r>
        <w:t xml:space="preserve"> </w:t>
      </w:r>
      <w:r>
        <w:t xml:space="preserve">International Energy Agency (intergovernmental energy organization; members include the USA), April 2025.</w:t>
      </w:r>
    </w:p>
    <w:p>
      <w:pPr>
        <w:pStyle w:val="CardField"/>
      </w:pPr>
      <w:r>
        <w:rPr>
          <w:b/>
          <w:bCs/>
        </w:rPr>
        <w:t xml:space="preserve">Methodology:</w:t>
      </w:r>
      <w:r>
        <w:t xml:space="preserve"> </w:t>
      </w:r>
      <w:r>
        <w:t xml:space="preserve">Global model of data center electricity demand featuring various scenarios (e.g., Base Case, Lift-Off); data sourced from industry, governments, and grid operators.</w:t>
      </w:r>
    </w:p>
    <w:p>
      <w:pPr>
        <w:pStyle w:val="CardField"/>
      </w:pPr>
      <w:r>
        <w:rPr>
          <w:b/>
          <w:bCs/>
        </w:rPr>
        <w:t xml:space="preserve">Context &amp; Classification:</w:t>
      </w:r>
      <w:r>
        <w:t xml:space="preserve"> </w:t>
      </w:r>
      <w:r>
        <w:t xml:space="preserve">An international standard reference; scenarios, not predictions.</w:t>
      </w:r>
    </w:p>
    <w:p>
      <w:pPr>
        <w:pStyle w:val="CardField"/>
      </w:pPr>
      <w:r>
        <w:rPr>
          <w:b/>
          <w:bCs/>
        </w:rPr>
        <w:t xml:space="preserve">Key Takeaways:</w:t>
      </w:r>
      <w:r>
        <w:t xml:space="preserve"> </w:t>
      </w:r>
      <w:r>
        <w:t xml:space="preserve">2024: ~415 TWh ≈ 1.5% of global electricity consumption (USA 45%, China 25%, Europe 15%); projected ~945 TWh by 2030; in the USA, data centers account for nearly half of the growth in electricity demand through 2030; emissions from data center electricity use: 180 million tonnes today → 300 million tonnes in 2035 (Base Case); widespread adoption of existing AI applications could reduce emissions by ~5% of energy-related emissions in 2035—though it is “no silver bullet” and rebound effects are possible; ~20% of planned data center projects face potential delays due to grid constraints.</w:t>
      </w:r>
    </w:p>
    <w:p>
      <w:pPr>
        <w:pStyle w:val="CardField"/>
      </w:pPr>
      <w:r>
        <w:rPr>
          <w:b/>
          <w:bCs/>
        </w:rPr>
        <w:t xml:space="preserve">Potential Counterpoints/Vulnerabilities:</w:t>
      </w:r>
      <w:r>
        <w:t xml:space="preserve"> </w:t>
      </w:r>
      <w:r>
        <w:t xml:space="preserve">Cited by both sides: CONTRA (AI saves emissions), PRO (“not a silver bullet,” grid constraints).</w:t>
      </w:r>
    </w:p>
    <w:p>
      <w:pPr>
        <w:pStyle w:val="CardField"/>
      </w:pPr>
      <w:r>
        <w:rPr>
          <w:b/>
          <w:bCs/>
        </w:rPr>
        <w:t xml:space="preserve">Original Quote:</w:t>
      </w:r>
      <w:r>
        <w:t xml:space="preserve"> </w:t>
      </w:r>
      <w:r>
        <w:t xml:space="preserve">“AI can be a tool in reducing emissions, but it is not a silver bullet and does not remove the need for proactive policy.”</w:t>
      </w:r>
    </w:p>
    <w:p>
      <w:pPr>
        <w:pStyle w:val="CardField"/>
      </w:pPr>
      <w:r>
        <w:rPr>
          <w:b/>
          <w:bCs/>
        </w:rPr>
        <w:t xml:space="preserve">Link:</w:t>
      </w:r>
      <w:r>
        <w:t xml:space="preserve"> </w:t>
      </w:r>
      <w:hyperlink r:id="rId159" w:history="1">
        <w:r>
          <w:rPr>
            <w:rStyle w:val="Hyperlink"/>
          </w:rPr>
          <w:t xml:space="preserve">https://iea.blob.core.windows.net/assets/de9dea13-b07d-42c5-a398-d1b3ae17d866/EnergyandAI.pdf</w:t>
        </w:r>
      </w:hyperlink>
    </w:p>
    <w:p>
      <w:pPr>
        <w:pStyle w:val="CardField"/>
      </w:pPr>
      <w:r>
        <w:rPr>
          <w:b/>
          <w:bCs/>
        </w:rPr>
        <w:t xml:space="preserve">Used:</w:t>
      </w:r>
      <w:r>
        <w:t xml:space="preserve"> </w:t>
      </w:r>
      <w:hyperlink w:anchor="a6" w:history="1">
        <w:r>
          <w:rPr>
            <w:rStyle w:val="NavLinkChar"/>
          </w:rPr>
          <w:t xml:space="preserve">A6</w:t>
        </w:r>
      </w:hyperlink>
      <w:r>
        <w:t xml:space="preserve">,</w:t>
      </w:r>
      <w:r>
        <w:t xml:space="preserve"> </w:t>
      </w:r>
      <w:hyperlink w:anchor="p1" w:history="1">
        <w:r>
          <w:rPr>
            <w:rStyle w:val="NavLinkChar"/>
          </w:rPr>
          <w:t xml:space="preserve">P1</w:t>
        </w:r>
      </w:hyperlink>
      <w:r>
        <w:t xml:space="preserve">,</w:t>
      </w:r>
      <w:r>
        <w:t xml:space="preserve"> </w:t>
      </w:r>
      <w:hyperlink w:anchor="p3" w:history="1">
        <w:r>
          <w:rPr>
            <w:rStyle w:val="NavLinkChar"/>
          </w:rPr>
          <w:t xml:space="preserve">P3</w:t>
        </w:r>
      </w:hyperlink>
    </w:p>
    <w:bookmarkEnd w:id="160"/>
    <w:bookmarkStart w:id="162" w:name="src-S14"/>
    <w:p>
      <w:pPr>
        <w:pStyle w:val="Heading2"/>
      </w:pPr>
      <w:r>
        <w:t xml:space="preserve">S14 – PJM: Results of the 2028/29 Capacity Auction (Inside Lines)</w:t>
      </w:r>
    </w:p>
    <w:p>
      <w:pPr>
        <w:pStyle w:val="CardField"/>
      </w:pPr>
      <w:r>
        <w:rPr>
          <w:b/>
          <w:bCs/>
        </w:rPr>
        <w:t xml:space="preserve">Who &amp; When:</w:t>
      </w:r>
      <w:r>
        <w:t xml:space="preserve"> </w:t>
      </w:r>
      <w:r>
        <w:t xml:space="preserve">PJM Interconnection (largest US grid operator), announcement dated July 14, 2026. Supplementary info from RTO Insider (July 2025) regarding the 2026/27 auction.</w:t>
      </w:r>
    </w:p>
    <w:p>
      <w:pPr>
        <w:pStyle w:val="CardField"/>
      </w:pPr>
      <w:r>
        <w:rPr>
          <w:b/>
          <w:bCs/>
        </w:rPr>
        <w:t xml:space="preserve">Origin:</w:t>
      </w:r>
      <w:r>
        <w:t xml:space="preserve"> </w:t>
      </w:r>
      <w:r>
        <w:t xml:space="preserve">Official auction results from the "Base Residual Auction" process.</w:t>
      </w:r>
    </w:p>
    <w:p>
      <w:pPr>
        <w:pStyle w:val="CardField"/>
      </w:pPr>
      <w:r>
        <w:rPr>
          <w:b/>
          <w:bCs/>
        </w:rPr>
        <w:t xml:space="preserve">Context &amp; Classification:</w:t>
      </w:r>
      <w:r>
        <w:t xml:space="preserve"> </w:t>
      </w:r>
      <w:r>
        <w:t xml:space="preserve">Primary source. PJM itself notes that the total value does not correspond one-to-one with consumer costs (some loads are hedged via contracts).</w:t>
      </w:r>
    </w:p>
    <w:p>
      <w:pPr>
        <w:pStyle w:val="CardField"/>
      </w:pPr>
      <w:r>
        <w:rPr>
          <w:b/>
          <w:bCs/>
        </w:rPr>
        <w:t xml:space="preserve">Key Takeaways:</w:t>
      </w:r>
      <w:r>
        <w:t xml:space="preserve"> </w:t>
      </w:r>
      <w:r>
        <w:t xml:space="preserve">2028/29: $325/MW-day = price cap; total value $16.4 billion; 6,831 MW below the reliability standard (one outage event in ten years). 2027/28: $333.44 (cap); according to RTO Insider, the 2026/27 auction also hit the cap ($329). PJM: Price caps "do not solve the underlying supply-demand imbalance."</w:t>
      </w:r>
    </w:p>
    <w:p>
      <w:pPr>
        <w:pStyle w:val="CardField"/>
      </w:pPr>
      <w:r>
        <w:rPr>
          <w:b/>
          <w:bCs/>
        </w:rPr>
        <w:t xml:space="preserve">Potential Counterpoints/Vulnerabilities:</w:t>
      </w:r>
      <w:r>
        <w:t xml:space="preserve"> </w:t>
      </w:r>
      <w:r>
        <w:t xml:space="preserve">"Total value ≠ consumer costs." → Correct; that is why we refer to capacity costs rather than exact billing amounts.</w:t>
      </w:r>
    </w:p>
    <w:p>
      <w:pPr>
        <w:pStyle w:val="CardField"/>
      </w:pPr>
      <w:r>
        <w:rPr>
          <w:b/>
          <w:bCs/>
        </w:rPr>
        <w:t xml:space="preserve">Explanation of the topic:</w:t>
      </w:r>
      <w:r>
        <w:t xml:space="preserve"> </w:t>
      </w:r>
      <w:r>
        <w:t xml:space="preserve">PJM coordinates the electricity supply in the eastern United States. The non-profit organization manages the grid and the wholesale market for approximately 67 million people. Through an auction, PJM secured capacity commitments totaling around 138,000 megawatts from power plants. These commitments are intended to ensure that electricity reliably reaches consumers when needed and to prevent major outages. PJM aims to maintain a reserve margin of 20% above expected peak demand so that sufficient power remains available even if a power plant fails. The goal is to limit outages to no more than roughly one every ten years.</w:t>
      </w:r>
    </w:p>
    <w:p>
      <w:pPr>
        <w:pStyle w:val="CardCont"/>
      </w:pPr>
      <w:r>
        <w:t xml:space="preserve">At the same time, a price cap is in place—established under pressure from governors and approved by the regulatory agency FERC. This cap sets a maximum daily price per megawatt (most recently $325) to prevent consumers from being overwhelmed by skyrocketing costs.</w:t>
      </w:r>
    </w:p>
    <w:p>
      <w:pPr>
        <w:pStyle w:val="CardCont"/>
      </w:pPr>
      <w:r>
        <w:t xml:space="preserve">Electricity demand is now rising—driven, for instance, by massive data centers—and prices are climbing along with that demand. This price applies uniformly across the entire region, and costs are passed on to consumers via utility companies. Demand was so high that the price hit the cap. Supply did not keep pace: while it was sufficient to meet expected peak demand, it fell short of the target reserve level. Consequently, the buffer stands at only about 14.7% rather than 20%.</w:t>
      </w:r>
    </w:p>
    <w:p>
      <w:pPr>
        <w:pStyle w:val="CardField"/>
      </w:pPr>
      <w:r>
        <w:rPr>
          <w:b/>
          <w:bCs/>
        </w:rPr>
        <w:t xml:space="preserve">Link:</w:t>
      </w:r>
      <w:r>
        <w:t xml:space="preserve"> </w:t>
      </w:r>
      <w:hyperlink r:id="rId161" w:history="1">
        <w:r>
          <w:rPr>
            <w:rStyle w:val="Hyperlink"/>
          </w:rPr>
          <w:t xml:space="preserve">https://insidelines.pjm.com/pjm-capacity-auction-procures-138318-mw-of-generation-resources-as-work-continues-to-address-growing-electricity-demand/</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2" w:history="1">
        <w:r>
          <w:rPr>
            <w:rStyle w:val="NavLinkChar"/>
          </w:rPr>
          <w:t xml:space="preserve">P2</w:t>
        </w:r>
      </w:hyperlink>
      <w:r>
        <w:t xml:space="preserve">,</w:t>
      </w:r>
      <w:r>
        <w:t xml:space="preserve"> </w:t>
      </w:r>
      <w:hyperlink w:anchor="p5" w:history="1">
        <w:r>
          <w:rPr>
            <w:rStyle w:val="NavLinkChar"/>
          </w:rPr>
          <w:t xml:space="preserve">P5</w:t>
        </w:r>
      </w:hyperlink>
    </w:p>
    <w:bookmarkEnd w:id="162"/>
    <w:bookmarkStart w:id="164" w:name="src-S15"/>
    <w:p>
      <w:pPr>
        <w:pStyle w:val="Heading2"/>
      </w:pPr>
      <w:r>
        <w:t xml:space="preserve">S15 – Pew Research Center: "What we know about energy use at U.S. data centers amid the AI boom"</w:t>
      </w:r>
    </w:p>
    <w:p>
      <w:pPr>
        <w:pStyle w:val="CardField"/>
      </w:pPr>
      <w:r>
        <w:rPr>
          <w:b/>
          <w:bCs/>
        </w:rPr>
        <w:t xml:space="preserve">Who &amp; When:</w:t>
      </w:r>
      <w:r>
        <w:t xml:space="preserve"> </w:t>
      </w:r>
      <w:r>
        <w:t xml:space="preserve">Rebecca Leppert, Pew Research Center (nonpartisan research institute, Washington D.C.), October 24, 2025.</w:t>
      </w:r>
    </w:p>
    <w:p>
      <w:pPr>
        <w:pStyle w:val="CardField"/>
      </w:pPr>
      <w:r>
        <w:rPr>
          <w:b/>
          <w:bCs/>
        </w:rPr>
        <w:t xml:space="preserve">Methodology:</w:t>
      </w:r>
      <w:r>
        <w:t xml:space="preserve"> </w:t>
      </w:r>
      <w:r>
        <w:t xml:space="preserve">Not an original experiment, but a verified compilation of official and scientific data: IEA (consumption, electricity mix), EPRI (state-level shares), Lawrence Berkeley National Laboratory (water), Monitoring Analytics (PJM costs), Carnegie Mellon (forecast), EIA (electricity bills), Data Center Map (facility count), and an original survey (August 2024, 5,410 adults).</w:t>
      </w:r>
    </w:p>
    <w:p>
      <w:pPr>
        <w:pStyle w:val="CardField"/>
      </w:pPr>
      <w:r>
        <w:rPr>
          <w:b/>
          <w:bCs/>
        </w:rPr>
        <w:t xml:space="preserve">Context &amp; Classification:</w:t>
      </w:r>
      <w:r>
        <w:t xml:space="preserve"> </w:t>
      </w:r>
      <w:r>
        <w:t xml:space="preserve">Highly credible secondary source. Refer to the respective original source for further inquiries.</w:t>
      </w:r>
    </w:p>
    <w:p>
      <w:pPr>
        <w:pStyle w:val="CardField"/>
      </w:pPr>
      <w:r>
        <w:rPr>
          <w:b/>
          <w:bCs/>
        </w:rPr>
        <w:t xml:space="preserve">Key Takeaways:</w:t>
      </w:r>
      <w:r>
        <w:t xml:space="preserve"> </w:t>
      </w:r>
      <w:r>
        <w:t xml:space="preserve">Examples of usage (email, streaming, cloud photos, chatbots); 183 TWh = over 4% of U.S. electricity (2024); data center electricity mix 2024: &gt;40% gas, ~24% wind/solar, ~20% nuclear, ~15% coal; Virginia: ~26% of electricity (2023); water 2023: ~17 billion gallons (≈ 64 billion liters), with 84% attributed to hyperscale and colocation facilities; hyperscale alone by 2028: 16–33 billion gallons/year; PJM auction 2025/26: $9.3 billion in additional costs driven by data centers → approx. +$18/month in Western Maryland, +$16/month in Ohio; typical electricity bill $142 (2024) vs. $114 (2014).</w:t>
      </w:r>
    </w:p>
    <w:p>
      <w:pPr>
        <w:pStyle w:val="CardField"/>
      </w:pPr>
      <w:r>
        <w:rPr>
          <w:b/>
          <w:bCs/>
        </w:rPr>
        <w:t xml:space="preserve">Potential Counterpoints/Vulnerabilities:</w:t>
      </w:r>
      <w:r>
        <w:t xml:space="preserve"> </w:t>
      </w:r>
      <w:r>
        <w:t xml:space="preserve">“Pew is not a specialized source on energy.” → Pew consistently cites and names specialized sources (LBNL, IEA, market monitors).</w:t>
      </w:r>
    </w:p>
    <w:p>
      <w:pPr>
        <w:pStyle w:val="CardField"/>
      </w:pPr>
      <w:r>
        <w:rPr>
          <w:b/>
          <w:bCs/>
        </w:rPr>
        <w:t xml:space="preserve">Original Quote:</w:t>
      </w:r>
      <w:r>
        <w:t xml:space="preserve"> </w:t>
      </w:r>
      <w:r>
        <w:t xml:space="preserve">“Whenever you send an email, stream your favorite TV show, save a family photo to ‘the cloud’ or ask a chatbot a question, you’re interacting with a data center.”</w:t>
      </w:r>
    </w:p>
    <w:p>
      <w:pPr>
        <w:pStyle w:val="CardField"/>
      </w:pPr>
      <w:r>
        <w:rPr>
          <w:b/>
          <w:bCs/>
        </w:rPr>
        <w:t xml:space="preserve">Link:</w:t>
      </w:r>
      <w:r>
        <w:t xml:space="preserve"> </w:t>
      </w:r>
      <w:hyperlink r:id="rId163" w:history="1">
        <w:r>
          <w:rPr>
            <w:rStyle w:val="Hyperlink"/>
          </w:rPr>
          <w:t xml:space="preserve">https://www.pewresearch.org/short-reads/2025/10/24/what-we-know-about-energy-use-at-us-data-centers-amid-the-ai-boom/</w:t>
        </w:r>
      </w:hyperlink>
    </w:p>
    <w:p>
      <w:pPr>
        <w:pStyle w:val="CardField"/>
      </w:pPr>
      <w:r>
        <w:rPr>
          <w:b/>
          <w:bCs/>
        </w:rPr>
        <w:t xml:space="preserve">Used:</w:t>
      </w:r>
      <w:r>
        <w:t xml:space="preserve"> </w:t>
      </w:r>
      <w:hyperlink w:anchor="a3" w:history="1">
        <w:r>
          <w:rPr>
            <w:rStyle w:val="NavLinkChar"/>
          </w:rPr>
          <w:t xml:space="preserve">A3</w:t>
        </w:r>
      </w:hyperlink>
      <w:r>
        <w:t xml:space="preserve">,</w:t>
      </w:r>
      <w:r>
        <w:t xml:space="preserve"> </w:t>
      </w:r>
      <w:hyperlink w:anchor="a4" w:history="1">
        <w:r>
          <w:rPr>
            <w:rStyle w:val="NavLinkChar"/>
          </w:rPr>
          <w:t xml:space="preserve">A4</w:t>
        </w:r>
      </w:hyperlink>
      <w:r>
        <w:t xml:space="preserve">,</w:t>
      </w:r>
      <w:r>
        <w:t xml:space="preserve"> </w:t>
      </w:r>
      <w:hyperlink w:anchor="p1" w:history="1">
        <w:r>
          <w:rPr>
            <w:rStyle w:val="NavLinkChar"/>
          </w:rPr>
          <w:t xml:space="preserve">P1</w:t>
        </w:r>
      </w:hyperlink>
      <w:r>
        <w:t xml:space="preserve">,</w:t>
      </w:r>
      <w:r>
        <w:t xml:space="preserve"> </w:t>
      </w:r>
      <w:hyperlink w:anchor="p3" w:history="1">
        <w:r>
          <w:rPr>
            <w:rStyle w:val="NavLinkChar"/>
          </w:rPr>
          <w:t xml:space="preserve">P3</w:t>
        </w:r>
      </w:hyperlink>
      <w:r>
        <w:t xml:space="preserve">,</w:t>
      </w:r>
      <w:r>
        <w:t xml:space="preserve"> </w:t>
      </w:r>
      <w:hyperlink w:anchor="p4" w:history="1">
        <w:r>
          <w:rPr>
            <w:rStyle w:val="NavLinkChar"/>
          </w:rPr>
          <w:t xml:space="preserve">P4</w:t>
        </w:r>
      </w:hyperlink>
      <w:r>
        <w:t xml:space="preserve">,</w:t>
      </w:r>
      <w:r>
        <w:t xml:space="preserve"> </w:t>
      </w:r>
      <w:hyperlink w:anchor="p5" w:history="1">
        <w:r>
          <w:rPr>
            <w:rStyle w:val="NavLinkChar"/>
          </w:rPr>
          <w:t xml:space="preserve">P5</w:t>
        </w:r>
      </w:hyperlink>
    </w:p>
    <w:bookmarkEnd w:id="164"/>
    <w:bookmarkStart w:id="166" w:name="src-S16"/>
    <w:p>
      <w:pPr>
        <w:pStyle w:val="Heading2"/>
      </w:pPr>
      <w:r>
        <w:t xml:space="preserve">S16 – Monitoring Analytics (PJM’s market monitor) regarding the 2027/28 auction – via Utility Dive</w:t>
      </w:r>
    </w:p>
    <w:p>
      <w:pPr>
        <w:pStyle w:val="CardField"/>
      </w:pPr>
      <w:r>
        <w:rPr>
          <w:b/>
          <w:bCs/>
        </w:rPr>
        <w:t xml:space="preserve">Who &amp; When:</w:t>
      </w:r>
      <w:r>
        <w:t xml:space="preserve"> </w:t>
      </w:r>
      <w:r>
        <w:t xml:space="preserve">Monitoring Analytics, the independent market monitor for grid operator PJM (President Joseph Bowring); reported by Utility Dive on January 7, 2026.</w:t>
      </w:r>
    </w:p>
    <w:p>
      <w:pPr>
        <w:pStyle w:val="CardField"/>
      </w:pPr>
      <w:r>
        <w:rPr>
          <w:b/>
          <w:bCs/>
        </w:rPr>
        <w:t xml:space="preserve">Methodology:</w:t>
      </w:r>
      <w:r>
        <w:t xml:space="preserve"> </w:t>
      </w:r>
      <w:r>
        <w:t xml:space="preserve">Counterfactual calculation: The auction result is calculated both with and without the projected load from new data centers; the difference is attributed to data centers.</w:t>
      </w:r>
    </w:p>
    <w:p>
      <w:pPr>
        <w:pStyle w:val="CardField"/>
      </w:pPr>
      <w:r>
        <w:rPr>
          <w:b/>
          <w:bCs/>
        </w:rPr>
        <w:t xml:space="preserve">Context &amp; Classification:</w:t>
      </w:r>
      <w:r>
        <w:t xml:space="preserve"> </w:t>
      </w:r>
      <w:r>
        <w:t xml:space="preserve">Official, independent oversight role—not an interest group. The December 2025 auction covers the 2027/28 delivery year.</w:t>
      </w:r>
    </w:p>
    <w:p>
      <w:pPr>
        <w:pStyle w:val="CardField"/>
      </w:pPr>
      <w:r>
        <w:rPr>
          <w:b/>
          <w:bCs/>
        </w:rPr>
        <w:t xml:space="preserve">Key Takeaways:</w:t>
      </w:r>
      <w:r>
        <w:t xml:space="preserve"> </w:t>
      </w:r>
      <w:r>
        <w:t xml:space="preserve">Data centers account for $6.5 billion of the $16.4 billion (40%) in capacity costs; of this, $6.2 billion is attributable to data centers not yet built but expected to be online by June 1, 2027; across the last three auctions, the figure is $21.3 billion out of $47.2 billion (45%); data centers are cited as the "primary reason" for the market situation; load forecast uncertainty is described as "unprecedented"; PJM fell 6,516.6 MW short of its reliability target.</w:t>
      </w:r>
    </w:p>
    <w:p>
      <w:pPr>
        <w:pStyle w:val="CardField"/>
      </w:pPr>
      <w:r>
        <w:rPr>
          <w:b/>
          <w:bCs/>
        </w:rPr>
        <w:t xml:space="preserve">Potential Counterpoints/Vulnerabilities:</w:t>
      </w:r>
      <w:r>
        <w:t xml:space="preserve"> </w:t>
      </w:r>
      <w:r>
        <w:t xml:space="preserve">"Counterfactual = model-based calculation." → True, but performed by the official market monitor. Counter-argument: The $6.2 billion figure relates to facilities scheduled to connect to the grid by June 2027—many of which are already under construction.</w:t>
      </w:r>
    </w:p>
    <w:p>
      <w:pPr>
        <w:pStyle w:val="CardField"/>
      </w:pPr>
      <w:r>
        <w:rPr>
          <w:b/>
          <w:bCs/>
        </w:rPr>
        <w:t xml:space="preserve">Original Quote:</w:t>
      </w:r>
      <w:r>
        <w:t xml:space="preserve"> </w:t>
      </w:r>
      <w:r>
        <w:t xml:space="preserve">“Data center load growth is the primary reason for recent and expected capacity market conditions …”</w:t>
      </w:r>
    </w:p>
    <w:p>
      <w:pPr>
        <w:pStyle w:val="CardField"/>
      </w:pPr>
      <w:r>
        <w:rPr>
          <w:b/>
          <w:bCs/>
        </w:rPr>
        <w:t xml:space="preserve">Link:</w:t>
      </w:r>
      <w:r>
        <w:t xml:space="preserve"> </w:t>
      </w:r>
      <w:hyperlink r:id="rId165" w:history="1">
        <w:r>
          <w:rPr>
            <w:rStyle w:val="Hyperlink"/>
          </w:rPr>
          <w:t xml:space="preserve">https://www.utilitydive.com/news/data-centers-pjm-capacity-auction/808951/</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p>
    <w:bookmarkEnd w:id="166"/>
    <w:bookmarkStart w:id="168" w:name="src-S17"/>
    <w:p>
      <w:pPr>
        <w:pStyle w:val="Heading2"/>
      </w:pPr>
      <w:r>
        <w:t xml:space="preserve">S17 – Harvard Law School (Electricity Law Initiative): “Extracting Profits from the Public”</w:t>
      </w:r>
    </w:p>
    <w:p>
      <w:pPr>
        <w:pStyle w:val="CardField"/>
      </w:pPr>
      <w:r>
        <w:rPr>
          <w:b/>
          <w:bCs/>
        </w:rPr>
        <w:t xml:space="preserve">Who &amp; When:</w:t>
      </w:r>
      <w:r>
        <w:t xml:space="preserve"> </w:t>
      </w:r>
      <w:r>
        <w:t xml:space="preserve">Eliza Martin (Legal Fellow) and Ari Peskoe (Director), Electricity Law Initiative, Harvard Law School, March 5, 2025.</w:t>
      </w:r>
    </w:p>
    <w:p>
      <w:pPr>
        <w:pStyle w:val="CardField"/>
      </w:pPr>
      <w:r>
        <w:rPr>
          <w:b/>
          <w:bCs/>
        </w:rPr>
        <w:t xml:space="preserve">Methodology:</w:t>
      </w:r>
      <w:r>
        <w:t xml:space="preserve"> </w:t>
      </w:r>
      <w:r>
        <w:t xml:space="preserve">Legal analysis of nearly 50 regulatory proceedings regarding electricity rates for data centers, including special contracts between utilities and tech companies.</w:t>
      </w:r>
    </w:p>
    <w:p>
      <w:pPr>
        <w:pStyle w:val="CardField"/>
      </w:pPr>
      <w:r>
        <w:rPr>
          <w:b/>
          <w:bCs/>
        </w:rPr>
        <w:t xml:space="preserve">Context &amp; Classification:</w:t>
      </w:r>
      <w:r>
        <w:t xml:space="preserve"> </w:t>
      </w:r>
      <w:r>
        <w:t xml:space="preserve">Legal analysis without an aggregate cost figure; new rates (e.g., in Ohio) and the “Ratepayer Pledge” have emerged since then.</w:t>
      </w:r>
    </w:p>
    <w:p>
      <w:pPr>
        <w:pStyle w:val="CardField"/>
      </w:pPr>
      <w:r>
        <w:rPr>
          <w:b/>
          <w:bCs/>
        </w:rPr>
        <w:t xml:space="preserve">Key Takeaways:</w:t>
      </w:r>
      <w:r>
        <w:t xml:space="preserve"> </w:t>
      </w:r>
      <w:r>
        <w:t xml:space="preserve">Utilities profit from grid expansion; traditional rate structures distribute costs across all customers; secret special contracts can mask subsidies.</w:t>
      </w:r>
    </w:p>
    <w:p>
      <w:pPr>
        <w:pStyle w:val="CardField"/>
      </w:pPr>
      <w:r>
        <w:rPr>
          <w:b/>
          <w:bCs/>
        </w:rPr>
        <w:t xml:space="preserve">Potential Counterpoints/Vulnerabilities:</w:t>
      </w:r>
      <w:r>
        <w:t xml:space="preserve"> </w:t>
      </w:r>
      <w:r>
        <w:t xml:space="preserve">“Outdated due to new rates.” → New rates exist only in isolated cases; the fundamental structure remains in place.</w:t>
      </w:r>
    </w:p>
    <w:p>
      <w:pPr>
        <w:pStyle w:val="CardField"/>
      </w:pPr>
      <w:r>
        <w:rPr>
          <w:b/>
          <w:bCs/>
        </w:rPr>
        <w:t xml:space="preserve">Original Quote:</w:t>
      </w:r>
      <w:r>
        <w:t xml:space="preserve"> </w:t>
      </w:r>
      <w:r>
        <w:t xml:space="preserve">“The very same utility rate structures … are now forcing the public to pay for infrastructure designed to supply a handful of wealthy corporations.”</w:t>
      </w:r>
    </w:p>
    <w:p>
      <w:pPr>
        <w:pStyle w:val="CardField"/>
      </w:pPr>
      <w:r>
        <w:rPr>
          <w:b/>
          <w:bCs/>
        </w:rPr>
        <w:t xml:space="preserve">Link:</w:t>
      </w:r>
      <w:r>
        <w:t xml:space="preserve"> </w:t>
      </w:r>
      <w:hyperlink r:id="rId167" w:history="1">
        <w:r>
          <w:rPr>
            <w:rStyle w:val="Hyperlink"/>
          </w:rPr>
          <w:t xml:space="preserve">https://eelp.law.harvard.edu/extracting-profits-from-the-public-how-utility-ratepayers-are-paying-for-big-techs-power/</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p>
    <w:bookmarkEnd w:id="168"/>
    <w:bookmarkStart w:id="171" w:name="src-S18"/>
    <w:p>
      <w:pPr>
        <w:pStyle w:val="Heading2"/>
      </w:pPr>
      <w:r>
        <w:t xml:space="preserve">S18 – The New York Times: “Their Water Taps Ran Dry When Meta Built Next Door”</w:t>
      </w:r>
    </w:p>
    <w:p>
      <w:pPr>
        <w:pStyle w:val="CardField"/>
      </w:pPr>
      <w:r>
        <w:rPr>
          <w:b/>
          <w:bCs/>
        </w:rPr>
        <w:t xml:space="preserve">Who &amp; When:</w:t>
      </w:r>
      <w:r>
        <w:t xml:space="preserve"> </w:t>
      </w:r>
      <w:r>
        <w:t xml:space="preserve">Eli Tan, The New York Times, July 14, 2025; syndicated, among others, by The Spokesman-Review (July 19, 2025) and the San Francisco Examiner.</w:t>
      </w:r>
    </w:p>
    <w:p>
      <w:pPr>
        <w:pStyle w:val="CardField"/>
      </w:pPr>
      <w:r>
        <w:rPr>
          <w:b/>
          <w:bCs/>
        </w:rPr>
        <w:t xml:space="preserve">Origin:</w:t>
      </w:r>
      <w:r>
        <w:t xml:space="preserve"> </w:t>
      </w:r>
      <w:r>
        <w:t xml:space="preserve">Reportage based on interviews with residents and statements from Meta and the local water authority.</w:t>
      </w:r>
    </w:p>
    <w:p>
      <w:pPr>
        <w:pStyle w:val="CardField"/>
      </w:pPr>
      <w:r>
        <w:rPr>
          <w:b/>
          <w:bCs/>
        </w:rPr>
        <w:t xml:space="preserve">Context &amp; Classification:</w:t>
      </w:r>
      <w:r>
        <w:t xml:space="preserve"> </w:t>
      </w:r>
      <w:r>
        <w:t xml:space="preserve">High-quality newspaper; the original is paywalled. Facility: Meta’s Stanton Springs campus (Newton County, Georgia). Hyperscale: building-level data list single buildings at 48 MW and about 400,000–500,000 sq ft (Cleanview), far above the IDC threshold.</w:t>
      </w:r>
    </w:p>
    <w:p>
      <w:pPr>
        <w:pStyle w:val="CardField"/>
      </w:pPr>
      <w:r>
        <w:rPr>
          <w:b/>
          <w:bCs/>
        </w:rPr>
        <w:t xml:space="preserve">Key Takeaways:</w:t>
      </w:r>
      <w:r>
        <w:t xml:space="preserve"> </w:t>
      </w:r>
      <w:r>
        <w:t xml:space="preserve">Months after construction began in 2018, the Morris family’s dishwasher, ice maker, washing machine and toilet stopped working; sediment in the water; about $5,000 spent; they can’t afford the $25,000 for a new well. A neighbor (Chris Wilson): water sometimes “so brown, you’d think it came from a creek”. The county water authority director: Meta’s facility uses about 10 % of the county’s daily water use. Meta: a well study found it “unlikely” that the data center affected the groundwater.</w:t>
      </w:r>
    </w:p>
    <w:p>
      <w:pPr>
        <w:pStyle w:val="CardField"/>
      </w:pPr>
      <w:r>
        <w:rPr>
          <w:b/>
          <w:bCs/>
        </w:rPr>
        <w:t xml:space="preserve">Potential Counterpoints/Vulnerabilities:</w:t>
      </w:r>
      <w:r>
        <w:t xml:space="preserve"> </w:t>
      </w:r>
      <w:r>
        <w:t xml:space="preserve">“No proven causation.” → We concede it openly (see F2) and turn it into the rule-gap argument. Distance to the site: the sources disagree (“next door”, about 1,000 ft vs. &lt; 100 ft), so in the speech only say “next door” (the NYT headline).</w:t>
      </w:r>
    </w:p>
    <w:p>
      <w:pPr>
        <w:pStyle w:val="CardField"/>
      </w:pPr>
      <w:r>
        <w:rPr>
          <w:b/>
          <w:bCs/>
        </w:rPr>
        <w:t xml:space="preserve">Original Quote:</w:t>
      </w:r>
      <w:r>
        <w:t xml:space="preserve"> </w:t>
      </w:r>
      <w:r>
        <w:t xml:space="preserve">“I’m scared to drink our own water.” (Beverly Morris)</w:t>
      </w:r>
    </w:p>
    <w:p>
      <w:pPr>
        <w:pStyle w:val="CardField"/>
      </w:pPr>
      <w:r>
        <w:rPr>
          <w:b/>
          <w:bCs/>
        </w:rPr>
        <w:t xml:space="preserve">Verification:</w:t>
      </w:r>
      <w:r>
        <w:t xml:space="preserve"> </w:t>
      </w:r>
      <w:r>
        <w:t xml:space="preserve">✔ Quote and details confirmed in several syndicated copies of the NYT article; ⚠ NYT original URL not checked (paywall).</w:t>
      </w:r>
    </w:p>
    <w:p>
      <w:pPr>
        <w:pStyle w:val="CardField"/>
      </w:pPr>
      <w:r>
        <w:rPr>
          <w:b/>
          <w:bCs/>
        </w:rPr>
        <w:t xml:space="preserve">Addition (P4):</w:t>
      </w:r>
      <w:r>
        <w:t xml:space="preserve"> </w:t>
      </w:r>
      <w:r>
        <w:t xml:space="preserve">Mike Hopkins (head of the Newton County Water and Sewerage Authority) put Meta’s share at about 10% of the county’s daily water use. A county engineering report cited by the NYT projects a water deficit by 2030 ⚠ (secondary).</w:t>
      </w:r>
    </w:p>
    <w:p>
      <w:pPr>
        <w:pStyle w:val="CardField"/>
      </w:pPr>
      <w:r>
        <w:rPr>
          <w:b/>
          <w:bCs/>
        </w:rPr>
        <w:t xml:space="preserve">Links:</w:t>
      </w:r>
    </w:p>
    <w:p>
      <w:pPr>
        <w:pStyle w:val="CardList"/>
        <w:numPr>
          <w:ilvl w:val="0"/>
          <w:numId w:val="1108"/>
        </w:numPr>
      </w:pPr>
      <w:hyperlink r:id="rId169" w:history="1">
        <w:r>
          <w:rPr>
            <w:rStyle w:val="Hyperlink"/>
          </w:rPr>
          <w:t xml:space="preserve">https://www.spokesman.com/stories/2025/jul/19/their-water-taps-ran-dry-when-meta-built-next-door/</w:t>
        </w:r>
      </w:hyperlink>
    </w:p>
    <w:p>
      <w:pPr>
        <w:pStyle w:val="CardList"/>
        <w:numPr>
          <w:ilvl w:val="0"/>
          <w:numId w:val="1108"/>
        </w:numPr>
      </w:pPr>
      <w:hyperlink r:id="rId170" w:history="1">
        <w:r>
          <w:rPr>
            <w:rStyle w:val="Hyperlink"/>
          </w:rPr>
          <w:t xml:space="preserve">https://www.sfexaminer.com/their-water-taps-ran-dry-when-meta-built-next-door/article_d37b83df-16f4-5fcb-9b63-958a4d5c3a05.html</w:t>
        </w:r>
      </w:hyperlink>
    </w:p>
    <w:p>
      <w:pPr>
        <w:pStyle w:val="CardField"/>
      </w:pPr>
      <w:r>
        <w:rPr>
          <w:b/>
          <w:bCs/>
        </w:rPr>
        <w:t xml:space="preserve">Used:</w:t>
      </w:r>
      <w:r>
        <w:t xml:space="preserve"> </w:t>
      </w:r>
      <w:hyperlink w:anchor="p4" w:history="1">
        <w:r>
          <w:rPr>
            <w:rStyle w:val="NavLinkChar"/>
          </w:rPr>
          <w:t xml:space="preserve">P4</w:t>
        </w:r>
      </w:hyperlink>
    </w:p>
    <w:bookmarkEnd w:id="171"/>
    <w:bookmarkStart w:id="174" w:name="src-S19"/>
    <w:p>
      <w:pPr>
        <w:pStyle w:val="Heading2"/>
      </w:pPr>
      <w:r>
        <w:t xml:space="preserve">S19 – Atlanta Journal-Constitution: “Georgia families sue Meta, accuse its data center of tainting their water”</w:t>
      </w:r>
    </w:p>
    <w:p>
      <w:pPr>
        <w:pStyle w:val="CardField"/>
      </w:pPr>
      <w:r>
        <w:rPr>
          <w:b/>
          <w:bCs/>
        </w:rPr>
        <w:t xml:space="preserve">Who &amp; When:</w:t>
      </w:r>
      <w:r>
        <w:t xml:space="preserve"> </w:t>
      </w:r>
      <w:r>
        <w:t xml:space="preserve">AJC, September 2026; also Reuters (syndicated: “Georgia families sue Meta over data center, ‘contaminated’ water”); CBS Atlanta on the EPA review.</w:t>
      </w:r>
    </w:p>
    <w:p>
      <w:pPr>
        <w:pStyle w:val="CardField"/>
      </w:pPr>
      <w:r>
        <w:rPr>
          <w:b/>
          <w:bCs/>
        </w:rPr>
        <w:t xml:space="preserve">Origin:</w:t>
      </w:r>
      <w:r>
        <w:t xml:space="preserve"> </w:t>
      </w:r>
      <w:r>
        <w:t xml:space="preserve">Court reporting.</w:t>
      </w:r>
    </w:p>
    <w:p>
      <w:pPr>
        <w:pStyle w:val="CardField"/>
      </w:pPr>
      <w:r>
        <w:rPr>
          <w:b/>
          <w:bCs/>
        </w:rPr>
        <w:t xml:space="preserve">Context &amp; Classification:</w:t>
      </w:r>
      <w:r>
        <w:t xml:space="preserve"> </w:t>
      </w:r>
      <w:r>
        <w:t xml:space="preserve">Regional newspaper of record plus a news agency.</w:t>
      </w:r>
    </w:p>
    <w:p>
      <w:pPr>
        <w:pStyle w:val="CardField"/>
      </w:pPr>
      <w:r>
        <w:rPr>
          <w:b/>
          <w:bCs/>
        </w:rPr>
        <w:t xml:space="preserve">Key Takeaways:</w:t>
      </w:r>
      <w:r>
        <w:t xml:space="preserve"> </w:t>
      </w:r>
      <w:r>
        <w:t xml:space="preserve">Homeowners near the Stanton Springs campus are suing Meta (and others, reportedly including the local development authority). Allegation: tree clearing, blasting and excavation for the campus (more than $1 billion) disturbed the aquifer and silted up their wells. Meta: its own study found no impact, and construction and operating water came from the utility, not from groundwater. EPA: Assistant Administrator Jessica Kramer said the agency would review the situation (after a question from Rep. Ocasio-Cortez in a House hearing).</w:t>
      </w:r>
    </w:p>
    <w:p>
      <w:pPr>
        <w:pStyle w:val="CardField"/>
      </w:pPr>
      <w:r>
        <w:rPr>
          <w:b/>
          <w:bCs/>
        </w:rPr>
        <w:t xml:space="preserve">Potential Counterpoints/Vulnerabilities:</w:t>
      </w:r>
      <w:r>
        <w:t xml:space="preserve"> </w:t>
      </w:r>
      <w:r>
        <w:t xml:space="preserve">“Lawsuit ≠ verdict.” → Correct; we say “taken to court”, not “found guilty”. ⚠ Filing date (late Aug. vs. Sept. 1, 2026), number of families (four) and the venue still to check in the original.</w:t>
      </w:r>
    </w:p>
    <w:p>
      <w:pPr>
        <w:pStyle w:val="CardField"/>
      </w:pPr>
      <w:r>
        <w:rPr>
          <w:b/>
          <w:bCs/>
        </w:rPr>
        <w:t xml:space="preserve">Verification:</w:t>
      </w:r>
      <w:r>
        <w:t xml:space="preserve"> </w:t>
      </w:r>
      <w:r>
        <w:t xml:space="preserve">✔ via several search excerpts; ⚠ AJC full text not opened.</w:t>
      </w:r>
    </w:p>
    <w:p>
      <w:pPr>
        <w:pStyle w:val="CardField"/>
      </w:pPr>
      <w:r>
        <w:rPr>
          <w:b/>
          <w:bCs/>
        </w:rPr>
        <w:t xml:space="preserve">Links:</w:t>
      </w:r>
    </w:p>
    <w:p>
      <w:pPr>
        <w:pStyle w:val="CardList"/>
        <w:numPr>
          <w:ilvl w:val="0"/>
          <w:numId w:val="1109"/>
        </w:numPr>
      </w:pPr>
      <w:hyperlink r:id="rId172" w:history="1">
        <w:r>
          <w:rPr>
            <w:rStyle w:val="Hyperlink"/>
          </w:rPr>
          <w:t xml:space="preserve">https://www.ajc.com/news/2026/09/georgia-families-sue-meta-accuse-its-data-center-of-tainting-their-water/</w:t>
        </w:r>
      </w:hyperlink>
    </w:p>
    <w:p>
      <w:pPr>
        <w:pStyle w:val="CardList"/>
        <w:numPr>
          <w:ilvl w:val="0"/>
          <w:numId w:val="1109"/>
        </w:numPr>
      </w:pPr>
      <w:hyperlink r:id="rId173" w:history="1">
        <w:r>
          <w:rPr>
            <w:rStyle w:val="Hyperlink"/>
          </w:rPr>
          <w:t xml:space="preserve">https://www.cbsnews.com/atlanta/news/aoc-presses-epa-over-morgan-county-drinking-water-concerns-tied-to-georgia-data-center-development/</w:t>
        </w:r>
      </w:hyperlink>
    </w:p>
    <w:p>
      <w:pPr>
        <w:pStyle w:val="CardField"/>
      </w:pPr>
      <w:r>
        <w:rPr>
          <w:b/>
          <w:bCs/>
        </w:rPr>
        <w:t xml:space="preserve">Used:</w:t>
      </w:r>
      <w:r>
        <w:t xml:space="preserve"> </w:t>
      </w:r>
      <w:hyperlink w:anchor="p4" w:history="1">
        <w:r>
          <w:rPr>
            <w:rStyle w:val="NavLinkChar"/>
          </w:rPr>
          <w:t xml:space="preserve">P4</w:t>
        </w:r>
      </w:hyperlink>
    </w:p>
    <w:bookmarkEnd w:id="174"/>
    <w:bookmarkStart w:id="176" w:name="src-S20"/>
    <w:p>
      <w:pPr>
        <w:pStyle w:val="Heading2"/>
      </w:pPr>
      <w:r>
        <w:t xml:space="preserve">S20 – E&amp;E News (POLITICO): “‘How come I can’t breathe?’: Musk’s data company draws a backlash in Memphis”</w:t>
      </w:r>
    </w:p>
    <w:p>
      <w:pPr>
        <w:pStyle w:val="CardField"/>
      </w:pPr>
      <w:r>
        <w:rPr>
          <w:b/>
          <w:bCs/>
        </w:rPr>
        <w:t xml:space="preserve">Who &amp; When:</w:t>
      </w:r>
      <w:r>
        <w:t xml:space="preserve"> </w:t>
      </w:r>
      <w:r>
        <w:t xml:space="preserve">Ariel Wittenberg, E&amp;E News, May 1, 2025 (a Politico URL carries 2025/05/06).</w:t>
      </w:r>
    </w:p>
    <w:p>
      <w:pPr>
        <w:pStyle w:val="CardField"/>
      </w:pPr>
      <w:r>
        <w:rPr>
          <w:b/>
          <w:bCs/>
        </w:rPr>
        <w:t xml:space="preserve">Origin:</w:t>
      </w:r>
      <w:r>
        <w:t xml:space="preserve"> </w:t>
      </w:r>
      <w:r>
        <w:t xml:space="preserve">Reportage; quotes from a public hearing on April 25, 2025.</w:t>
      </w:r>
    </w:p>
    <w:p>
      <w:pPr>
        <w:pStyle w:val="CardField"/>
      </w:pPr>
      <w:r>
        <w:rPr>
          <w:b/>
          <w:bCs/>
        </w:rPr>
        <w:t xml:space="preserve">Context &amp; Classification:</w:t>
      </w:r>
      <w:r>
        <w:t xml:space="preserve"> </w:t>
      </w:r>
      <w:r>
        <w:t xml:space="preserve">Specialist energy and environment outlet (POLITICO), high quality.</w:t>
      </w:r>
    </w:p>
    <w:p>
      <w:pPr>
        <w:pStyle w:val="CardField"/>
      </w:pPr>
      <w:r>
        <w:rPr>
          <w:b/>
          <w:bCs/>
        </w:rPr>
        <w:t xml:space="preserve">Key Takeaways:</w:t>
      </w:r>
      <w:r>
        <w:t xml:space="preserve"> </w:t>
      </w:r>
      <w:r>
        <w:t xml:space="preserve">None of the 35 methane gas turbines powering the xAI supercomputer had the pollution controls that federal rules typically require; xAI had no Clean Air Act permits. The community leads Tennessee in emergency department visits for asthma. Resident Alexis Humphreys spoke at the hearing, inhaler in hand, in tears.</w:t>
      </w:r>
    </w:p>
    <w:p>
      <w:pPr>
        <w:pStyle w:val="CardField"/>
      </w:pPr>
      <w:r>
        <w:rPr>
          <w:b/>
          <w:bCs/>
        </w:rPr>
        <w:t xml:space="preserve">Potential Counterpoints/Vulnerabilities:</w:t>
      </w:r>
      <w:r>
        <w:t xml:space="preserve"> </w:t>
      </w:r>
      <w:r>
        <w:t xml:space="preserve">“15 turbines have been permitted since July 2025.” → True, but only after more than a year of operation without permits, and the EPA had to close the loophole (S29). “Air tests by the city found no dangerous levels.” → According to SELC, those tests did not measure ozone.</w:t>
      </w:r>
    </w:p>
    <w:p>
      <w:pPr>
        <w:pStyle w:val="CardField"/>
      </w:pPr>
      <w:r>
        <w:rPr>
          <w:b/>
          <w:bCs/>
        </w:rPr>
        <w:t xml:space="preserve">Original Quote:</w:t>
      </w:r>
      <w:r>
        <w:t xml:space="preserve"> </w:t>
      </w:r>
      <w:r>
        <w:t xml:space="preserve">“I can’t breathe at home, it smells like gas outside … How come I can’t breathe at home and y’all get to breathe at home?” (Alexis Humphreys)</w:t>
      </w:r>
    </w:p>
    <w:p>
      <w:pPr>
        <w:pStyle w:val="CardField"/>
      </w:pPr>
      <w:r>
        <w:rPr>
          <w:b/>
          <w:bCs/>
        </w:rPr>
        <w:t xml:space="preserve">Verification:</w:t>
      </w:r>
      <w:r>
        <w:t xml:space="preserve"> </w:t>
      </w:r>
      <w:r>
        <w:t xml:space="preserve">✔ Quote, speaker and context consistent across several excerpts; ⚠ check the exact wording in the original (paywall), since the speech uses the second sentence.</w:t>
      </w:r>
    </w:p>
    <w:p>
      <w:pPr>
        <w:pStyle w:val="CardField"/>
      </w:pPr>
      <w:r>
        <w:rPr>
          <w:b/>
          <w:bCs/>
        </w:rPr>
        <w:t xml:space="preserve">Link:</w:t>
      </w:r>
      <w:r>
        <w:t xml:space="preserve"> </w:t>
      </w:r>
      <w:hyperlink r:id="rId175" w:history="1">
        <w:r>
          <w:rPr>
            <w:rStyle w:val="Hyperlink"/>
          </w:rPr>
          <w:t xml:space="preserve">https://www.eenews.net/articles/elon-musks-xai-in-memphis-35-gas-turbines-no-air-pollution-permits/</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3" w:history="1">
        <w:r>
          <w:rPr>
            <w:rStyle w:val="NavLinkChar"/>
          </w:rPr>
          <w:t xml:space="preserve">P3</w:t>
        </w:r>
      </w:hyperlink>
      <w:r>
        <w:t xml:space="preserve">,</w:t>
      </w:r>
      <w:r>
        <w:t xml:space="preserve"> </w:t>
      </w:r>
      <w:hyperlink w:anchor="p7" w:history="1">
        <w:r>
          <w:rPr>
            <w:rStyle w:val="NavLinkChar"/>
          </w:rPr>
          <w:t xml:space="preserve">P7</w:t>
        </w:r>
      </w:hyperlink>
    </w:p>
    <w:bookmarkEnd w:id="176"/>
    <w:bookmarkStart w:id="178" w:name="src-S21"/>
    <w:p>
      <w:pPr>
        <w:pStyle w:val="Heading2"/>
      </w:pPr>
      <w:r>
        <w:t xml:space="preserve">S21 – NPR: “How Memphis became a battleground over Elon Musk’s xAI supercomputer”</w:t>
      </w:r>
    </w:p>
    <w:p>
      <w:pPr>
        <w:pStyle w:val="CardField"/>
      </w:pPr>
      <w:r>
        <w:rPr>
          <w:b/>
          <w:bCs/>
        </w:rPr>
        <w:t xml:space="preserve">Who &amp; When:</w:t>
      </w:r>
      <w:r>
        <w:t xml:space="preserve"> </w:t>
      </w:r>
      <w:r>
        <w:t xml:space="preserve">NPR, September 11, 2024.</w:t>
      </w:r>
    </w:p>
    <w:p>
      <w:pPr>
        <w:pStyle w:val="CardField"/>
      </w:pPr>
      <w:r>
        <w:rPr>
          <w:b/>
          <w:bCs/>
        </w:rPr>
        <w:t xml:space="preserve">Origin:</w:t>
      </w:r>
      <w:r>
        <w:t xml:space="preserve"> </w:t>
      </w:r>
      <w:r>
        <w:t xml:space="preserve">Reportage; figures from the local utility (MLGW).</w:t>
      </w:r>
    </w:p>
    <w:p>
      <w:pPr>
        <w:pStyle w:val="CardField"/>
      </w:pPr>
      <w:r>
        <w:rPr>
          <w:b/>
          <w:bCs/>
        </w:rPr>
        <w:t xml:space="preserve">Context &amp; Classification:</w:t>
      </w:r>
      <w:r>
        <w:t xml:space="preserve"> </w:t>
      </w:r>
      <w:r>
        <w:t xml:space="preserve">Public broadcaster, high credibility.</w:t>
      </w:r>
    </w:p>
    <w:p>
      <w:pPr>
        <w:pStyle w:val="CardField"/>
      </w:pPr>
      <w:r>
        <w:rPr>
          <w:b/>
          <w:bCs/>
        </w:rPr>
        <w:t xml:space="preserve">Key Takeaways:</w:t>
      </w:r>
      <w:r>
        <w:t xml:space="preserve"> </w:t>
      </w:r>
      <w:r>
        <w:t xml:space="preserve">At full capacity the local utility expected the supercomputer to need 150 megawatts, “enough to power 100,000 homes”. → Proves the hyperscale classification. (Other coverage: about 100,000 Nvidia H100 GPUs; expansion plans toward 1 million GPUs, Fortune, Jan. 2025.)</w:t>
      </w:r>
    </w:p>
    <w:p>
      <w:pPr>
        <w:pStyle w:val="CardField"/>
      </w:pPr>
      <w:r>
        <w:rPr>
          <w:b/>
          <w:bCs/>
        </w:rPr>
        <w:t xml:space="preserve">Potential Counterpoints/Vulnerabilities:</w:t>
      </w:r>
      <w:r>
        <w:t xml:space="preserve"> </w:t>
      </w:r>
      <w:r>
        <w:t xml:space="preserve">“Planned load, not actual consumption.” → Correct; hence “designed for” in the speech.</w:t>
      </w:r>
    </w:p>
    <w:p>
      <w:pPr>
        <w:pStyle w:val="CardField"/>
      </w:pPr>
      <w:r>
        <w:rPr>
          <w:b/>
          <w:bCs/>
        </w:rPr>
        <w:t xml:space="preserve">Verification:</w:t>
      </w:r>
      <w:r>
        <w:t xml:space="preserve"> </w:t>
      </w:r>
      <w:r>
        <w:t xml:space="preserve">✔ via search excerpt.</w:t>
      </w:r>
    </w:p>
    <w:p>
      <w:pPr>
        <w:pStyle w:val="CardField"/>
      </w:pPr>
      <w:r>
        <w:rPr>
          <w:b/>
          <w:bCs/>
        </w:rPr>
        <w:t xml:space="preserve">Link:</w:t>
      </w:r>
      <w:r>
        <w:t xml:space="preserve"> </w:t>
      </w:r>
      <w:hyperlink r:id="rId177" w:history="1">
        <w:r>
          <w:rPr>
            <w:rStyle w:val="Hyperlink"/>
          </w:rPr>
          <w:t xml:space="preserve">https://www.npr.org/2024/09/11/nx-s1-5088134/elon-musk-ai-xai-supercomputer-memp-pollution</w:t>
        </w:r>
      </w:hyperlink>
    </w:p>
    <w:p>
      <w:pPr>
        <w:pStyle w:val="CardField"/>
      </w:pPr>
      <w:r>
        <w:rPr>
          <w:b/>
          <w:bCs/>
        </w:rPr>
        <w:t xml:space="preserve">Used:</w:t>
      </w:r>
      <w:r>
        <w:t xml:space="preserve"> </w:t>
      </w:r>
      <w:hyperlink w:anchor="a5" w:history="1">
        <w:r>
          <w:rPr>
            <w:rStyle w:val="NavLinkChar"/>
          </w:rPr>
          <w:t xml:space="preserve">A5</w:t>
        </w:r>
      </w:hyperlink>
    </w:p>
    <w:bookmarkEnd w:id="178"/>
    <w:bookmarkStart w:id="180" w:name="src-S22"/>
    <w:p>
      <w:pPr>
        <w:pStyle w:val="Heading2"/>
      </w:pPr>
      <w:r>
        <w:t xml:space="preserve">S22 – CNN: “Elon Musk is building ‘the world’s biggest supercomputer.’ It’s powered with dozens of gas-powered turbines”</w:t>
      </w:r>
    </w:p>
    <w:p>
      <w:pPr>
        <w:pStyle w:val="CardField"/>
      </w:pPr>
      <w:r>
        <w:rPr>
          <w:b/>
          <w:bCs/>
        </w:rPr>
        <w:t xml:space="preserve">Who &amp; When:</w:t>
      </w:r>
      <w:r>
        <w:t xml:space="preserve"> </w:t>
      </w:r>
      <w:r>
        <w:t xml:space="preserve">CNN Climate, May 19, 2025.</w:t>
      </w:r>
    </w:p>
    <w:p>
      <w:pPr>
        <w:pStyle w:val="CardField"/>
      </w:pPr>
      <w:r>
        <w:rPr>
          <w:b/>
          <w:bCs/>
        </w:rPr>
        <w:t xml:space="preserve">Origin:</w:t>
      </w:r>
      <w:r>
        <w:t xml:space="preserve"> </w:t>
      </w:r>
      <w:r>
        <w:t xml:space="preserve">Reportage; aerial images by SELC/South Wings (March 2025); American Lung Association data.</w:t>
      </w:r>
    </w:p>
    <w:p>
      <w:pPr>
        <w:pStyle w:val="CardField"/>
      </w:pPr>
      <w:r>
        <w:rPr>
          <w:b/>
          <w:bCs/>
        </w:rPr>
        <w:t xml:space="preserve">Context &amp; Classification:</w:t>
      </w:r>
      <w:r>
        <w:t xml:space="preserve"> </w:t>
      </w:r>
      <w:r>
        <w:t xml:space="preserve">Major news broadcaster.</w:t>
      </w:r>
    </w:p>
    <w:p>
      <w:pPr>
        <w:pStyle w:val="CardField"/>
      </w:pPr>
      <w:r>
        <w:rPr>
          <w:b/>
          <w:bCs/>
        </w:rPr>
        <w:t xml:space="preserve">Key Takeaways:</w:t>
      </w:r>
      <w:r>
        <w:t xml:space="preserve"> </w:t>
      </w:r>
      <w:r>
        <w:t xml:space="preserve">Aerial images showed 35 turbines at the site. Shelby County gets an “F” for ozone from the American Lung Association and has “the highest rates of children hospitalized for asthma in Tennessee”.</w:t>
      </w:r>
    </w:p>
    <w:p>
      <w:pPr>
        <w:pStyle w:val="CardField"/>
      </w:pPr>
      <w:r>
        <w:rPr>
          <w:b/>
          <w:bCs/>
        </w:rPr>
        <w:t xml:space="preserve">Potential Counterpoints/Vulnerabilities:</w:t>
      </w:r>
      <w:r>
        <w:t xml:space="preserve"> </w:t>
      </w:r>
      <w:r>
        <w:t xml:space="preserve">“Asthma has many causes.” → Correct; we don’t claim xAI caused the asthma. We say an already burdened community was given additional emissions without permits.</w:t>
      </w:r>
    </w:p>
    <w:p>
      <w:pPr>
        <w:pStyle w:val="CardField"/>
      </w:pPr>
      <w:r>
        <w:rPr>
          <w:b/>
          <w:bCs/>
        </w:rPr>
        <w:t xml:space="preserve">Verification:</w:t>
      </w:r>
      <w:r>
        <w:t xml:space="preserve"> </w:t>
      </w:r>
      <w:r>
        <w:t xml:space="preserve">✔ via search excerpt of the CNN article.</w:t>
      </w:r>
    </w:p>
    <w:p>
      <w:pPr>
        <w:pStyle w:val="CardField"/>
      </w:pPr>
      <w:r>
        <w:rPr>
          <w:b/>
          <w:bCs/>
        </w:rPr>
        <w:t xml:space="preserve">Link:</w:t>
      </w:r>
      <w:r>
        <w:t xml:space="preserve"> </w:t>
      </w:r>
      <w:hyperlink r:id="rId179" w:history="1">
        <w:r>
          <w:rPr>
            <w:rStyle w:val="Hyperlink"/>
          </w:rPr>
          <w:t xml:space="preserve">https://www.cnn.com/2025/05/19/climate/xai-musk-memphis-turbines-pollution</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3" w:history="1">
        <w:r>
          <w:rPr>
            <w:rStyle w:val="NavLinkChar"/>
          </w:rPr>
          <w:t xml:space="preserve">P3</w:t>
        </w:r>
      </w:hyperlink>
    </w:p>
    <w:bookmarkEnd w:id="180"/>
    <w:bookmarkStart w:id="183" w:name="src-S23"/>
    <w:p>
      <w:pPr>
        <w:pStyle w:val="Heading2"/>
      </w:pPr>
      <w:r>
        <w:t xml:space="preserve">S23 – Bloomberg / E&amp;E News: “Data Centers Drive 76% Rise in Power Bills on Largest US Grid”</w:t>
      </w:r>
    </w:p>
    <w:p>
      <w:pPr>
        <w:pStyle w:val="CardField"/>
      </w:pPr>
      <w:r>
        <w:rPr>
          <w:b/>
          <w:bCs/>
        </w:rPr>
        <w:t xml:space="preserve">Who &amp; When:</w:t>
      </w:r>
      <w:r>
        <w:t xml:space="preserve"> </w:t>
      </w:r>
      <w:r>
        <w:t xml:space="preserve">Bloomberg, May 14, 2026; E&amp;E News, May 15, 2026 (“Data centers drive 76% surge in PJM power prices”). Primary data: Monitoring Analytics (PJM’s independent market monitor), Q1 2026 State of the Market Report.</w:t>
      </w:r>
    </w:p>
    <w:p>
      <w:pPr>
        <w:pStyle w:val="CardField"/>
      </w:pPr>
      <w:r>
        <w:rPr>
          <w:b/>
          <w:bCs/>
        </w:rPr>
        <w:t xml:space="preserve">Origin:</w:t>
      </w:r>
      <w:r>
        <w:t xml:space="preserve"> </w:t>
      </w:r>
      <w:r>
        <w:t xml:space="preserve">Analysis of the market monitor’s quarterly report.</w:t>
      </w:r>
    </w:p>
    <w:p>
      <w:pPr>
        <w:pStyle w:val="CardField"/>
      </w:pPr>
      <w:r>
        <w:rPr>
          <w:b/>
          <w:bCs/>
        </w:rPr>
        <w:t xml:space="preserve">Context &amp; Classification:</w:t>
      </w:r>
      <w:r>
        <w:t xml:space="preserve"> </w:t>
      </w:r>
      <w:r>
        <w:t xml:space="preserve">Market monitor = official, independent oversight role (see S16). Bloomberg/E&amp;E = high-quality business and specialist press.</w:t>
      </w:r>
    </w:p>
    <w:p>
      <w:pPr>
        <w:pStyle w:val="CardField"/>
      </w:pPr>
      <w:r>
        <w:rPr>
          <w:b/>
          <w:bCs/>
        </w:rPr>
        <w:t xml:space="preserve">Key Takeaways:</w:t>
      </w:r>
      <w:r>
        <w:t xml:space="preserve"> </w:t>
      </w:r>
      <w:r>
        <w:t xml:space="preserve">Average wholesale cost Q1 2026: $136.53/MWh vs. $77.78 a year earlier (+75.5 % ≈ 76 %), driven by data center demand. The market monitor warns that the price impacts will be even larger in the near term unless data center load issues are addressed in a timely manner (→ argument for C2).</w:t>
      </w:r>
    </w:p>
    <w:p>
      <w:pPr>
        <w:pStyle w:val="CardField"/>
      </w:pPr>
      <w:r>
        <w:rPr>
          <w:b/>
          <w:bCs/>
        </w:rPr>
        <w:t xml:space="preserve">Potential Counterpoints/Vulnerabilities:</w:t>
      </w:r>
      <w:r>
        <w:t xml:space="preserve"> </w:t>
      </w:r>
      <w:r>
        <w:t xml:space="preserve">“Q1 = winter with high gas prices.” → The market monitor itself names data centers as the driver; prepare more detail from the report. “Wholesale ≠ household bill.” → It is passed through to retail prices; in the speech say only “wholesale cost”.</w:t>
      </w:r>
    </w:p>
    <w:p>
      <w:pPr>
        <w:pStyle w:val="CardField"/>
      </w:pPr>
      <w:r>
        <w:rPr>
          <w:b/>
          <w:bCs/>
        </w:rPr>
        <w:t xml:space="preserve">Original Quote:</w:t>
      </w:r>
      <w:r>
        <w:t xml:space="preserve"> </w:t>
      </w:r>
      <w:r>
        <w:t xml:space="preserve">“The price impacts on customers have been very large and are not reversible.”</w:t>
      </w:r>
    </w:p>
    <w:p>
      <w:pPr>
        <w:pStyle w:val="CardField"/>
      </w:pPr>
      <w:r>
        <w:rPr>
          <w:b/>
          <w:bCs/>
        </w:rPr>
        <w:t xml:space="preserve">Verification:</w:t>
      </w:r>
      <w:r>
        <w:t xml:space="preserve"> </w:t>
      </w:r>
      <w:r>
        <w:t xml:space="preserve">✔ Figures confirmed via several excerpts. ⚠ Check the quote wording in the original report: the March annual report (SB11) words it as “significant and irreversible impact”. If the May wording can’t be confirmed, use the SB11 wording in the speech instead.</w:t>
      </w:r>
    </w:p>
    <w:p>
      <w:pPr>
        <w:pStyle w:val="CardField"/>
      </w:pPr>
      <w:r>
        <w:rPr>
          <w:b/>
          <w:bCs/>
        </w:rPr>
        <w:t xml:space="preserve">Links:</w:t>
      </w:r>
    </w:p>
    <w:p>
      <w:pPr>
        <w:pStyle w:val="CardList"/>
        <w:numPr>
          <w:ilvl w:val="0"/>
          <w:numId w:val="1110"/>
        </w:numPr>
      </w:pPr>
      <w:hyperlink r:id="rId181" w:history="1">
        <w:r>
          <w:rPr>
            <w:rStyle w:val="Hyperlink"/>
          </w:rPr>
          <w:t xml:space="preserve">https://www.bloomberg.com/news/articles/2026-05-14/data-centers-drive-76-rise-in-power-bills-on-largest-us-grid</w:t>
        </w:r>
      </w:hyperlink>
    </w:p>
    <w:p>
      <w:pPr>
        <w:pStyle w:val="CardList"/>
        <w:numPr>
          <w:ilvl w:val="0"/>
          <w:numId w:val="1110"/>
        </w:numPr>
      </w:pPr>
      <w:hyperlink r:id="rId182" w:history="1">
        <w:r>
          <w:rPr>
            <w:rStyle w:val="Hyperlink"/>
          </w:rPr>
          <w:t xml:space="preserve">https://www.eenews.net/articles/data-centers-drive-76-surge-in-pjm-power-prices/</w:t>
        </w:r>
      </w:hyperlink>
    </w:p>
    <w:p>
      <w:pPr>
        <w:pStyle w:val="CardField"/>
      </w:pPr>
      <w:r>
        <w:rPr>
          <w:b/>
          <w:bCs/>
        </w:rPr>
        <w:t xml:space="preserve">Used:</w:t>
      </w:r>
      <w:r>
        <w:t xml:space="preserve"> </w:t>
      </w:r>
      <w:r>
        <w:t xml:space="preserve">– (not cited in Parts A–C)</w:t>
      </w:r>
    </w:p>
    <w:bookmarkEnd w:id="183"/>
    <w:bookmarkStart w:id="185" w:name="src-S24"/>
    <w:p>
      <w:pPr>
        <w:pStyle w:val="Heading2"/>
      </w:pPr>
      <w:r>
        <w:t xml:space="preserve">S24 – Gallup: “Americans Oppose AI Data Centers in Their Area”</w:t>
      </w:r>
    </w:p>
    <w:p>
      <w:pPr>
        <w:pStyle w:val="CardField"/>
      </w:pPr>
      <w:r>
        <w:rPr>
          <w:b/>
          <w:bCs/>
        </w:rPr>
        <w:t xml:space="preserve">Who &amp; When:</w:t>
      </w:r>
      <w:r>
        <w:t xml:space="preserve"> </w:t>
      </w:r>
      <w:r>
        <w:t xml:space="preserve">Gallup, published May 13, 2026; fieldwork March 2–18, 2026; telephone interviews (Recon MR), random sample of 1,000 adults.</w:t>
      </w:r>
    </w:p>
    <w:p>
      <w:pPr>
        <w:pStyle w:val="CardField"/>
      </w:pPr>
      <w:r>
        <w:rPr>
          <w:b/>
          <w:bCs/>
        </w:rPr>
        <w:t xml:space="preserve">Methodology:</w:t>
      </w:r>
      <w:r>
        <w:t xml:space="preserve"> </w:t>
      </w:r>
      <w:r>
        <w:t xml:space="preserve">Representative telephone survey; the first time Gallup asked about data centers.</w:t>
      </w:r>
    </w:p>
    <w:p>
      <w:pPr>
        <w:pStyle w:val="CardField"/>
      </w:pPr>
      <w:r>
        <w:rPr>
          <w:b/>
          <w:bCs/>
        </w:rPr>
        <w:t xml:space="preserve">Context &amp; Classification:</w:t>
      </w:r>
      <w:r>
        <w:t xml:space="preserve"> </w:t>
      </w:r>
      <w:r>
        <w:t xml:space="preserve">Very high credibility, nonpartisan.</w:t>
      </w:r>
    </w:p>
    <w:p>
      <w:pPr>
        <w:pStyle w:val="CardField"/>
      </w:pPr>
      <w:r>
        <w:rPr>
          <w:b/>
          <w:bCs/>
        </w:rPr>
        <w:t xml:space="preserve">Key Takeaways:</w:t>
      </w:r>
      <w:r>
        <w:t xml:space="preserve"> </w:t>
      </w:r>
      <w:r>
        <w:t xml:space="preserve">71 % oppose building an AI data center in their area, 48 % strongly. For comparison: 53 % oppose a nuclear plant in their area. Strong opposition: Democrats 56 %, Republicans 39 % (→ cross-party). Half of opponents name excessive resource use (18 % each water and energy).</w:t>
      </w:r>
    </w:p>
    <w:p>
      <w:pPr>
        <w:pStyle w:val="CardField"/>
      </w:pPr>
      <w:r>
        <w:rPr>
          <w:b/>
          <w:bCs/>
        </w:rPr>
        <w:t xml:space="preserve">Potential Counterpoints/Vulnerabilities:</w:t>
      </w:r>
      <w:r>
        <w:t xml:space="preserve"> </w:t>
      </w:r>
      <w:r>
        <w:t xml:space="preserve">“NIMBY – people oppose everything locally.” → They oppose data centers far more than nuclear plants, so it is not a general NIMBY effect.</w:t>
      </w:r>
    </w:p>
    <w:p>
      <w:pPr>
        <w:pStyle w:val="CardField"/>
      </w:pPr>
      <w:r>
        <w:rPr>
          <w:b/>
          <w:bCs/>
        </w:rPr>
        <w:t xml:space="preserve">Verification:</w:t>
      </w:r>
      <w:r>
        <w:t xml:space="preserve"> </w:t>
      </w:r>
      <w:r>
        <w:t xml:space="preserve">✔ via search excerpts from news.gallup.com (71 %, 48 %, 53 %, fieldwork dates). Some media report “about 70 %”, so use Gallup’s own figure, 71 %.</w:t>
      </w:r>
    </w:p>
    <w:p>
      <w:pPr>
        <w:pStyle w:val="CardField"/>
      </w:pPr>
      <w:r>
        <w:rPr>
          <w:b/>
          <w:bCs/>
        </w:rPr>
        <w:t xml:space="preserve">Link:</w:t>
      </w:r>
      <w:r>
        <w:t xml:space="preserve"> </w:t>
      </w:r>
      <w:hyperlink r:id="rId184" w:history="1">
        <w:r>
          <w:rPr>
            <w:rStyle w:val="Hyperlink"/>
          </w:rPr>
          <w:t xml:space="preserve">https://news.gallup.com/poll/709772/americans-oppose-data-centers-area.aspx</w:t>
        </w:r>
      </w:hyperlink>
    </w:p>
    <w:p>
      <w:pPr>
        <w:pStyle w:val="CardField"/>
      </w:pPr>
      <w:r>
        <w:rPr>
          <w:b/>
          <w:bCs/>
        </w:rPr>
        <w:t xml:space="preserve">Used:</w:t>
      </w:r>
      <w:r>
        <w:t xml:space="preserve"> </w:t>
      </w:r>
      <w:hyperlink w:anchor="a4" w:history="1">
        <w:r>
          <w:rPr>
            <w:rStyle w:val="NavLinkChar"/>
          </w:rPr>
          <w:t xml:space="preserve">A4</w:t>
        </w:r>
      </w:hyperlink>
    </w:p>
    <w:bookmarkEnd w:id="185"/>
    <w:bookmarkStart w:id="187" w:name="src-S25"/>
    <w:p>
      <w:pPr>
        <w:pStyle w:val="Heading2"/>
      </w:pPr>
      <w:r>
        <w:t xml:space="preserve">S25 – Data Center Watch (10a Labs): Q1 2026 Report</w:t>
      </w:r>
    </w:p>
    <w:p>
      <w:pPr>
        <w:pStyle w:val="CardField"/>
      </w:pPr>
      <w:r>
        <w:rPr>
          <w:b/>
          <w:bCs/>
        </w:rPr>
        <w:t xml:space="preserve">Who &amp; When:</w:t>
      </w:r>
      <w:r>
        <w:t xml:space="preserve"> </w:t>
      </w:r>
      <w:r>
        <w:t xml:space="preserve">Data Center Watch, a tracker run by the AI research firm 10a Labs; Q1 2026 (published spring 2026; covered by Fortune, June 16, 2026).</w:t>
      </w:r>
    </w:p>
    <w:p>
      <w:pPr>
        <w:pStyle w:val="CardField"/>
      </w:pPr>
      <w:r>
        <w:rPr>
          <w:b/>
          <w:bCs/>
        </w:rPr>
        <w:t xml:space="preserve">Methodology:</w:t>
      </w:r>
      <w:r>
        <w:t xml:space="preserve"> </w:t>
      </w:r>
      <w:r>
        <w:t xml:space="preserve">Tracking of local opposition and of blocked or delayed projects; the public page shows headline findings, not a full project-level methodology.</w:t>
      </w:r>
    </w:p>
    <w:p>
      <w:pPr>
        <w:pStyle w:val="CardField"/>
      </w:pPr>
      <w:r>
        <w:rPr>
          <w:b/>
          <w:bCs/>
        </w:rPr>
        <w:t xml:space="preserve">Context &amp; Classification:</w:t>
      </w:r>
      <w:r>
        <w:t xml:space="preserve"> </w:t>
      </w:r>
      <w:r>
        <w:t xml:space="preserve">Private research product with a transparent claim but limited methodology documentation → medium credibility; widely cited by Fortune, Newsweek and Bloomberg.</w:t>
      </w:r>
    </w:p>
    <w:p>
      <w:pPr>
        <w:pStyle w:val="CardField"/>
      </w:pPr>
      <w:r>
        <w:rPr>
          <w:b/>
          <w:bCs/>
        </w:rPr>
        <w:t xml:space="preserve">Key Takeaways:</w:t>
      </w:r>
      <w:r>
        <w:t xml:space="preserve"> </w:t>
      </w:r>
      <w:r>
        <w:t xml:space="preserve">At least 75 projects worth about $130 billion blocked or delayed in Q1 2026 (“largest single-quarter concentration … on record”). Opposition groups more than doubled from 396 (end of 2025) to 833 (March 2026), in 49 states. Q2 2026 (secondary): 45 projects, about $68 billion; 843 groups.</w:t>
      </w:r>
    </w:p>
    <w:p>
      <w:pPr>
        <w:pStyle w:val="CardField"/>
      </w:pPr>
      <w:r>
        <w:rPr>
          <w:b/>
          <w:bCs/>
        </w:rPr>
        <w:t xml:space="preserve">Potential Counterpoints/Vulnerabilities:</w:t>
      </w:r>
      <w:r>
        <w:t xml:space="preserve"> </w:t>
      </w:r>
      <w:r>
        <w:t xml:space="preserve">“Blocked ≠ cancelled.” → Correct; we use the group count (833) in the speech, which is more robust.</w:t>
      </w:r>
    </w:p>
    <w:p>
      <w:pPr>
        <w:pStyle w:val="CardField"/>
      </w:pPr>
      <w:r>
        <w:rPr>
          <w:b/>
          <w:bCs/>
        </w:rPr>
        <w:t xml:space="preserve">Verification:</w:t>
      </w:r>
      <w:r>
        <w:t xml:space="preserve"> </w:t>
      </w:r>
      <w:r>
        <w:t xml:space="preserve">✔ via search excerpts of the Data Center Watch page; ⚠ page not opened.</w:t>
      </w:r>
    </w:p>
    <w:p>
      <w:pPr>
        <w:pStyle w:val="CardField"/>
      </w:pPr>
      <w:r>
        <w:rPr>
          <w:b/>
          <w:bCs/>
        </w:rPr>
        <w:t xml:space="preserve">Link:</w:t>
      </w:r>
      <w:r>
        <w:t xml:space="preserve"> </w:t>
      </w:r>
      <w:hyperlink r:id="rId186" w:history="1">
        <w:r>
          <w:rPr>
            <w:rStyle w:val="Hyperlink"/>
          </w:rPr>
          <w:t xml:space="preserve">https://datacenterwatch.org/q1-2026</w:t>
        </w:r>
      </w:hyperlink>
    </w:p>
    <w:p>
      <w:pPr>
        <w:pStyle w:val="CardField"/>
      </w:pPr>
      <w:r>
        <w:rPr>
          <w:b/>
          <w:bCs/>
        </w:rPr>
        <w:t xml:space="preserve">Used:</w:t>
      </w:r>
      <w:r>
        <w:t xml:space="preserve"> </w:t>
      </w:r>
      <w:hyperlink w:anchor="a4" w:history="1">
        <w:r>
          <w:rPr>
            <w:rStyle w:val="NavLinkChar"/>
          </w:rPr>
          <w:t xml:space="preserve">A4</w:t>
        </w:r>
      </w:hyperlink>
    </w:p>
    <w:bookmarkEnd w:id="187"/>
    <w:bookmarkStart w:id="190" w:name="src-S26"/>
    <w:p>
      <w:pPr>
        <w:pStyle w:val="Heading2"/>
      </w:pPr>
      <w:r>
        <w:t xml:space="preserve">S26 – The White House: “Ratepayer Protection Pledge”</w:t>
      </w:r>
    </w:p>
    <w:p>
      <w:pPr>
        <w:pStyle w:val="CardField"/>
      </w:pPr>
      <w:r>
        <w:rPr>
          <w:b/>
          <w:bCs/>
        </w:rPr>
        <w:t xml:space="preserve">Who &amp; When:</w:t>
      </w:r>
      <w:r>
        <w:t xml:space="preserve"> </w:t>
      </w:r>
      <w:r>
        <w:t xml:space="preserve">The White House; signed March 4, 2026; fact sheet March 2026.</w:t>
      </w:r>
    </w:p>
    <w:p>
      <w:pPr>
        <w:pStyle w:val="CardField"/>
      </w:pPr>
      <w:r>
        <w:rPr>
          <w:b/>
          <w:bCs/>
        </w:rPr>
        <w:t xml:space="preserve">Origin:</w:t>
      </w:r>
      <w:r>
        <w:t xml:space="preserve"> </w:t>
      </w:r>
      <w:r>
        <w:t xml:space="preserve">Primary source (government).</w:t>
      </w:r>
    </w:p>
    <w:p>
      <w:pPr>
        <w:pStyle w:val="CardField"/>
      </w:pPr>
      <w:r>
        <w:rPr>
          <w:b/>
          <w:bCs/>
        </w:rPr>
        <w:t xml:space="preserve">Context &amp; Classification:</w:t>
      </w:r>
      <w:r>
        <w:t xml:space="preserve"> </w:t>
      </w:r>
      <w:r>
        <w:t xml:space="preserve">Signatories: Amazon, Google, Meta, Microsoft, OpenAI, Oracle, xAI. A “non-regulatory, voluntary commitment”. The companies pledge to build, bring or buy their power and to pay the full cost of the associated grid infrastructure, even if they don’t use the power.</w:t>
      </w:r>
    </w:p>
    <w:p>
      <w:pPr>
        <w:pStyle w:val="CardField"/>
      </w:pPr>
      <w:r>
        <w:rPr>
          <w:b/>
          <w:bCs/>
        </w:rPr>
        <w:t xml:space="preserve">Key Takeaways:</w:t>
      </w:r>
      <w:r>
        <w:t xml:space="preserve"> </w:t>
      </w:r>
      <w:r>
        <w:t xml:space="preserve">Shows that household protection is currently based on promises, not law. No enforcement mechanism. Electricity regulation is largely a matter for states and regions (Kleinman Center, UPenn).</w:t>
      </w:r>
    </w:p>
    <w:p>
      <w:pPr>
        <w:pStyle w:val="CardField"/>
      </w:pPr>
      <w:r>
        <w:rPr>
          <w:b/>
          <w:bCs/>
        </w:rPr>
        <w:t xml:space="preserve">Potential Counterpoints/Vulnerabilities:</w:t>
      </w:r>
      <w:r>
        <w:t xml:space="preserve"> </w:t>
      </w:r>
      <w:r>
        <w:t xml:space="preserve">“The companies keep their word.” → Then a law costs them nothing. If they really pay, a law simply locks in what they promised. “Pledge &gt; law, more flexible.” → Flexibility for the industry, uncertainty for households.</w:t>
      </w:r>
    </w:p>
    <w:p>
      <w:pPr>
        <w:pStyle w:val="CardField"/>
      </w:pPr>
      <w:r>
        <w:rPr>
          <w:b/>
          <w:bCs/>
        </w:rPr>
        <w:t xml:space="preserve">Verification:</w:t>
      </w:r>
      <w:r>
        <w:t xml:space="preserve"> </w:t>
      </w:r>
      <w:r>
        <w:t xml:space="preserve">✔ via search excerpts (White House page, POWER Magazine, Kleinman Center).</w:t>
      </w:r>
    </w:p>
    <w:p>
      <w:pPr>
        <w:pStyle w:val="CardField"/>
      </w:pPr>
      <w:r>
        <w:rPr>
          <w:b/>
          <w:bCs/>
        </w:rPr>
        <w:t xml:space="preserve">Links:</w:t>
      </w:r>
    </w:p>
    <w:p>
      <w:pPr>
        <w:pStyle w:val="CardList"/>
        <w:numPr>
          <w:ilvl w:val="0"/>
          <w:numId w:val="1111"/>
        </w:numPr>
      </w:pPr>
      <w:hyperlink r:id="rId188" w:history="1">
        <w:r>
          <w:rPr>
            <w:rStyle w:val="Hyperlink"/>
          </w:rPr>
          <w:t xml:space="preserve">https://www.whitehouse.gov/ratepayer-protection-pledge/</w:t>
        </w:r>
      </w:hyperlink>
    </w:p>
    <w:p>
      <w:pPr>
        <w:pStyle w:val="CardList"/>
        <w:numPr>
          <w:ilvl w:val="0"/>
          <w:numId w:val="1111"/>
        </w:numPr>
      </w:pPr>
      <w:hyperlink r:id="rId189" w:history="1">
        <w:r>
          <w:rPr>
            <w:rStyle w:val="Hyperlink"/>
          </w:rPr>
          <w:t xml:space="preserve">https://kleinmanenergy.upenn.edu/commentary/blog/ratepayer-protection-pledge-the-white-houses-attempt-to-shield-customers-from-rising-electricity-prices-caused-by-data-center-expansion/</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2" w:history="1">
        <w:r>
          <w:rPr>
            <w:rStyle w:val="NavLinkChar"/>
          </w:rPr>
          <w:t xml:space="preserve">P2</w:t>
        </w:r>
      </w:hyperlink>
      <w:r>
        <w:t xml:space="preserve">,</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p>
    <w:bookmarkEnd w:id="190"/>
    <w:bookmarkStart w:id="192" w:name="src-S27"/>
    <w:p>
      <w:pPr>
        <w:pStyle w:val="Heading2"/>
      </w:pPr>
      <w:r>
        <w:t xml:space="preserve">S27 – Edison Electric Institute (EEI): “Large Load Projects and Tariffs (September 2026)”</w:t>
      </w:r>
    </w:p>
    <w:p>
      <w:pPr>
        <w:pStyle w:val="CardField"/>
      </w:pPr>
      <w:r>
        <w:rPr>
          <w:b/>
          <w:bCs/>
        </w:rPr>
        <w:t xml:space="preserve">Who &amp; When:</w:t>
      </w:r>
      <w:r>
        <w:t xml:space="preserve"> </w:t>
      </w:r>
      <w:r>
        <w:t xml:space="preserve">EEI (the industry association of investor-owned utilities), September 2026.</w:t>
      </w:r>
    </w:p>
    <w:p>
      <w:pPr>
        <w:pStyle w:val="CardField"/>
      </w:pPr>
      <w:r>
        <w:rPr>
          <w:b/>
          <w:bCs/>
        </w:rPr>
        <w:t xml:space="preserve">Origin:</w:t>
      </w:r>
      <w:r>
        <w:t xml:space="preserve"> </w:t>
      </w:r>
      <w:r>
        <w:t xml:space="preserve">Industry overview list.</w:t>
      </w:r>
    </w:p>
    <w:p>
      <w:pPr>
        <w:pStyle w:val="CardField"/>
      </w:pPr>
      <w:r>
        <w:rPr>
          <w:b/>
          <w:bCs/>
        </w:rPr>
        <w:t xml:space="preserve">Context &amp; Classification:</w:t>
      </w:r>
      <w:r>
        <w:t xml:space="preserve"> </w:t>
      </w:r>
      <w:r>
        <w:t xml:space="preserve">An industry source, so it tends to be favorable to existing rules; if even EEI only counts 25 states, that number is conservative.</w:t>
      </w:r>
    </w:p>
    <w:p>
      <w:pPr>
        <w:pStyle w:val="CardField"/>
      </w:pPr>
      <w:r>
        <w:rPr>
          <w:b/>
          <w:bCs/>
        </w:rPr>
        <w:t xml:space="preserve">Key Takeaways:</w:t>
      </w:r>
      <w:r>
        <w:t xml:space="preserve"> </w:t>
      </w:r>
      <w:r>
        <w:t xml:space="preserve">25 states have approved at least one large-load tariff; 7 more have proposals pending (May 2026: 23 states). Other trackers count tariffs rather than states (SEPA: 69 approved tariffs and service rules).</w:t>
      </w:r>
    </w:p>
    <w:p>
      <w:pPr>
        <w:pStyle w:val="CardField"/>
      </w:pPr>
      <w:r>
        <w:rPr>
          <w:b/>
          <w:bCs/>
        </w:rPr>
        <w:t xml:space="preserve">Potential Counterpoints/Vulnerabilities:</w:t>
      </w:r>
      <w:r>
        <w:t xml:space="preserve"> </w:t>
      </w:r>
      <w:r>
        <w:t xml:space="preserve">“The trend is rising, so the market fixes it.” → Half the states have none, and tariffs only cover costs, not water, air or secrecy.</w:t>
      </w:r>
    </w:p>
    <w:p>
      <w:pPr>
        <w:pStyle w:val="CardField"/>
      </w:pPr>
      <w:r>
        <w:rPr>
          <w:b/>
          <w:bCs/>
        </w:rPr>
        <w:t xml:space="preserve">Verification:</w:t>
      </w:r>
      <w:r>
        <w:t xml:space="preserve"> </w:t>
      </w:r>
      <w:r>
        <w:t xml:space="preserve">✔ via search excerpt; ⚠ check the PDF/list directly.</w:t>
      </w:r>
    </w:p>
    <w:p>
      <w:pPr>
        <w:pStyle w:val="CardField"/>
      </w:pPr>
      <w:r>
        <w:rPr>
          <w:b/>
          <w:bCs/>
        </w:rPr>
        <w:t xml:space="preserve">Link:</w:t>
      </w:r>
      <w:r>
        <w:t xml:space="preserve"> </w:t>
      </w:r>
      <w:hyperlink r:id="rId191" w:history="1">
        <w:r>
          <w:rPr>
            <w:rStyle w:val="Hyperlink"/>
          </w:rPr>
          <w:t xml:space="preserve">https://www.eei.org/-/media/Project/EEI/Documents/Issues%20and%20Policy/List%20of%20Large%20Customer%20Projects%20and%20Tariffs</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1" w:history="1">
        <w:r>
          <w:rPr>
            <w:rStyle w:val="NavLinkChar"/>
          </w:rPr>
          <w:t xml:space="preserve">P1</w:t>
        </w:r>
      </w:hyperlink>
      <w:r>
        <w:t xml:space="preserve">,</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p>
    <w:bookmarkEnd w:id="192"/>
    <w:bookmarkStart w:id="195" w:name="src-S28"/>
    <w:p>
      <w:pPr>
        <w:pStyle w:val="Heading2"/>
      </w:pPr>
      <w:r>
        <w:t xml:space="preserve">S28 – FERC: Show-cause orders on large-load interconnection (June 18, 2026)</w:t>
      </w:r>
    </w:p>
    <w:p>
      <w:pPr>
        <w:pStyle w:val="CardField"/>
      </w:pPr>
      <w:r>
        <w:rPr>
          <w:b/>
          <w:bCs/>
        </w:rPr>
        <w:t xml:space="preserve">Who &amp; When:</w:t>
      </w:r>
      <w:r>
        <w:t xml:space="preserve"> </w:t>
      </w:r>
      <w:r>
        <w:t xml:space="preserve">Federal Energy Regulatory Commission; background: DOE letter under Section 403 (Oct. 23, 2025) asking FERC to “rapidly accelerate the interconnection of large loads”; ANOPR Docket RM26-4-000; June 18, 2026: six Section 206 show-cause orders to PJM, MISO, SPP, CAISO, ISO-NE and NYISO (dockets EL26-67 ff.).</w:t>
      </w:r>
    </w:p>
    <w:p>
      <w:pPr>
        <w:pStyle w:val="CardField"/>
      </w:pPr>
      <w:r>
        <w:rPr>
          <w:b/>
          <w:bCs/>
        </w:rPr>
        <w:t xml:space="preserve">Origin:</w:t>
      </w:r>
      <w:r>
        <w:t xml:space="preserve"> </w:t>
      </w:r>
      <w:r>
        <w:t xml:space="preserve">Primary source FERC; summaries by Utility Dive and law firms (Akin Gump, Bracewell).</w:t>
      </w:r>
    </w:p>
    <w:p>
      <w:pPr>
        <w:pStyle w:val="CardField"/>
      </w:pPr>
      <w:r>
        <w:rPr>
          <w:b/>
          <w:bCs/>
        </w:rPr>
        <w:t xml:space="preserve">Key Takeaways:</w:t>
      </w:r>
      <w:r>
        <w:t xml:space="preserve"> </w:t>
      </w:r>
      <w:r>
        <w:t xml:space="preserve">FERC preliminarily found that existing tariffs may be “unjust and unreasonable” because they lack clear provisions for large and co-located loads. No national tariff; responses were due on a 60-day schedule. As of October 2026 no final national rule was found.</w:t>
      </w:r>
    </w:p>
    <w:p>
      <w:pPr>
        <w:pStyle w:val="CardField"/>
      </w:pPr>
      <w:r>
        <w:rPr>
          <w:b/>
          <w:bCs/>
        </w:rPr>
        <w:t xml:space="preserve">Potential Counterpoints/Vulnerabilities:</w:t>
      </w:r>
      <w:r>
        <w:t xml:space="preserve"> </w:t>
      </w:r>
      <w:r>
        <w:t xml:space="preserve">“The process is underway, so a moratorium is unnecessary.” → Underway is not finished. FERC itself says the current rules may be “unjust and unreasonable”, and in the meantime projects keep being built under them. ⚠ Check before the tournament whether FERC has ruled on the RTO responses since September 2026.</w:t>
      </w:r>
    </w:p>
    <w:p>
      <w:pPr>
        <w:pStyle w:val="CardField"/>
      </w:pPr>
      <w:r>
        <w:rPr>
          <w:b/>
          <w:bCs/>
        </w:rPr>
        <w:t xml:space="preserve">Verification:</w:t>
      </w:r>
      <w:r>
        <w:t xml:space="preserve"> </w:t>
      </w:r>
      <w:r>
        <w:t xml:space="preserve">✔ via several excerpts; ⚠ check the docket status.</w:t>
      </w:r>
    </w:p>
    <w:p>
      <w:pPr>
        <w:pStyle w:val="CardField"/>
      </w:pPr>
      <w:r>
        <w:rPr>
          <w:b/>
          <w:bCs/>
        </w:rPr>
        <w:t xml:space="preserve">Addition (P5):</w:t>
      </w:r>
      <w:r>
        <w:t xml:space="preserve"> </w:t>
      </w:r>
      <w:r>
        <w:t xml:space="preserve">Status as of October 2026 → see S110.</w:t>
      </w:r>
    </w:p>
    <w:p>
      <w:pPr>
        <w:pStyle w:val="CardField"/>
      </w:pPr>
      <w:r>
        <w:rPr>
          <w:b/>
          <w:bCs/>
        </w:rPr>
        <w:t xml:space="preserve">Links:</w:t>
      </w:r>
    </w:p>
    <w:p>
      <w:pPr>
        <w:pStyle w:val="CardList"/>
        <w:numPr>
          <w:ilvl w:val="0"/>
          <w:numId w:val="1112"/>
        </w:numPr>
      </w:pPr>
      <w:hyperlink r:id="rId193" w:history="1">
        <w:r>
          <w:rPr>
            <w:rStyle w:val="Hyperlink"/>
          </w:rPr>
          <w:t xml:space="preserve">https://www.utilitydive.com/news/data-center-interconnection-ferc-large-load-show-cause/824501/</w:t>
        </w:r>
      </w:hyperlink>
    </w:p>
    <w:p>
      <w:pPr>
        <w:pStyle w:val="CardList"/>
        <w:numPr>
          <w:ilvl w:val="0"/>
          <w:numId w:val="1112"/>
        </w:numPr>
      </w:pPr>
      <w:hyperlink r:id="rId194" w:history="1">
        <w:r>
          <w:rPr>
            <w:rStyle w:val="Hyperlink"/>
          </w:rPr>
          <w:t xml:space="preserve">https://www.akingump.com/en/insights/blogs/speaking-energy/ferc-issues-landmark-show-cause-orders-on-large-load-interconnection</w:t>
        </w:r>
      </w:hyperlink>
    </w:p>
    <w:p>
      <w:pPr>
        <w:pStyle w:val="CardField"/>
      </w:pPr>
      <w:r>
        <w:rPr>
          <w:b/>
          <w:bCs/>
        </w:rPr>
        <w:t xml:space="preserve">Used:</w:t>
      </w:r>
      <w:r>
        <w:t xml:space="preserve"> </w:t>
      </w:r>
      <w:hyperlink w:anchor="p5" w:history="1">
        <w:r>
          <w:rPr>
            <w:rStyle w:val="NavLinkChar"/>
          </w:rPr>
          <w:t xml:space="preserve">P5</w:t>
        </w:r>
      </w:hyperlink>
    </w:p>
    <w:bookmarkEnd w:id="195"/>
    <w:bookmarkStart w:id="198" w:name="src-S29"/>
    <w:p>
      <w:pPr>
        <w:pStyle w:val="Heading2"/>
      </w:pPr>
      <w:r>
        <w:t xml:space="preserve">S29 – EPA rule of January 15, 2026 (via CNBC and SELC)</w:t>
      </w:r>
    </w:p>
    <w:p>
      <w:pPr>
        <w:pStyle w:val="CardField"/>
      </w:pPr>
      <w:r>
        <w:rPr>
          <w:b/>
          <w:bCs/>
        </w:rPr>
        <w:t xml:space="preserve">Who &amp; When:</w:t>
      </w:r>
      <w:r>
        <w:t xml:space="preserve"> </w:t>
      </w:r>
      <w:r>
        <w:t xml:space="preserve">U.S. EPA, final rule (updated New Source Performance Standards for combustion turbines), January 15, 2026; CNBC, January 16, 2026: “Elon Musk’s xAI faces tougher road building out data centers after EPA rule update”; SELC press release “EPA confirms that large methane gas turbines require permits”.</w:t>
      </w:r>
    </w:p>
    <w:p>
      <w:pPr>
        <w:pStyle w:val="CardField"/>
      </w:pPr>
      <w:r>
        <w:rPr>
          <w:b/>
          <w:bCs/>
        </w:rPr>
        <w:t xml:space="preserve">Key Takeaways:</w:t>
      </w:r>
      <w:r>
        <w:t xml:space="preserve"> </w:t>
      </w:r>
      <w:r>
        <w:t xml:space="preserve">The EPA clarifies that such turbines cannot be designated as “non-road engines”; Clean Air Act permits are required, particularly where aggregate emissions exceed “major source thresholds”. According to CNBC, the previous interpretation had let xAI avoid public comment and environmental review through the Shelby County Health Department.</w:t>
      </w:r>
    </w:p>
    <w:p>
      <w:pPr>
        <w:pStyle w:val="CardList"/>
        <w:numPr>
          <w:ilvl w:val="0"/>
          <w:numId w:val="1113"/>
        </w:numPr>
      </w:pPr>
      <w:r>
        <w:rPr>
          <w:b/>
          <w:bCs/>
        </w:rPr>
        <w:t xml:space="preserve">Timeline:</w:t>
      </w:r>
      <w:r>
        <w:t xml:space="preserve"> </w:t>
      </w:r>
      <w:r>
        <w:t xml:space="preserve">turbines in operation since 2024 → clarification in Jan. 2026 → “well over a year” (in the speech).</w:t>
      </w:r>
    </w:p>
    <w:p>
      <w:pPr>
        <w:pStyle w:val="CardField"/>
      </w:pPr>
      <w:r>
        <w:rPr>
          <w:b/>
          <w:bCs/>
        </w:rPr>
        <w:t xml:space="preserve">Potential Counterpoints/Vulnerabilities:</w:t>
      </w:r>
      <w:r>
        <w:t xml:space="preserve"> </w:t>
      </w:r>
      <w:r>
        <w:t xml:space="preserve">“So the system works.” → It works afterwards: the damage happened during the gap. That is C2.</w:t>
      </w:r>
    </w:p>
    <w:p>
      <w:pPr>
        <w:pStyle w:val="CardField"/>
      </w:pPr>
      <w:r>
        <w:rPr>
          <w:b/>
          <w:bCs/>
        </w:rPr>
        <w:t xml:space="preserve">Verification:</w:t>
      </w:r>
      <w:r>
        <w:t xml:space="preserve"> </w:t>
      </w:r>
      <w:r>
        <w:t xml:space="preserve">✔ via several excerpts; ⚠ confirm the start of turbine operation (summer 2024) in one more source.</w:t>
      </w:r>
    </w:p>
    <w:p>
      <w:pPr>
        <w:pStyle w:val="CardField"/>
      </w:pPr>
      <w:r>
        <w:rPr>
          <w:b/>
          <w:bCs/>
        </w:rPr>
        <w:t xml:space="preserve">Links:</w:t>
      </w:r>
    </w:p>
    <w:p>
      <w:pPr>
        <w:pStyle w:val="CardList"/>
        <w:numPr>
          <w:ilvl w:val="0"/>
          <w:numId w:val="1114"/>
        </w:numPr>
      </w:pPr>
      <w:hyperlink r:id="rId196" w:history="1">
        <w:r>
          <w:rPr>
            <w:rStyle w:val="Hyperlink"/>
          </w:rPr>
          <w:t xml:space="preserve">https://www.cnbc.com/2026/01/16/musks-xai-faces-tougher-road-expanding-memphis-area-after-epa-update.html</w:t>
        </w:r>
      </w:hyperlink>
    </w:p>
    <w:p>
      <w:pPr>
        <w:pStyle w:val="CardList"/>
        <w:numPr>
          <w:ilvl w:val="0"/>
          <w:numId w:val="1114"/>
        </w:numPr>
      </w:pPr>
      <w:hyperlink r:id="rId197" w:history="1">
        <w:r>
          <w:rPr>
            <w:rStyle w:val="Hyperlink"/>
          </w:rPr>
          <w:t xml:space="preserve">https://www.selc.org/press-release/epa-confirms-that-large-methane-gas-turbines-require-permits/</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p>
    <w:bookmarkEnd w:id="198"/>
    <w:bookmarkStart w:id="201" w:name="src-S30"/>
    <w:p>
      <w:pPr>
        <w:pStyle w:val="Heading2"/>
      </w:pPr>
      <w:r>
        <w:t xml:space="preserve">S30 – NPR: NDAs and data center deals</w:t>
      </w:r>
    </w:p>
    <w:p>
      <w:pPr>
        <w:pStyle w:val="CardField"/>
      </w:pPr>
      <w:r>
        <w:rPr>
          <w:b/>
          <w:bCs/>
        </w:rPr>
        <w:t xml:space="preserve">Who &amp; When:</w:t>
      </w:r>
      <w:r>
        <w:t xml:space="preserve"> </w:t>
      </w:r>
      <w:r>
        <w:t xml:space="preserve">NPR (Gulf States Newsroom &amp; Type Investigations), August 26, 2026: “In Louisiana, NDAs covered up a data center deal that residents didn’t know was coming”; August 27, 2026: “NDAs are hiding data center deals, drawing ire from locals — and attention from lawmakers”.</w:t>
      </w:r>
    </w:p>
    <w:p>
      <w:pPr>
        <w:pStyle w:val="CardField"/>
      </w:pPr>
      <w:r>
        <w:rPr>
          <w:b/>
          <w:bCs/>
        </w:rPr>
        <w:t xml:space="preserve">Methodology:</w:t>
      </w:r>
      <w:r>
        <w:t xml:space="preserve"> </w:t>
      </w:r>
      <w:r>
        <w:t xml:space="preserve">Public records requests.</w:t>
      </w:r>
    </w:p>
    <w:p>
      <w:pPr>
        <w:pStyle w:val="CardField"/>
      </w:pPr>
      <w:r>
        <w:rPr>
          <w:b/>
          <w:bCs/>
        </w:rPr>
        <w:t xml:space="preserve">Key Takeaways:</w:t>
      </w:r>
      <w:r>
        <w:t xml:space="preserve"> </w:t>
      </w:r>
      <w:r>
        <w:t xml:space="preserve">54 NDAs signed by elected officials since early 2024 (many for data centers, some for other industrial projects). Rapides Parish (Louisiana): code names “Project Lightning” and “Project Pixel”; at least five state senators, the parish assessor and every member of the industrial development board signed NDAs; the board approved the deal “with little discussion” in April 2026. Developer: Applied Digital (300-acre site in Boyce). Microsoft has announced it will stop requesting NDAs; Pennsylvania Gov. Shapiro has banned them for state agencies.</w:t>
      </w:r>
    </w:p>
    <w:p>
      <w:pPr>
        <w:pStyle w:val="CardField"/>
      </w:pPr>
      <w:r>
        <w:rPr>
          <w:b/>
          <w:bCs/>
        </w:rPr>
        <w:t xml:space="preserve">Potential Counterpoints/Vulnerabilities:</w:t>
      </w:r>
      <w:r>
        <w:t xml:space="preserve"> </w:t>
      </w:r>
      <w:r>
        <w:t xml:space="preserve">“NDAs protect against insider trading.” → That is the company’s argument; NPR quotes: “it just feels sneaky to people.” ⚠ Is the 300-acre site hyperscale? Applied Digital builds AI/HPC campuses, so it very likely qualifies; check the capacity (MW).</w:t>
      </w:r>
    </w:p>
    <w:p>
      <w:pPr>
        <w:pStyle w:val="CardField"/>
      </w:pPr>
      <w:r>
        <w:rPr>
          <w:b/>
          <w:bCs/>
        </w:rPr>
        <w:t xml:space="preserve">Verification:</w:t>
      </w:r>
      <w:r>
        <w:t xml:space="preserve"> </w:t>
      </w:r>
      <w:r>
        <w:t xml:space="preserve">✔ via search excerpts of the NPR pages.</w:t>
      </w:r>
    </w:p>
    <w:p>
      <w:pPr>
        <w:pStyle w:val="CardField"/>
      </w:pPr>
      <w:r>
        <w:rPr>
          <w:b/>
          <w:bCs/>
        </w:rPr>
        <w:t xml:space="preserve">Links:</w:t>
      </w:r>
    </w:p>
    <w:p>
      <w:pPr>
        <w:pStyle w:val="CardList"/>
        <w:numPr>
          <w:ilvl w:val="0"/>
          <w:numId w:val="1115"/>
        </w:numPr>
      </w:pPr>
      <w:hyperlink r:id="rId199" w:history="1">
        <w:r>
          <w:rPr>
            <w:rStyle w:val="Hyperlink"/>
          </w:rPr>
          <w:t xml:space="preserve">https://www.npr.org/2026/08/26/nx-s1-5879509/in-louisiana-ndas-covered-up-a-data-center-deal-that-residents-didnt-know-was-coming</w:t>
        </w:r>
      </w:hyperlink>
    </w:p>
    <w:p>
      <w:pPr>
        <w:pStyle w:val="CardList"/>
        <w:numPr>
          <w:ilvl w:val="0"/>
          <w:numId w:val="1115"/>
        </w:numPr>
      </w:pPr>
      <w:hyperlink r:id="rId200" w:history="1">
        <w:r>
          <w:rPr>
            <w:rStyle w:val="Hyperlink"/>
          </w:rPr>
          <w:t xml:space="preserve">https://www.npr.org/2026/08/27/nx-s1-5879528/data-center-nda-disclosure-louisiana</w:t>
        </w:r>
      </w:hyperlink>
    </w:p>
    <w:p>
      <w:pPr>
        <w:pStyle w:val="CardField"/>
      </w:pPr>
      <w:r>
        <w:rPr>
          <w:b/>
          <w:bCs/>
        </w:rPr>
        <w:t xml:space="preserve">Used:</w:t>
      </w:r>
      <w:r>
        <w:t xml:space="preserve"> </w:t>
      </w:r>
      <w:hyperlink w:anchor="p5" w:history="1">
        <w:r>
          <w:rPr>
            <w:rStyle w:val="NavLinkChar"/>
          </w:rPr>
          <w:t xml:space="preserve">P5</w:t>
        </w:r>
      </w:hyperlink>
    </w:p>
    <w:bookmarkEnd w:id="201"/>
    <w:bookmarkStart w:id="205" w:name="src-S31"/>
    <w:p>
      <w:pPr>
        <w:pStyle w:val="Heading2"/>
      </w:pPr>
      <w:r>
        <w:t xml:space="preserve">S31 – No federal reporting requirement: S. 4213 and the state patchwork</w:t>
      </w:r>
    </w:p>
    <w:p>
      <w:pPr>
        <w:pStyle w:val="CardField"/>
      </w:pPr>
      <w:r>
        <w:rPr>
          <w:b/>
          <w:bCs/>
        </w:rPr>
        <w:t xml:space="preserve">Who &amp; When:</w:t>
      </w:r>
      <w:r>
        <w:t xml:space="preserve"> </w:t>
      </w:r>
      <w:r>
        <w:t xml:space="preserve">U.S. Senate, S. 4213 “Data Center Water and Energy Transparency Act of 2026” (introduced March 2026, referred to committee); New Jersey: law signed by Gov. Sherrill (New Jersey Monitor, Aug. 27, 2026), reporting every six months; California: seven laws signed Sept. 21, 2026, mostly effective Jan. 1, 2027 (Holland &amp; Knight, Oct. 2026).</w:t>
      </w:r>
    </w:p>
    <w:p>
      <w:pPr>
        <w:pStyle w:val="CardField"/>
      </w:pPr>
      <w:r>
        <w:rPr>
          <w:b/>
          <w:bCs/>
        </w:rPr>
        <w:t xml:space="preserve">Key Takeaways:</w:t>
      </w:r>
      <w:r>
        <w:t xml:space="preserve"> </w:t>
      </w:r>
      <w:r>
        <w:t xml:space="preserve">A federal reporting requirement for water and energy use exists only as a bill. Individual states are filling the gap, which creates a patchwork.</w:t>
      </w:r>
    </w:p>
    <w:p>
      <w:pPr>
        <w:pStyle w:val="CardField"/>
      </w:pPr>
      <w:r>
        <w:rPr>
          <w:b/>
          <w:bCs/>
        </w:rPr>
        <w:t xml:space="preserve">Potential Counterpoints/Vulnerabilities:</w:t>
      </w:r>
      <w:r>
        <w:t xml:space="preserve"> </w:t>
      </w:r>
      <w:r>
        <w:t xml:space="preserve">“The states are doing it already.” → Two states with reporting requirements, 48 without. ⚠ Confidence “no federal law”: medium (the search found only the bill); check whether EIA or DOE has introduced a mandatory survey.</w:t>
      </w:r>
    </w:p>
    <w:p>
      <w:pPr>
        <w:pStyle w:val="CardField"/>
      </w:pPr>
      <w:r>
        <w:rPr>
          <w:b/>
          <w:bCs/>
        </w:rPr>
        <w:t xml:space="preserve">Links:</w:t>
      </w:r>
    </w:p>
    <w:p>
      <w:pPr>
        <w:pStyle w:val="CardList"/>
        <w:numPr>
          <w:ilvl w:val="0"/>
          <w:numId w:val="1116"/>
        </w:numPr>
      </w:pPr>
      <w:hyperlink r:id="rId202" w:history="1">
        <w:r>
          <w:rPr>
            <w:rStyle w:val="Hyperlink"/>
          </w:rPr>
          <w:t xml:space="preserve">https://www.govtrack.us/congress/bills/119/s4213/text/is</w:t>
        </w:r>
      </w:hyperlink>
    </w:p>
    <w:p>
      <w:pPr>
        <w:pStyle w:val="CardList"/>
        <w:numPr>
          <w:ilvl w:val="0"/>
          <w:numId w:val="1116"/>
        </w:numPr>
      </w:pPr>
      <w:hyperlink r:id="rId203" w:history="1">
        <w:r>
          <w:rPr>
            <w:rStyle w:val="Hyperlink"/>
          </w:rPr>
          <w:t xml:space="preserve">https://newjerseymonitor.com/2026/08/27/data-centers-water-energy-use-law/</w:t>
        </w:r>
      </w:hyperlink>
    </w:p>
    <w:p>
      <w:pPr>
        <w:pStyle w:val="CardList"/>
        <w:numPr>
          <w:ilvl w:val="0"/>
          <w:numId w:val="1116"/>
        </w:numPr>
      </w:pPr>
      <w:hyperlink r:id="rId204" w:history="1">
        <w:r>
          <w:rPr>
            <w:rStyle w:val="Hyperlink"/>
          </w:rPr>
          <w:t xml:space="preserve">https://www.hklaw.com/en/insights/publications/2026/10/californias-2026-data-center-laws-what-you-need-to-know</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b1" w:history="1">
        <w:r>
          <w:rPr>
            <w:rStyle w:val="NavLinkChar"/>
          </w:rPr>
          <w:t xml:space="preserve">B1</w:t>
        </w:r>
      </w:hyperlink>
      <w:r>
        <w:t xml:space="preserve">,</w:t>
      </w:r>
      <w:r>
        <w:t xml:space="preserve"> </w:t>
      </w:r>
      <w:hyperlink w:anchor="p4" w:history="1">
        <w:r>
          <w:rPr>
            <w:rStyle w:val="NavLinkChar"/>
          </w:rPr>
          <w:t xml:space="preserve">P4</w:t>
        </w:r>
      </w:hyperlink>
      <w:r>
        <w:t xml:space="preserve">,</w:t>
      </w:r>
      <w:r>
        <w:t xml:space="preserve"> </w:t>
      </w:r>
      <w:hyperlink w:anchor="p5" w:history="1">
        <w:r>
          <w:rPr>
            <w:rStyle w:val="NavLinkChar"/>
          </w:rPr>
          <w:t xml:space="preserve">P5</w:t>
        </w:r>
      </w:hyperlink>
    </w:p>
    <w:bookmarkEnd w:id="205"/>
    <w:bookmarkStart w:id="208" w:name="src-S32"/>
    <w:p>
      <w:pPr>
        <w:pStyle w:val="Heading2"/>
      </w:pPr>
      <w:r>
        <w:t xml:space="preserve">S32 – U.S. Supreme Court: Tahoe-Sierra Preservation Council v. Tahoe Regional Planning Agency, 535 U.S. 302 (2002)</w:t>
      </w:r>
    </w:p>
    <w:p>
      <w:pPr>
        <w:pStyle w:val="CardField"/>
      </w:pPr>
      <w:r>
        <w:rPr>
          <w:b/>
          <w:bCs/>
        </w:rPr>
        <w:t xml:space="preserve">Who &amp; When:</w:t>
      </w:r>
      <w:r>
        <w:t xml:space="preserve"> </w:t>
      </w:r>
      <w:r>
        <w:t xml:space="preserve">U.S. Supreme Court, majority opinion by Justice Stevens, decided April 23, 2002.</w:t>
      </w:r>
    </w:p>
    <w:p>
      <w:pPr>
        <w:pStyle w:val="CardField"/>
      </w:pPr>
      <w:r>
        <w:rPr>
          <w:b/>
          <w:bCs/>
        </w:rPr>
        <w:t xml:space="preserve">Origin:</w:t>
      </w:r>
      <w:r>
        <w:t xml:space="preserve"> </w:t>
      </w:r>
      <w:r>
        <w:t xml:space="preserve">Primary source (judgment).</w:t>
      </w:r>
    </w:p>
    <w:p>
      <w:pPr>
        <w:pStyle w:val="CardField"/>
      </w:pPr>
      <w:r>
        <w:rPr>
          <w:b/>
          <w:bCs/>
        </w:rPr>
        <w:t xml:space="preserve">Context &amp; Classification:</w:t>
      </w:r>
      <w:r>
        <w:t xml:space="preserve"> </w:t>
      </w:r>
      <w:r>
        <w:t xml:space="preserve">Highest authority. Already referenced in your S1. Facts: a 32-month construction moratorium around Lake Tahoe while a land-use plan was developed.</w:t>
      </w:r>
    </w:p>
    <w:p>
      <w:pPr>
        <w:pStyle w:val="CardList"/>
        <w:numPr>
          <w:ilvl w:val="0"/>
          <w:numId w:val="1117"/>
        </w:numPr>
      </w:pPr>
      <w:r>
        <w:rPr>
          <w:b/>
          <w:bCs/>
        </w:rPr>
        <w:t xml:space="preserve">Holding:</w:t>
      </w:r>
      <w:r>
        <w:t xml:space="preserve"> </w:t>
      </w:r>
      <w:r>
        <w:t xml:space="preserve">such moratoria are not a per se taking requiring compensation.</w:t>
      </w:r>
    </w:p>
    <w:p>
      <w:pPr>
        <w:pStyle w:val="CardField"/>
      </w:pPr>
      <w:r>
        <w:rPr>
          <w:b/>
          <w:bCs/>
        </w:rPr>
        <w:t xml:space="preserve">Key Takeaways:</w:t>
      </w:r>
      <w:r>
        <w:t xml:space="preserve"> </w:t>
      </w:r>
      <w:r>
        <w:t xml:space="preserve">Moratoria are a recognized, constitutionally robust planning tool for exactly the situation “first study, then permanent rules”.</w:t>
      </w:r>
    </w:p>
    <w:p>
      <w:pPr>
        <w:pStyle w:val="CardField"/>
      </w:pPr>
      <w:r>
        <w:rPr>
          <w:b/>
          <w:bCs/>
        </w:rPr>
        <w:t xml:space="preserve">Potential Counterpoints/Vulnerabilities:</w:t>
      </w:r>
      <w:r>
        <w:t xml:space="preserve"> </w:t>
      </w:r>
      <w:r>
        <w:t xml:space="preserve">“That was about local land use, not a federal moratorium.” → Correct; we use the case for the function of moratoria (pause → rules), not as federal authority. The question of federal power belongs in the frontline on C8 (see the Sanders/AOC bill, S36).</w:t>
      </w:r>
    </w:p>
    <w:p>
      <w:pPr>
        <w:pStyle w:val="CardField"/>
      </w:pPr>
      <w:r>
        <w:rPr>
          <w:b/>
          <w:bCs/>
        </w:rPr>
        <w:t xml:space="preserve">Original Quote:</w:t>
      </w:r>
      <w:r>
        <w:t xml:space="preserve"> </w:t>
      </w:r>
      <w:r>
        <w:t xml:space="preserve">“… moratoria like Ordinance 81-5 and Resolution 83-21 are used widely among land-use planners to preserve the status quo while formulating a more permanent development strategy.”</w:t>
      </w:r>
    </w:p>
    <w:p>
      <w:pPr>
        <w:pStyle w:val="CardField"/>
      </w:pPr>
      <w:r>
        <w:rPr>
          <w:b/>
          <w:bCs/>
        </w:rPr>
        <w:t xml:space="preserve">Verification:</w:t>
      </w:r>
      <w:r>
        <w:t xml:space="preserve"> </w:t>
      </w:r>
      <w:r>
        <w:t xml:space="preserve">✔ Wording confirmed via two independent copies of the opinion; ⚠ add the pin cite (page in 535 U.S.).</w:t>
      </w:r>
    </w:p>
    <w:p>
      <w:pPr>
        <w:pStyle w:val="CardField"/>
      </w:pPr>
      <w:r>
        <w:rPr>
          <w:b/>
          <w:bCs/>
        </w:rPr>
        <w:t xml:space="preserve">Links:</w:t>
      </w:r>
    </w:p>
    <w:p>
      <w:pPr>
        <w:pStyle w:val="CardList"/>
        <w:numPr>
          <w:ilvl w:val="0"/>
          <w:numId w:val="1118"/>
        </w:numPr>
      </w:pPr>
      <w:hyperlink r:id="rId206" w:history="1">
        <w:r>
          <w:rPr>
            <w:rStyle w:val="Hyperlink"/>
          </w:rPr>
          <w:t xml:space="preserve">https://www.law.cornell.edu/supremecourt/text/00-1167</w:t>
        </w:r>
      </w:hyperlink>
    </w:p>
    <w:p>
      <w:pPr>
        <w:pStyle w:val="CardList"/>
        <w:numPr>
          <w:ilvl w:val="0"/>
          <w:numId w:val="1118"/>
        </w:numPr>
      </w:pPr>
      <w:hyperlink r:id="rId207" w:history="1">
        <w:r>
          <w:rPr>
            <w:rStyle w:val="Hyperlink"/>
          </w:rPr>
          <w:t xml:space="preserve">https://supreme.justia.com/cases/federal/us/535/302/case.pdf</w:t>
        </w:r>
      </w:hyperlink>
    </w:p>
    <w:p>
      <w:pPr>
        <w:pStyle w:val="CardField"/>
      </w:pPr>
      <w:r>
        <w:rPr>
          <w:b/>
          <w:bCs/>
        </w:rPr>
        <w:t xml:space="preserve">Used:</w:t>
      </w:r>
      <w:r>
        <w:t xml:space="preserve"> </w:t>
      </w:r>
      <w:hyperlink w:anchor="a2" w:history="1">
        <w:r>
          <w:rPr>
            <w:rStyle w:val="NavLinkChar"/>
          </w:rPr>
          <w:t xml:space="preserve">A2</w:t>
        </w:r>
      </w:hyperlink>
      <w:r>
        <w:t xml:space="preserve">,</w:t>
      </w:r>
      <w:r>
        <w:t xml:space="preserve"> </w:t>
      </w:r>
      <w:hyperlink w:anchor="p5" w:history="1">
        <w:r>
          <w:rPr>
            <w:rStyle w:val="NavLinkChar"/>
          </w:rPr>
          <w:t xml:space="preserve">P5</w:t>
        </w:r>
      </w:hyperlink>
    </w:p>
    <w:bookmarkEnd w:id="208"/>
    <w:bookmarkStart w:id="211" w:name="src-S33"/>
    <w:p>
      <w:pPr>
        <w:pStyle w:val="Heading2"/>
      </w:pPr>
      <w:r>
        <w:t xml:space="preserve">S33 – Singapore: from moratorium to rules (2019 → 2022 → 2025)</w:t>
      </w:r>
    </w:p>
    <w:p>
      <w:pPr>
        <w:pStyle w:val="CardField"/>
      </w:pPr>
      <w:r>
        <w:rPr>
          <w:b/>
          <w:bCs/>
        </w:rPr>
        <w:t xml:space="preserve">Who &amp; When:</w:t>
      </w:r>
      <w:r>
        <w:t xml:space="preserve"> </w:t>
      </w:r>
      <w:r>
        <w:t xml:space="preserve">Data Center Dynamics (2022): “Singapore authorities invite applications for new data centers”; Morgan Lewis (March 2026): “Singapore announces data center capacity allocation call”.</w:t>
      </w:r>
    </w:p>
    <w:p>
      <w:pPr>
        <w:pStyle w:val="CardField"/>
      </w:pPr>
      <w:r>
        <w:rPr>
          <w:b/>
          <w:bCs/>
        </w:rPr>
        <w:t xml:space="preserve">Key Takeaways:</w:t>
      </w:r>
      <w:r>
        <w:t xml:space="preserve"> </w:t>
      </w:r>
      <w:r>
        <w:t xml:space="preserve">2019: moratorium on new data centers while the government reviewed how to manage the sector’s growth sustainably and in line with its climate commitments. July 2022: pilot “Call for Application” (IMDA/EDB) with conditions (reported: 10–30 MW, PUE ≤ 1.3, Green Mark Platinum); in 2023, about 80 MW were allocated to operators including Equinix, GDS, Microsoft and AirTrunk-ByteDance. Dec. 1, 2025: DC-CFA2 with at least 200 MW, at least 50 % green energy.</w:t>
      </w:r>
    </w:p>
    <w:p>
      <w:pPr>
        <w:pStyle w:val="CardField"/>
      </w:pPr>
      <w:r>
        <w:rPr>
          <w:b/>
          <w:bCs/>
        </w:rPr>
        <w:t xml:space="preserve">Potential Counterpoints/Vulnerabilities:</w:t>
      </w:r>
      <w:r>
        <w:t xml:space="preserve"> </w:t>
      </w:r>
      <w:r>
        <w:t xml:space="preserve">“Singapore → Johor: demand moved away” (your own S4!). → (1) Singapore deliberately accepted that, because it had a hard land and power constraint; (2) the outcome was stricter rules, which is exactly our model. ⚠ The 2022 conditions came partly from press reports (officially partly unpublished); check against the IMDA primary source.</w:t>
      </w:r>
    </w:p>
    <w:p>
      <w:pPr>
        <w:pStyle w:val="CardField"/>
      </w:pPr>
      <w:r>
        <w:rPr>
          <w:b/>
          <w:bCs/>
        </w:rPr>
        <w:t xml:space="preserve">Links:</w:t>
      </w:r>
    </w:p>
    <w:p>
      <w:pPr>
        <w:pStyle w:val="CardList"/>
        <w:numPr>
          <w:ilvl w:val="0"/>
          <w:numId w:val="1119"/>
        </w:numPr>
      </w:pPr>
      <w:hyperlink r:id="rId209" w:history="1">
        <w:r>
          <w:rPr>
            <w:rStyle w:val="Hyperlink"/>
          </w:rPr>
          <w:t xml:space="preserve">https://www.datacenterdynamics.com/en/news/singapore-authorities-invite-applications-for-new-data-centers/</w:t>
        </w:r>
      </w:hyperlink>
    </w:p>
    <w:p>
      <w:pPr>
        <w:pStyle w:val="CardList"/>
        <w:numPr>
          <w:ilvl w:val="0"/>
          <w:numId w:val="1119"/>
        </w:numPr>
      </w:pPr>
      <w:hyperlink r:id="rId210" w:history="1">
        <w:r>
          <w:rPr>
            <w:rStyle w:val="Hyperlink"/>
          </w:rPr>
          <w:t xml:space="preserve">https://www.morganlewis.com/pubs/2026/03/singapore-announces-data-center-capacity-allocation-call</w:t>
        </w:r>
      </w:hyperlink>
    </w:p>
    <w:p>
      <w:pPr>
        <w:pStyle w:val="CardField"/>
      </w:pPr>
      <w:r>
        <w:rPr>
          <w:b/>
          <w:bCs/>
        </w:rPr>
        <w:t xml:space="preserve">Used:</w:t>
      </w:r>
      <w:r>
        <w:t xml:space="preserve"> </w:t>
      </w:r>
      <w:hyperlink w:anchor="a6" w:history="1">
        <w:r>
          <w:rPr>
            <w:rStyle w:val="NavLinkChar"/>
          </w:rPr>
          <w:t xml:space="preserve">A6</w:t>
        </w:r>
      </w:hyperlink>
      <w:r>
        <w:t xml:space="preserve">,</w:t>
      </w:r>
      <w:r>
        <w:t xml:space="preserve"> </w:t>
      </w:r>
      <w:hyperlink w:anchor="p5" w:history="1">
        <w:r>
          <w:rPr>
            <w:rStyle w:val="NavLinkChar"/>
          </w:rPr>
          <w:t xml:space="preserve">P5</w:t>
        </w:r>
      </w:hyperlink>
    </w:p>
    <w:bookmarkEnd w:id="211"/>
    <w:bookmarkStart w:id="214" w:name="src-S34"/>
    <w:p>
      <w:pPr>
        <w:pStyle w:val="Heading2"/>
      </w:pPr>
      <w:r>
        <w:t xml:space="preserve">S34 – WFYI: “Indy council advances pause on data centers, sends to commission for final approval”</w:t>
      </w:r>
    </w:p>
    <w:p>
      <w:pPr>
        <w:pStyle w:val="CardField"/>
      </w:pPr>
      <w:r>
        <w:rPr>
          <w:b/>
          <w:bCs/>
        </w:rPr>
        <w:t xml:space="preserve">Who &amp; When:</w:t>
      </w:r>
      <w:r>
        <w:t xml:space="preserve"> </w:t>
      </w:r>
      <w:r>
        <w:t xml:space="preserve">WFYI (NPR station, Indianapolis), August 10, 2026; earlier: IPM/WFYI, July 13–14, 2026.</w:t>
      </w:r>
    </w:p>
    <w:p>
      <w:pPr>
        <w:pStyle w:val="CardField"/>
      </w:pPr>
      <w:r>
        <w:rPr>
          <w:b/>
          <w:bCs/>
        </w:rPr>
        <w:t xml:space="preserve">Key Takeaways:</w:t>
      </w:r>
      <w:r>
        <w:t xml:space="preserve"> </w:t>
      </w:r>
      <w:r>
        <w:t xml:space="preserve">Council President Maggie Lewis proposed a pause on new data center approvals until Dec. 31, 2027, so the city can write zoning rules. The committee voted 10–3 (July 13); Mayor Hogsett supports it; in the hearing, all but one of more than two dozen speakers were in favor. Background: Google withdrew its Franklin Township rezoning petition (about 467 acres) in Sept. 2025, shortly before the council vote.</w:t>
      </w:r>
    </w:p>
    <w:p>
      <w:pPr>
        <w:pStyle w:val="CardField"/>
      </w:pPr>
      <w:r>
        <w:rPr>
          <w:b/>
          <w:bCs/>
        </w:rPr>
        <w:t xml:space="preserve">Potential Counterpoints/Vulnerabilities:</w:t>
      </w:r>
      <w:r>
        <w:t xml:space="preserve"> </w:t>
      </w:r>
      <w:r>
        <w:t xml:space="preserve">⚠ Final approval by the Metropolitan Development Commission still to check; in the speech say only “the council voted”.</w:t>
      </w:r>
    </w:p>
    <w:p>
      <w:pPr>
        <w:pStyle w:val="CardField"/>
      </w:pPr>
      <w:r>
        <w:rPr>
          <w:b/>
          <w:bCs/>
        </w:rPr>
        <w:t xml:space="preserve">Links:</w:t>
      </w:r>
    </w:p>
    <w:p>
      <w:pPr>
        <w:pStyle w:val="CardList"/>
        <w:numPr>
          <w:ilvl w:val="0"/>
          <w:numId w:val="1120"/>
        </w:numPr>
      </w:pPr>
      <w:hyperlink r:id="rId212" w:history="1">
        <w:r>
          <w:rPr>
            <w:rStyle w:val="Hyperlink"/>
          </w:rPr>
          <w:t xml:space="preserve">https://www.wfyi.org/wfyi-news/2026-08-10/indy-council-advances-pause-on-data-centers-sends-to-commission-for-final-approval</w:t>
        </w:r>
      </w:hyperlink>
    </w:p>
    <w:p>
      <w:pPr>
        <w:pStyle w:val="CardList"/>
        <w:numPr>
          <w:ilvl w:val="0"/>
          <w:numId w:val="1120"/>
        </w:numPr>
      </w:pPr>
      <w:hyperlink r:id="rId213" w:history="1">
        <w:r>
          <w:rPr>
            <w:rStyle w:val="Hyperlink"/>
          </w:rPr>
          <w:t xml:space="preserve">https://www.ipm.org/news/2026-07-14/data-center-moratorium-advances-for-indianapolis</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5" w:history="1">
        <w:r>
          <w:rPr>
            <w:rStyle w:val="NavLinkChar"/>
          </w:rPr>
          <w:t xml:space="preserve">P5</w:t>
        </w:r>
      </w:hyperlink>
    </w:p>
    <w:bookmarkEnd w:id="214"/>
    <w:bookmarkStart w:id="216" w:name="src-S35"/>
    <w:p>
      <w:pPr>
        <w:pStyle w:val="Heading2"/>
      </w:pPr>
      <w:r>
        <w:t xml:space="preserve">S35 – SemiAnalysis: “Everyone Says Datacenter Moratoriums Are Killing the US Buildout. We Mapped All 300 of Them”</w:t>
      </w:r>
    </w:p>
    <w:p>
      <w:pPr>
        <w:pStyle w:val="CardField"/>
      </w:pPr>
      <w:r>
        <w:rPr>
          <w:b/>
          <w:bCs/>
        </w:rPr>
        <w:t xml:space="preserve">Who &amp; When:</w:t>
      </w:r>
      <w:r>
        <w:t xml:space="preserve"> </w:t>
      </w:r>
      <w:r>
        <w:t xml:space="preserve">SemiAnalysis (semiconductor and AI infrastructure analysts), September 2026.</w:t>
      </w:r>
    </w:p>
    <w:p>
      <w:pPr>
        <w:pStyle w:val="CardField"/>
      </w:pPr>
      <w:r>
        <w:rPr>
          <w:b/>
          <w:bCs/>
        </w:rPr>
        <w:t xml:space="preserve">Methodology:</w:t>
      </w:r>
      <w:r>
        <w:t xml:space="preserve"> </w:t>
      </w:r>
      <w:r>
        <w:t xml:space="preserve">Database of more than 400 local instruments (moratoria, bans, proposals) in 17 states, matched parcel by parcel against about 3,500 projects.</w:t>
      </w:r>
    </w:p>
    <w:p>
      <w:pPr>
        <w:pStyle w:val="CardField"/>
      </w:pPr>
      <w:r>
        <w:rPr>
          <w:b/>
          <w:bCs/>
        </w:rPr>
        <w:t xml:space="preserve">Context &amp; Classification:</w:t>
      </w:r>
      <w:r>
        <w:t xml:space="preserve"> </w:t>
      </w:r>
      <w:r>
        <w:t xml:space="preserve">Industry-friendly analysis house → double-edged source.</w:t>
      </w:r>
    </w:p>
    <w:p>
      <w:pPr>
        <w:pStyle w:val="CardField"/>
      </w:pPr>
      <w:r>
        <w:rPr>
          <w:b/>
          <w:bCs/>
        </w:rPr>
        <w:t xml:space="preserve">Key Takeaways:</w:t>
      </w:r>
      <w:r>
        <w:t xml:space="preserve"> </w:t>
      </w:r>
      <w:r>
        <w:t xml:space="preserve">More than 300 local moratoria and bans. Only about 2.3 GW of planned capacity is genuinely delayed by local moratoria (plus New York’s executive order); most are passed preemptively and contain loopholes.</w:t>
      </w:r>
    </w:p>
    <w:p>
      <w:pPr>
        <w:pStyle w:val="CardField"/>
      </w:pPr>
      <w:r>
        <w:rPr>
          <w:b/>
          <w:bCs/>
        </w:rPr>
        <w:t xml:space="preserve">Potential Counterpoints/Vulnerabilities:</w:t>
      </w:r>
      <w:r>
        <w:t xml:space="preserve"> </w:t>
      </w:r>
      <w:r>
        <w:t xml:space="preserve">⚠ Contra can use this source: “Moratoria are ineffective.” → Our answer: local moratoria are ineffective because they are a patchwork full of loopholes, which is exactly why a federal one is needed. In the speech only use the count (300+), not the GW figure.</w:t>
      </w:r>
    </w:p>
    <w:p>
      <w:pPr>
        <w:pStyle w:val="CardField"/>
      </w:pPr>
      <w:r>
        <w:rPr>
          <w:b/>
          <w:bCs/>
        </w:rPr>
        <w:t xml:space="preserve">Verification:</w:t>
      </w:r>
      <w:r>
        <w:t xml:space="preserve"> </w:t>
      </w:r>
      <w:r>
        <w:t xml:space="preserve">✔ via search excerpts; ⚠ secondary sources disagree on the number of affected projects (3 vs. 6).</w:t>
      </w:r>
    </w:p>
    <w:p>
      <w:pPr>
        <w:pStyle w:val="CardField"/>
      </w:pPr>
      <w:r>
        <w:rPr>
          <w:b/>
          <w:bCs/>
        </w:rPr>
        <w:t xml:space="preserve">Addition (P5):</w:t>
      </w:r>
      <w:r>
        <w:t xml:space="preserve"> </w:t>
      </w:r>
      <w:r>
        <w:t xml:space="preserve">About 20 GW of planned capacity lies inside areas with a local moratorium, but only about 1.5 GW of it is delayed. New York’s executive order affects about 1.4 GW, of which about 0.8 GW faces a real delay. Together that makes about 2.3 GW.</w:t>
      </w:r>
    </w:p>
    <w:p>
      <w:pPr>
        <w:pStyle w:val="CardField"/>
      </w:pPr>
      <w:r>
        <w:rPr>
          <w:b/>
          <w:bCs/>
        </w:rPr>
        <w:t xml:space="preserve">Link:</w:t>
      </w:r>
      <w:r>
        <w:t xml:space="preserve"> </w:t>
      </w:r>
      <w:hyperlink r:id="rId215" w:history="1">
        <w:r>
          <w:rPr>
            <w:rStyle w:val="Hyperlink"/>
          </w:rPr>
          <w:t xml:space="preserve">https://newsletter.semianalysis.com/p/everyone-says-datacenter-moratoriums</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5" w:history="1">
        <w:r>
          <w:rPr>
            <w:rStyle w:val="NavLinkChar"/>
          </w:rPr>
          <w:t xml:space="preserve">P5</w:t>
        </w:r>
      </w:hyperlink>
    </w:p>
    <w:bookmarkEnd w:id="216"/>
    <w:bookmarkStart w:id="219" w:name="src-S36"/>
    <w:p>
      <w:pPr>
        <w:pStyle w:val="Heading2"/>
      </w:pPr>
      <w:r>
        <w:t xml:space="preserve">S36 – Sanders/Ocasio-Cortez: “Artificial Intelligence Data Center Moratorium Act” (background card)</w:t>
      </w:r>
    </w:p>
    <w:p>
      <w:pPr>
        <w:pStyle w:val="CardField"/>
      </w:pPr>
      <w:r>
        <w:rPr>
          <w:b/>
          <w:bCs/>
        </w:rPr>
        <w:t xml:space="preserve">Who &amp; When:</w:t>
      </w:r>
      <w:r>
        <w:t xml:space="preserve"> </w:t>
      </w:r>
      <w:r>
        <w:t xml:space="preserve">Sen. Bernie Sanders, S. 4214, introduced March 25, 2026; House companion by Rep. Alexandria Ocasio-Cortez, H.R. 9442, June 24, 2026.</w:t>
      </w:r>
    </w:p>
    <w:p>
      <w:pPr>
        <w:pStyle w:val="CardField"/>
      </w:pPr>
      <w:r>
        <w:rPr>
          <w:b/>
          <w:bCs/>
        </w:rPr>
        <w:t xml:space="preserve">Key Takeaways:</w:t>
      </w:r>
      <w:r>
        <w:t xml:space="preserve"> </w:t>
      </w:r>
      <w:r>
        <w:t xml:space="preserve">A conditional moratorium (not time-limited) on AI data centers above 20 MW (plus ≥ 20 kW per rack or liquid cooling). It lasts until Congress passes laws covering, among other things, utility bills, the environment, community approval, subsidies and worker protections, as well as pre-release review of AI products. Status: stalled at introduction; little chance of passage.</w:t>
      </w:r>
    </w:p>
    <w:p>
      <w:pPr>
        <w:pStyle w:val="CardField"/>
      </w:pPr>
      <w:r>
        <w:rPr>
          <w:b/>
          <w:bCs/>
        </w:rPr>
        <w:t xml:space="preserve">Potential Counterpoints/Vulnerabilities:</w:t>
      </w:r>
      <w:r>
        <w:t xml:space="preserve"> </w:t>
      </w:r>
      <w:r>
        <w:t xml:space="preserve">⚠ Don’t adopt this bill as your model. It ties the moratorium to AI product review and union requirements, which is a big target. Our version is narrower: three conditions directly about data centers. Use: proof that a conditional federal moratorium is a real legislative design. Also expect Contra to bring it up.</w:t>
      </w:r>
    </w:p>
    <w:p>
      <w:pPr>
        <w:pStyle w:val="CardField"/>
      </w:pPr>
      <w:r>
        <w:rPr>
          <w:b/>
          <w:bCs/>
        </w:rPr>
        <w:t xml:space="preserve">Links:</w:t>
      </w:r>
    </w:p>
    <w:p>
      <w:pPr>
        <w:pStyle w:val="CardList"/>
        <w:numPr>
          <w:ilvl w:val="0"/>
          <w:numId w:val="1121"/>
        </w:numPr>
      </w:pPr>
      <w:hyperlink r:id="rId217" w:history="1">
        <w:r>
          <w:rPr>
            <w:rStyle w:val="Hyperlink"/>
          </w:rPr>
          <w:t xml:space="preserve">https://www.sanders.senate.gov/press-releases/news-sanders-ocasio-cortez-announce-ai-data-center-moratorium-act/</w:t>
        </w:r>
      </w:hyperlink>
    </w:p>
    <w:p>
      <w:pPr>
        <w:pStyle w:val="CardList"/>
        <w:numPr>
          <w:ilvl w:val="0"/>
          <w:numId w:val="1121"/>
        </w:numPr>
      </w:pPr>
      <w:hyperlink r:id="rId218" w:history="1">
        <w:r>
          <w:rPr>
            <w:rStyle w:val="Hyperlink"/>
          </w:rPr>
          <w:t xml:space="preserve">https://www.axios.com/2026/03/25/sanders-aoc-data-center-moratorium-bill</w:t>
        </w:r>
      </w:hyperlink>
    </w:p>
    <w:p>
      <w:pPr>
        <w:pStyle w:val="CardField"/>
      </w:pPr>
      <w:r>
        <w:rPr>
          <w:b/>
          <w:bCs/>
        </w:rPr>
        <w:t xml:space="preserve">Used:</w:t>
      </w:r>
      <w:r>
        <w:t xml:space="preserve"> </w:t>
      </w:r>
      <w:hyperlink w:anchor="a1" w:history="1">
        <w:r>
          <w:rPr>
            <w:rStyle w:val="NavLinkChar"/>
          </w:rPr>
          <w:t xml:space="preserve">A1</w:t>
        </w:r>
      </w:hyperlink>
      <w:r>
        <w:t xml:space="preserve">,</w:t>
      </w:r>
      <w:r>
        <w:t xml:space="preserve"> </w:t>
      </w:r>
      <w:hyperlink w:anchor="a5" w:history="1">
        <w:r>
          <w:rPr>
            <w:rStyle w:val="NavLinkChar"/>
          </w:rPr>
          <w:t xml:space="preserve">A5</w:t>
        </w:r>
      </w:hyperlink>
      <w:r>
        <w:t xml:space="preserve">,</w:t>
      </w:r>
      <w:r>
        <w:t xml:space="preserve"> </w:t>
      </w:r>
      <w:hyperlink w:anchor="p5" w:history="1">
        <w:r>
          <w:rPr>
            <w:rStyle w:val="NavLinkChar"/>
          </w:rPr>
          <w:t xml:space="preserve">P5</w:t>
        </w:r>
      </w:hyperlink>
    </w:p>
    <w:bookmarkEnd w:id="219"/>
    <w:bookmarkStart w:id="223" w:name="src-S37"/>
    <w:p>
      <w:pPr>
        <w:pStyle w:val="Heading2"/>
      </w:pPr>
      <w:r>
        <w:t xml:space="preserve">S37 – Fayette County, Georgia: QTS "Project Excalibur" – water not billed</w:t>
      </w:r>
    </w:p>
    <w:p>
      <w:pPr>
        <w:pStyle w:val="CardField"/>
      </w:pPr>
      <w:r>
        <w:rPr>
          <w:b/>
          <w:bCs/>
        </w:rPr>
        <w:t xml:space="preserve">Who &amp; When:</w:t>
      </w:r>
      <w:r>
        <w:t xml:space="preserve"> </w:t>
      </w:r>
      <w:r>
        <w:t xml:space="preserve">Original reporting by Politico (2026); Fortune (May 13, 2026); Atlanta Tribune (July 16, 2026); TechSpot; a public statement by Fayette County.</w:t>
      </w:r>
    </w:p>
    <w:p>
      <w:pPr>
        <w:pStyle w:val="CardField"/>
      </w:pPr>
      <w:r>
        <w:rPr>
          <w:b/>
          <w:bCs/>
        </w:rPr>
        <w:t xml:space="preserve">Origin:</w:t>
      </w:r>
      <w:r>
        <w:t xml:space="preserve"> </w:t>
      </w:r>
      <w:r>
        <w:t xml:space="preserve">Investigative reporting based on a 2025 county letter obtained through a public records request, plus the county's later statement.</w:t>
      </w:r>
    </w:p>
    <w:p>
      <w:pPr>
        <w:pStyle w:val="CardField"/>
      </w:pPr>
      <w:r>
        <w:rPr>
          <w:b/>
          <w:bCs/>
        </w:rPr>
        <w:t xml:space="preserve">Context &amp; Classification:</w:t>
      </w:r>
      <w:r>
        <w:t xml:space="preserve"> </w:t>
      </w:r>
      <w:r>
        <w:t xml:space="preserve">QTS campus in Fayetteville: 615 acres, 16 buildings, 6.6 million sq ft, about 250 MW → hyperscale.</w:t>
      </w:r>
    </w:p>
    <w:p>
      <w:pPr>
        <w:pStyle w:val="CardField"/>
      </w:pPr>
      <w:r>
        <w:rPr>
          <w:b/>
          <w:bCs/>
        </w:rPr>
        <w:t xml:space="preserve">Key Takeaways:</w:t>
      </w:r>
    </w:p>
    <w:p>
      <w:pPr>
        <w:pStyle w:val="CardList"/>
        <w:numPr>
          <w:ilvl w:val="0"/>
          <w:numId w:val="1122"/>
        </w:numPr>
      </w:pPr>
      <w:r>
        <w:t xml:space="preserve">During a drought, residents were asked to save water; residents reported low water pressure.</w:t>
      </w:r>
    </w:p>
    <w:p>
      <w:pPr>
        <w:pStyle w:val="CardList"/>
        <w:numPr>
          <w:ilvl w:val="0"/>
          <w:numId w:val="1122"/>
        </w:numPr>
      </w:pPr>
      <w:r>
        <w:t xml:space="preserve">More than 29 million gallons went through two large QTS connections that were not billed.</w:t>
      </w:r>
    </w:p>
    <w:p>
      <w:pPr>
        <w:pStyle w:val="CardList"/>
        <w:numPr>
          <w:ilvl w:val="0"/>
          <w:numId w:val="1122"/>
        </w:numPr>
      </w:pPr>
      <w:r>
        <w:rPr>
          <w:b/>
          <w:bCs/>
        </w:rPr>
        <w:t xml:space="preserve">Cause:</w:t>
      </w:r>
      <w:r>
        <w:t xml:space="preserve"> </w:t>
      </w:r>
      <w:r>
        <w:t xml:space="preserve">according to the county's latest statement, some meters were not connected to the billing system during the switch to "smart meters". An earlier county letter called the connections unauthorized; the county later said the letter was "unclear".</w:t>
      </w:r>
    </w:p>
    <w:p>
      <w:pPr>
        <w:pStyle w:val="CardList"/>
        <w:numPr>
          <w:ilvl w:val="0"/>
          <w:numId w:val="1122"/>
        </w:numPr>
      </w:pPr>
      <w:r>
        <w:t xml:space="preserve">Retroactive bill of $147,474 (2025 letter); QTS paid; no fine.</w:t>
      </w:r>
    </w:p>
    <w:p>
      <w:pPr>
        <w:pStyle w:val="CardList"/>
        <w:numPr>
          <w:ilvl w:val="0"/>
          <w:numId w:val="1122"/>
        </w:numPr>
      </w:pPr>
      <w:r>
        <w:t xml:space="preserve">Unbilled period: about 4 months (county water director Vanessa Tigert) vs. 9–15 months (QTS).</w:t>
      </w:r>
    </w:p>
    <w:p>
      <w:pPr>
        <w:pStyle w:val="CardList"/>
        <w:numPr>
          <w:ilvl w:val="0"/>
          <w:numId w:val="1122"/>
        </w:numPr>
      </w:pPr>
      <w:r>
        <w:t xml:space="preserve">QTS says the water was used for construction and had no effect on residents' water pressure.</w:t>
      </w:r>
    </w:p>
    <w:p>
      <w:pPr>
        <w:pStyle w:val="CardField"/>
      </w:pPr>
      <w:r>
        <w:rPr>
          <w:b/>
          <w:bCs/>
        </w:rPr>
        <w:t xml:space="preserve">Potential Counterpoints/Vulnerabilities:</w:t>
      </w:r>
      <w:r>
        <w:t xml:space="preserve"> </w:t>
      </w:r>
      <w:r>
        <w:t xml:space="preserve">"A billing error, not theft." → Correct. Our point: the largest user drew water unmetered during a drought, and it only came out because residents complained and the records were requested.</w:t>
      </w:r>
    </w:p>
    <w:p>
      <w:pPr>
        <w:pStyle w:val="CardField"/>
      </w:pPr>
      <w:r>
        <w:rPr>
          <w:b/>
          <w:bCs/>
        </w:rPr>
        <w:t xml:space="preserve">Verification:</w:t>
      </w:r>
      <w:r>
        <w:t xml:space="preserve"> </w:t>
      </w:r>
      <w:r>
        <w:t xml:space="preserve">✔ via several excerpts. ⚠ The Politico original was not opened.</w:t>
      </w:r>
    </w:p>
    <w:p>
      <w:pPr>
        <w:pStyle w:val="CardField"/>
      </w:pPr>
      <w:r>
        <w:rPr>
          <w:b/>
          <w:bCs/>
        </w:rPr>
        <w:t xml:space="preserve">Links:</w:t>
      </w:r>
    </w:p>
    <w:p>
      <w:pPr>
        <w:pStyle w:val="CardList"/>
        <w:numPr>
          <w:ilvl w:val="0"/>
          <w:numId w:val="1123"/>
        </w:numPr>
      </w:pPr>
      <w:hyperlink r:id="rId220" w:history="1">
        <w:r>
          <w:rPr>
            <w:rStyle w:val="Hyperlink"/>
          </w:rPr>
          <w:t xml:space="preserve">https://fortune.com/2026/05/13/data-center-georgia-arizona-water-wars/</w:t>
        </w:r>
      </w:hyperlink>
    </w:p>
    <w:p>
      <w:pPr>
        <w:pStyle w:val="CardList"/>
        <w:numPr>
          <w:ilvl w:val="0"/>
          <w:numId w:val="1123"/>
        </w:numPr>
      </w:pPr>
      <w:hyperlink r:id="rId221" w:history="1">
        <w:r>
          <w:rPr>
            <w:rStyle w:val="Hyperlink"/>
          </w:rPr>
          <w:t xml:space="preserve">https://atlantatribune.com/2026/07/16/data-center-in-fayetteville-investigated-for-water-usage/</w:t>
        </w:r>
      </w:hyperlink>
    </w:p>
    <w:p>
      <w:pPr>
        <w:pStyle w:val="CardList"/>
        <w:numPr>
          <w:ilvl w:val="0"/>
          <w:numId w:val="1123"/>
        </w:numPr>
      </w:pPr>
      <w:hyperlink r:id="rId222" w:history="1">
        <w:r>
          <w:rPr>
            <w:rStyle w:val="Hyperlink"/>
          </w:rPr>
          <w:t xml:space="preserve">https://www.techspot.com/news/112356-data-center-used-29-million-gallons-water-without.html</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4" w:history="1">
        <w:r>
          <w:rPr>
            <w:rStyle w:val="NavLinkChar"/>
          </w:rPr>
          <w:t xml:space="preserve">P4</w:t>
        </w:r>
      </w:hyperlink>
    </w:p>
    <w:bookmarkEnd w:id="223"/>
    <w:bookmarkStart w:id="227" w:name="src-S38"/>
    <w:p>
      <w:pPr>
        <w:pStyle w:val="Heading2"/>
      </w:pPr>
      <w:r>
        <w:t xml:space="preserve">S38 – Southaven, Mississippi: class action against xAI over turbine noise</w:t>
      </w:r>
    </w:p>
    <w:p>
      <w:pPr>
        <w:pStyle w:val="CardField"/>
      </w:pPr>
      <w:r>
        <w:rPr>
          <w:b/>
          <w:bCs/>
        </w:rPr>
        <w:t xml:space="preserve">Who &amp; When:</w:t>
      </w:r>
      <w:r>
        <w:t xml:space="preserve"> </w:t>
      </w:r>
      <w:r>
        <w:t xml:space="preserve">Reuters (Mike Scarcella), June 9, 2026: "Musk's xAI, SpaceX hit with class action over data center nuisance" (syndicated, e.g. KFGO); Mississippi Free Press, June 2026; CBS News, 2026: "Mississippi homeowners blame a noisy data center plant for sleepless nights. The mayor's advice? 'Consider selling.'"</w:t>
      </w:r>
    </w:p>
    <w:p>
      <w:pPr>
        <w:pStyle w:val="CardField"/>
      </w:pPr>
      <w:r>
        <w:rPr>
          <w:b/>
          <w:bCs/>
        </w:rPr>
        <w:t xml:space="preserve">Origin:</w:t>
      </w:r>
      <w:r>
        <w:t xml:space="preserve"> </w:t>
      </w:r>
      <w:r>
        <w:t xml:space="preserve">Court reporting (complaint filed June 8, 2026, U.S. District Court, Northern District of Mississippi) plus CBS reporting, including the mayor's email.</w:t>
      </w:r>
    </w:p>
    <w:p>
      <w:pPr>
        <w:pStyle w:val="CardField"/>
      </w:pPr>
      <w:r>
        <w:rPr>
          <w:b/>
          <w:bCs/>
        </w:rPr>
        <w:t xml:space="preserve">Context &amp; Classification:</w:t>
      </w:r>
      <w:r>
        <w:t xml:space="preserve"> </w:t>
      </w:r>
      <w:r>
        <w:t xml:space="preserve">The plant powers xAI's (now "SpaceXAI") data centers in the Memphis area. In March 2026 the state permit board approved 41 permanent turbines despite unanimous opposition at the hearing.</w:t>
      </w:r>
    </w:p>
    <w:p>
      <w:pPr>
        <w:pStyle w:val="CardField"/>
      </w:pPr>
      <w:r>
        <w:rPr>
          <w:b/>
          <w:bCs/>
        </w:rPr>
        <w:t xml:space="preserve">Key Takeaways:</w:t>
      </w:r>
      <w:r>
        <w:t xml:space="preserve"> </w:t>
      </w:r>
      <w:r>
        <w:t xml:space="preserve">Plaintiffs Jason Haley, Preston Herrington and Taylor Logsdon live within a mile of the plant. They allege "near-constant noise, vibrations" causing lost sleep, anxiety, irritability and tinnitus; more than 10,000 residents live in the affected area. In a March 2026 email, Mayor Darren Musselwhite suggested to Haley that he might consider selling his home, citing the company's plans to house employees. According to the Mississippi Free Press, xAI offered to buy out residents who agree not to sue. MZX (an xAI subsidiary) denies all allegations; the company says it is investing millions in sound walls and silencers.</w:t>
      </w:r>
    </w:p>
    <w:p>
      <w:pPr>
        <w:pStyle w:val="CardField"/>
      </w:pPr>
      <w:r>
        <w:rPr>
          <w:b/>
          <w:bCs/>
        </w:rPr>
        <w:t xml:space="preserve">Potential Counterpoints/Vulnerabilities:</w:t>
      </w:r>
      <w:r>
        <w:t xml:space="preserve"> </w:t>
      </w:r>
      <w:r>
        <w:t xml:space="preserve">"CBS footage showed only 58 dB outdoors." → The complaint is about a low-frequency hum and vibrations that are worst at night; a single outdoor reading doesn't capture that. "The temporary turbines will be removed." → People live with the noise now, and the permit came after the turbines.</w:t>
      </w:r>
    </w:p>
    <w:p>
      <w:pPr>
        <w:pStyle w:val="CardField"/>
      </w:pPr>
      <w:r>
        <w:rPr>
          <w:b/>
          <w:bCs/>
        </w:rPr>
        <w:t xml:space="preserve">Original Quote:</w:t>
      </w:r>
      <w:r>
        <w:t xml:space="preserve"> </w:t>
      </w:r>
      <w:r>
        <w:t xml:space="preserve">"near-constant noise, vibrations and other nuisance-level harms" (complaint, as quoted by the Mississippi Free Press); "consider selling" (Mayor Musselwhite, via CBS News).</w:t>
      </w:r>
    </w:p>
    <w:p>
      <w:pPr>
        <w:pStyle w:val="CardField"/>
      </w:pPr>
      <w:r>
        <w:rPr>
          <w:b/>
          <w:bCs/>
        </w:rPr>
        <w:t xml:space="preserve">Verification:</w:t>
      </w:r>
      <w:r>
        <w:t xml:space="preserve"> </w:t>
      </w:r>
      <w:r>
        <w:t xml:space="preserve">✔ via several search excerpts (Reuters syndication, Mississippi Free Press, CBS); ⚠ check the exact wording of the mayor's email in the CBS original.</w:t>
      </w:r>
    </w:p>
    <w:p>
      <w:pPr>
        <w:pStyle w:val="CardField"/>
      </w:pPr>
      <w:r>
        <w:rPr>
          <w:b/>
          <w:bCs/>
        </w:rPr>
        <w:t xml:space="preserve">Links:</w:t>
      </w:r>
    </w:p>
    <w:p>
      <w:pPr>
        <w:pStyle w:val="CardList"/>
        <w:numPr>
          <w:ilvl w:val="0"/>
          <w:numId w:val="1124"/>
        </w:numPr>
      </w:pPr>
      <w:hyperlink r:id="rId224" w:history="1">
        <w:r>
          <w:rPr>
            <w:rStyle w:val="Hyperlink"/>
          </w:rPr>
          <w:t xml:space="preserve">https://kfgo.com/2026/06/09/musks-xai-spacex-hit-with-class-action-over-data-center-nuisance/</w:t>
        </w:r>
      </w:hyperlink>
    </w:p>
    <w:p>
      <w:pPr>
        <w:pStyle w:val="CardList"/>
        <w:numPr>
          <w:ilvl w:val="0"/>
          <w:numId w:val="1124"/>
        </w:numPr>
      </w:pPr>
      <w:hyperlink r:id="rId225" w:history="1">
        <w:r>
          <w:rPr>
            <w:rStyle w:val="Hyperlink"/>
          </w:rPr>
          <w:t xml:space="preserve">https://www.mississippifreepress.org/southaven-residents-sue-xai-alleging-near-constant-noise-from-gas-turbines-is-causing-harm/</w:t>
        </w:r>
      </w:hyperlink>
    </w:p>
    <w:p>
      <w:pPr>
        <w:pStyle w:val="CardList"/>
        <w:numPr>
          <w:ilvl w:val="0"/>
          <w:numId w:val="1124"/>
        </w:numPr>
      </w:pPr>
      <w:hyperlink r:id="rId226" w:history="1">
        <w:r>
          <w:rPr>
            <w:rStyle w:val="Hyperlink"/>
          </w:rPr>
          <w:t xml:space="preserve">https://www.cbsnews.com/news/mississippi-elon-musk-xai-data-center-power-plant-noise/</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7" w:history="1">
        <w:r>
          <w:rPr>
            <w:rStyle w:val="NavLinkChar"/>
          </w:rPr>
          <w:t xml:space="preserve">P7</w:t>
        </w:r>
      </w:hyperlink>
      <w:r>
        <w:t xml:space="preserve"> </w:t>
      </w:r>
      <w:r>
        <w:t xml:space="preserve">· Contra arguments (Part D): C1</w:t>
      </w:r>
    </w:p>
    <w:bookmarkEnd w:id="227"/>
    <w:bookmarkStart w:id="230" w:name="src-S39"/>
    <w:p>
      <w:pPr>
        <w:pStyle w:val="Heading2"/>
      </w:pPr>
      <w:r>
        <w:t xml:space="preserve">S39 – CBS News: the Polk family in Southaven</w:t>
      </w:r>
    </w:p>
    <w:p>
      <w:pPr>
        <w:pStyle w:val="CardField"/>
      </w:pPr>
      <w:r>
        <w:rPr>
          <w:b/>
          <w:bCs/>
        </w:rPr>
        <w:t xml:space="preserve">Who &amp; When:</w:t>
      </w:r>
      <w:r>
        <w:t xml:space="preserve"> </w:t>
      </w:r>
      <w:r>
        <w:t xml:space="preserve">CBS News, early October 2026: "Elon Musk's data centers are pushing out a family that's owned land since 'before people of color were allowed to'"; background from the Mississippi Free Press ("As Musk's xAI Data Centers Encroach on Southaven, North Mississippi Residents Push Back").</w:t>
      </w:r>
    </w:p>
    <w:p>
      <w:pPr>
        <w:pStyle w:val="CardField"/>
      </w:pPr>
      <w:r>
        <w:rPr>
          <w:b/>
          <w:bCs/>
        </w:rPr>
        <w:t xml:space="preserve">Origin:</w:t>
      </w:r>
      <w:r>
        <w:t xml:space="preserve"> </w:t>
      </w:r>
      <w:r>
        <w:t xml:space="preserve">Reporting with an interview (Krystal Polk).</w:t>
      </w:r>
    </w:p>
    <w:p>
      <w:pPr>
        <w:pStyle w:val="CardField"/>
      </w:pPr>
      <w:r>
        <w:rPr>
          <w:b/>
          <w:bCs/>
        </w:rPr>
        <w:t xml:space="preserve">Context &amp; Classification:</w:t>
      </w:r>
      <w:r>
        <w:t xml:space="preserve"> </w:t>
      </w:r>
      <w:r>
        <w:t xml:space="preserve">A family property of about 2 acres (some reports say about 2.5) in Southaven near the Tennessee line. According to the Mississippi Free Press, the house was built long before the city zoned the area for industrial use.</w:t>
      </w:r>
    </w:p>
    <w:p>
      <w:pPr>
        <w:pStyle w:val="CardField"/>
      </w:pPr>
      <w:r>
        <w:rPr>
          <w:b/>
          <w:bCs/>
        </w:rPr>
        <w:t xml:space="preserve">Key Takeaways:</w:t>
      </w:r>
      <w:r>
        <w:t xml:space="preserve"> </w:t>
      </w:r>
      <w:r>
        <w:t xml:space="preserve">Owned by the family for four generations (livestock, growing their own food). A year ago a power plant for xAI's data centers went up across the street, so loud that the family moved away; the land now sits mostly empty. A petition by the residents' Safe and Sound Coalition has more than 1,400 signatures. SpaceXAI says it is investing millions in sound walls; residents say one wall has brought little relief.</w:t>
      </w:r>
    </w:p>
    <w:p>
      <w:pPr>
        <w:pStyle w:val="CardField"/>
      </w:pPr>
      <w:r>
        <w:rPr>
          <w:b/>
          <w:bCs/>
        </w:rPr>
        <w:t xml:space="preserve">Potential Counterpoints/Vulnerabilities:</w:t>
      </w:r>
      <w:r>
        <w:t xml:space="preserve"> </w:t>
      </w:r>
      <w:r>
        <w:t xml:space="preserve">"One family is an anecdote." → It is part of a pattern: more than 10,000 people live in the affected area (S38). "The area is zoned industrial." → The family was there first.</w:t>
      </w:r>
    </w:p>
    <w:p>
      <w:pPr>
        <w:pStyle w:val="CardField"/>
      </w:pPr>
      <w:r>
        <w:rPr>
          <w:b/>
          <w:bCs/>
        </w:rPr>
        <w:t xml:space="preserve">Original Quote:</w:t>
      </w:r>
      <w:r>
        <w:t xml:space="preserve"> </w:t>
      </w:r>
      <w:r>
        <w:t xml:space="preserve">"before people of color were allowed to have land" (Krystal Polk)</w:t>
      </w:r>
    </w:p>
    <w:p>
      <w:pPr>
        <w:pStyle w:val="CardField"/>
      </w:pPr>
      <w:r>
        <w:rPr>
          <w:b/>
          <w:bCs/>
        </w:rPr>
        <w:t xml:space="preserve">Verification:</w:t>
      </w:r>
      <w:r>
        <w:t xml:space="preserve"> </w:t>
      </w:r>
      <w:r>
        <w:t xml:space="preserve">✔ via search excerpts of the CBS article; ⚠ check the exact publication date and quote wording.</w:t>
      </w:r>
    </w:p>
    <w:p>
      <w:pPr>
        <w:pStyle w:val="CardField"/>
      </w:pPr>
      <w:r>
        <w:rPr>
          <w:b/>
          <w:bCs/>
        </w:rPr>
        <w:t xml:space="preserve">Links:</w:t>
      </w:r>
    </w:p>
    <w:p>
      <w:pPr>
        <w:pStyle w:val="CardList"/>
        <w:numPr>
          <w:ilvl w:val="0"/>
          <w:numId w:val="1125"/>
        </w:numPr>
      </w:pPr>
      <w:hyperlink r:id="rId228" w:history="1">
        <w:r>
          <w:rPr>
            <w:rStyle w:val="Hyperlink"/>
          </w:rPr>
          <w:t xml:space="preserve">https://www.cbsnews.com/news/elon-musk-data-centers-mississippi-family/</w:t>
        </w:r>
      </w:hyperlink>
    </w:p>
    <w:p>
      <w:pPr>
        <w:pStyle w:val="CardList"/>
        <w:numPr>
          <w:ilvl w:val="0"/>
          <w:numId w:val="1125"/>
        </w:numPr>
      </w:pPr>
      <w:hyperlink r:id="rId229" w:history="1">
        <w:r>
          <w:rPr>
            <w:rStyle w:val="Hyperlink"/>
          </w:rPr>
          <w:t xml:space="preserve">https://www.mississippifreepress.org/as-musks-xai-data-centers-encroach-on-southaven-north-mississippi-residents-push-back/</w:t>
        </w:r>
      </w:hyperlink>
    </w:p>
    <w:p>
      <w:pPr>
        <w:pStyle w:val="CardField"/>
      </w:pPr>
      <w:r>
        <w:rPr>
          <w:b/>
          <w:bCs/>
        </w:rPr>
        <w:t xml:space="preserve">Used:</w:t>
      </w:r>
      <w:r>
        <w:t xml:space="preserve"> </w:t>
      </w:r>
      <w:hyperlink w:anchor="b1" w:history="1">
        <w:r>
          <w:rPr>
            <w:rStyle w:val="NavLinkChar"/>
          </w:rPr>
          <w:t xml:space="preserve">B1</w:t>
        </w:r>
      </w:hyperlink>
      <w:r>
        <w:t xml:space="preserve"> </w:t>
      </w:r>
      <w:r>
        <w:t xml:space="preserve">· Contra arguments (Part D): C1</w:t>
      </w:r>
    </w:p>
    <w:bookmarkEnd w:id="230"/>
    <w:bookmarkStart w:id="234" w:name="src-S40"/>
    <w:p>
      <w:pPr>
        <w:pStyle w:val="Heading2"/>
      </w:pPr>
      <w:r>
        <w:t xml:space="preserve">S40 – xAI Colossus, Memphis: size and power (TVA approval)</w:t>
      </w:r>
    </w:p>
    <w:p>
      <w:pPr>
        <w:pStyle w:val="CardField"/>
      </w:pPr>
      <w:r>
        <w:rPr>
          <w:b/>
          <w:bCs/>
        </w:rPr>
        <w:t xml:space="preserve">Who &amp; When:</w:t>
      </w:r>
      <w:r>
        <w:t xml:space="preserve"> </w:t>
      </w:r>
      <w:r>
        <w:t xml:space="preserve">Data Center Dynamics (Nov. 2024), “xAI Colossus Memphis power TVA”; Renewable Energy World, “TVA approves Elon Musk’s controversial data center plan for more power”; TVA board meeting, Nov. 7, 2024.</w:t>
      </w:r>
    </w:p>
    <w:p>
      <w:pPr>
        <w:pStyle w:val="CardField"/>
      </w:pPr>
      <w:r>
        <w:rPr>
          <w:b/>
          <w:bCs/>
        </w:rPr>
        <w:t xml:space="preserve">Origin:</w:t>
      </w:r>
      <w:r>
        <w:t xml:space="preserve"> </w:t>
      </w:r>
      <w:r>
        <w:t xml:space="preserve">Reporting on the decision by the Tennessee Valley Authority (TVA) board, following a request from the Memphis utility MLGW.</w:t>
      </w:r>
    </w:p>
    <w:p>
      <w:pPr>
        <w:pStyle w:val="CardField"/>
      </w:pPr>
      <w:r>
        <w:rPr>
          <w:b/>
          <w:bCs/>
        </w:rPr>
        <w:t xml:space="preserve">Context &amp; Classification:</w:t>
      </w:r>
      <w:r>
        <w:t xml:space="preserve"> </w:t>
      </w:r>
      <w:r>
        <w:t xml:space="preserve">The site is the former Electrolux factory at 3231 Paul R. Lowry Road, Memphis, in operation since June 2024. xAI’s second site is a building of about 1 million sq ft on Tulane Road (DCD).</w:t>
      </w:r>
    </w:p>
    <w:p>
      <w:pPr>
        <w:pStyle w:val="CardField"/>
      </w:pPr>
      <w:r>
        <w:rPr>
          <w:b/>
          <w:bCs/>
        </w:rPr>
        <w:t xml:space="preserve">Key Takeaways:</w:t>
      </w:r>
      <w:r>
        <w:t xml:space="preserve"> </w:t>
      </w:r>
      <w:r>
        <w:t xml:space="preserve">TVA approved 150 MW. Before that the site had 8 MW, upgraded to 50 MW in summer 2024. 150 MW is roughly what is needed to run all 100,000 GPUs at the same time (estimate: about 155 MW). Musk announced a doubling to 200,000 GPUs. The Southern Environmental Law Center (SELC) criticized that TVA “rubberstamped” the request without studying the local impact (→ also useful for C2).</w:t>
      </w:r>
    </w:p>
    <w:p>
      <w:pPr>
        <w:pStyle w:val="CardField"/>
      </w:pPr>
      <w:r>
        <w:rPr>
          <w:b/>
          <w:bCs/>
        </w:rPr>
        <w:t xml:space="preserve">Potential Counterpoints/Vulnerabilities:</w:t>
      </w:r>
      <w:r>
        <w:t xml:space="preserve"> </w:t>
      </w:r>
      <w:r>
        <w:t xml:space="preserve">“IDC counts servers, not chips.” → Standard H100 servers hold 8 GPUs, so about 12,500 servers, well above 5,000. ⚠ That is my own calculation; say so openly if challenged. “785,000 sq ft” comes only from Wikipedia, so don’t use it.</w:t>
      </w:r>
    </w:p>
    <w:p>
      <w:pPr>
        <w:pStyle w:val="CardField"/>
      </w:pPr>
      <w:r>
        <w:rPr>
          <w:b/>
          <w:bCs/>
        </w:rPr>
        <w:t xml:space="preserve">Original Quote:</w:t>
      </w:r>
      <w:r>
        <w:t xml:space="preserve"> </w:t>
      </w:r>
      <w:r>
        <w:t xml:space="preserve">— (no verbatim quote needed; use the figures)</w:t>
      </w:r>
    </w:p>
    <w:p>
      <w:pPr>
        <w:pStyle w:val="CardField"/>
      </w:pPr>
      <w:r>
        <w:rPr>
          <w:b/>
          <w:bCs/>
        </w:rPr>
        <w:t xml:space="preserve">Verification:</w:t>
      </w:r>
      <w:r>
        <w:t xml:space="preserve"> </w:t>
      </w:r>
      <w:r>
        <w:t xml:space="preserve">✔ via several search excerpts (DCD, TechRadar, Renewable Energy World); ⚠ check the 150 MW in TVA’s own board minutes.</w:t>
      </w:r>
    </w:p>
    <w:p>
      <w:pPr>
        <w:pStyle w:val="CardField"/>
      </w:pPr>
      <w:r>
        <w:rPr>
          <w:b/>
          <w:bCs/>
        </w:rPr>
        <w:t xml:space="preserve">Links:</w:t>
      </w:r>
    </w:p>
    <w:p>
      <w:pPr>
        <w:pStyle w:val="CardList"/>
        <w:numPr>
          <w:ilvl w:val="0"/>
          <w:numId w:val="1126"/>
        </w:numPr>
      </w:pPr>
      <w:hyperlink r:id="rId231" w:history="1">
        <w:r>
          <w:rPr>
            <w:rStyle w:val="Hyperlink"/>
          </w:rPr>
          <w:t xml:space="preserve">https://www.datacenterdynamics.com/en/news/xai-colossus-memphis-power-tva/</w:t>
        </w:r>
      </w:hyperlink>
    </w:p>
    <w:p>
      <w:pPr>
        <w:pStyle w:val="CardList"/>
        <w:numPr>
          <w:ilvl w:val="0"/>
          <w:numId w:val="1126"/>
        </w:numPr>
      </w:pPr>
      <w:hyperlink r:id="rId232" w:history="1">
        <w:r>
          <w:rPr>
            <w:rStyle w:val="Hyperlink"/>
          </w:rPr>
          <w:t xml:space="preserve">https://www.renewableenergyworld.com/energy-business/policy-and-regulation/tva-approves-elon-musks-controversial-data-center-plan-for-more-power</w:t>
        </w:r>
      </w:hyperlink>
    </w:p>
    <w:p>
      <w:pPr>
        <w:pStyle w:val="CardList"/>
        <w:numPr>
          <w:ilvl w:val="0"/>
          <w:numId w:val="1126"/>
        </w:numPr>
      </w:pPr>
      <w:hyperlink r:id="rId233" w:history="1">
        <w:r>
          <w:rPr>
            <w:rStyle w:val="Hyperlink"/>
          </w:rPr>
          <w:t xml:space="preserve">https://www.datacenterdynamics.com/en/news/elon-musks-xai-buys-one-million-sq-ft-site-for-second-memphis-data-center/</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 </w:t>
      </w:r>
      <w:r>
        <w:t xml:space="preserve">· Contra arguments (Part D): C1</w:t>
      </w:r>
    </w:p>
    <w:bookmarkEnd w:id="234"/>
    <w:bookmarkStart w:id="237" w:name="src-S41"/>
    <w:p>
      <w:pPr>
        <w:pStyle w:val="Heading2"/>
      </w:pPr>
      <w:r>
        <w:t xml:space="preserve">S41 – Executive Order 14318: “Accelerating Federal Permitting of Data Center Infrastructure”</w:t>
      </w:r>
    </w:p>
    <w:p>
      <w:pPr>
        <w:pStyle w:val="CardField"/>
      </w:pPr>
      <w:r>
        <w:rPr>
          <w:b/>
          <w:bCs/>
        </w:rPr>
        <w:t xml:space="preserve">Who &amp; When:</w:t>
      </w:r>
      <w:r>
        <w:t xml:space="preserve"> </w:t>
      </w:r>
      <w:r>
        <w:t xml:space="preserve">President Donald J. Trump, signed July 23, 2025; Federal Register Vol. 90, No. 142, July 28, 2025 (Doc. 2025-14212).</w:t>
      </w:r>
    </w:p>
    <w:p>
      <w:pPr>
        <w:pStyle w:val="CardField"/>
      </w:pPr>
      <w:r>
        <w:rPr>
          <w:b/>
          <w:bCs/>
        </w:rPr>
        <w:t xml:space="preserve">Origin:</w:t>
      </w:r>
      <w:r>
        <w:t xml:space="preserve"> </w:t>
      </w:r>
      <w:r>
        <w:t xml:space="preserve">Primary source (executive order).</w:t>
      </w:r>
    </w:p>
    <w:p>
      <w:pPr>
        <w:pStyle w:val="CardField"/>
      </w:pPr>
      <w:r>
        <w:rPr>
          <w:b/>
          <w:bCs/>
        </w:rPr>
        <w:t xml:space="preserve">Context &amp; Classification:</w:t>
      </w:r>
      <w:r>
        <w:t xml:space="preserve"> </w:t>
      </w:r>
      <w:r>
        <w:t xml:space="preserve">Not a “hyperscale” definition as such. It is the federal government’s threshold for large AI data center projects whose permitting is fast-tracked. Useful irony: the government that fast-tracks these projects sets the threshold itself.</w:t>
      </w:r>
    </w:p>
    <w:p>
      <w:pPr>
        <w:pStyle w:val="CardField"/>
      </w:pPr>
      <w:r>
        <w:rPr>
          <w:b/>
          <w:bCs/>
        </w:rPr>
        <w:t xml:space="preserve">Key Takeaways:</w:t>
      </w:r>
      <w:r>
        <w:t xml:space="preserve"> </w:t>
      </w:r>
      <w:r>
        <w:t xml:space="preserve">“Data Center Project” means a facility that requires more than 100 MW of new load dedicated to AI inference, training, simulation or synthetic data generation. “Qualifying Project” also includes projects adding more than 100 MW of incremental load. Law-firm summaries mention a further $500 million capital spending criterion, ⚠ not confirmed in the official text.</w:t>
      </w:r>
    </w:p>
    <w:p>
      <w:pPr>
        <w:pStyle w:val="CardField"/>
      </w:pPr>
      <w:r>
        <w:rPr>
          <w:b/>
          <w:bCs/>
        </w:rPr>
        <w:t xml:space="preserve">Potential Counterpoints/Vulnerabilities:</w:t>
      </w:r>
      <w:r>
        <w:t xml:space="preserve"> </w:t>
      </w:r>
      <w:r>
        <w:t xml:space="preserve">“The EO doesn’t say ‘hyperscale’.” → Correct, which is why the speech says “the threshold the White House uses for major AI data center projects”. “Is QTS an AI campus?” → Unclear, so in the speech we apply the 100 MW threshold only to xAI.</w:t>
      </w:r>
    </w:p>
    <w:p>
      <w:pPr>
        <w:pStyle w:val="CardField"/>
      </w:pPr>
      <w:r>
        <w:rPr>
          <w:b/>
          <w:bCs/>
        </w:rPr>
        <w:t xml:space="preserve">Original Quote:</w:t>
      </w:r>
      <w:r>
        <w:t xml:space="preserve"> </w:t>
      </w:r>
      <w:r>
        <w:t xml:space="preserve">“… requires greater than 100 megawatts (MW) of new load dedicated to AI inference, training, simulation, or synthetic data generation.” ⚠ Check the wording in the Federal Register.</w:t>
      </w:r>
    </w:p>
    <w:p>
      <w:pPr>
        <w:pStyle w:val="CardField"/>
      </w:pPr>
      <w:r>
        <w:rPr>
          <w:b/>
          <w:bCs/>
        </w:rPr>
        <w:t xml:space="preserve">Links:</w:t>
      </w:r>
    </w:p>
    <w:p>
      <w:pPr>
        <w:pStyle w:val="CardList"/>
        <w:numPr>
          <w:ilvl w:val="0"/>
          <w:numId w:val="1127"/>
        </w:numPr>
      </w:pPr>
      <w:hyperlink r:id="rId235" w:history="1">
        <w:r>
          <w:rPr>
            <w:rStyle w:val="Hyperlink"/>
          </w:rPr>
          <w:t xml:space="preserve">https://www.govinfo.gov/content/pkg/FR-2025-07-28/html/2025-14212.htm</w:t>
        </w:r>
      </w:hyperlink>
    </w:p>
    <w:p>
      <w:pPr>
        <w:pStyle w:val="CardList"/>
        <w:numPr>
          <w:ilvl w:val="0"/>
          <w:numId w:val="1127"/>
        </w:numPr>
      </w:pPr>
      <w:hyperlink r:id="rId236" w:history="1">
        <w:r>
          <w:rPr>
            <w:rStyle w:val="Hyperlink"/>
          </w:rPr>
          <w:t xml:space="preserve">https://www.whitehouse.gov/presidential-actions/2025/07/accelerating-federal-permitting-of-data-center-infrastructure/</w:t>
        </w:r>
      </w:hyperlink>
    </w:p>
    <w:p>
      <w:pPr>
        <w:pStyle w:val="CardField"/>
      </w:pPr>
      <w:r>
        <w:rPr>
          <w:b/>
          <w:bCs/>
        </w:rPr>
        <w:t xml:space="preserve">Used:</w:t>
      </w:r>
      <w:r>
        <w:t xml:space="preserve"> </w:t>
      </w:r>
      <w:hyperlink w:anchor="a1" w:history="1">
        <w:r>
          <w:rPr>
            <w:rStyle w:val="NavLinkChar"/>
          </w:rPr>
          <w:t xml:space="preserve">A1</w:t>
        </w:r>
      </w:hyperlink>
      <w:r>
        <w:t xml:space="preserve">,</w:t>
      </w:r>
      <w:r>
        <w:t xml:space="preserve"> </w:t>
      </w:r>
      <w:hyperlink w:anchor="b1" w:history="1">
        <w:r>
          <w:rPr>
            <w:rStyle w:val="NavLinkChar"/>
          </w:rPr>
          <w:t xml:space="preserve">B1</w:t>
        </w:r>
      </w:hyperlink>
      <w:r>
        <w:t xml:space="preserve"> </w:t>
      </w:r>
      <w:r>
        <w:t xml:space="preserve">· Contra arguments (Part D): C1</w:t>
      </w:r>
    </w:p>
    <w:bookmarkEnd w:id="237"/>
    <w:bookmarkStart w:id="243" w:name="src-S42"/>
    <w:p>
      <w:pPr>
        <w:pStyle w:val="Heading2"/>
      </w:pPr>
      <w:r>
        <w:t xml:space="preserve">S42 – Monitoring Analytics: 2025 State of the Market Report for PJM (Vol. 1)</w:t>
      </w:r>
    </w:p>
    <w:p>
      <w:pPr>
        <w:pStyle w:val="CardField"/>
      </w:pPr>
      <w:r>
        <w:rPr>
          <w:b/>
          <w:bCs/>
        </w:rPr>
        <w:t xml:space="preserve">Who &amp; When:</w:t>
      </w:r>
      <w:r>
        <w:t xml:space="preserve"> </w:t>
      </w:r>
      <w:r>
        <w:t xml:space="preserve">Monitoring Analytics, LLC, the independent market monitor for PJM (President Joseph Bowring); released March 12, 2026; presented to the PJM Members Committee on April 24, 2026.</w:t>
      </w:r>
    </w:p>
    <w:p>
      <w:pPr>
        <w:pStyle w:val="CardField"/>
      </w:pPr>
      <w:r>
        <w:rPr>
          <w:b/>
          <w:bCs/>
        </w:rPr>
        <w:t xml:space="preserve">Methodology:</w:t>
      </w:r>
      <w:r>
        <w:t xml:space="preserve"> </w:t>
      </w:r>
      <w:r>
        <w:t xml:space="preserve">Counterfactual calculation: the auction results are recalculated without existing and forecast data center load growth (same method as S16).</w:t>
      </w:r>
    </w:p>
    <w:p>
      <w:pPr>
        <w:pStyle w:val="CardField"/>
      </w:pPr>
      <w:r>
        <w:rPr>
          <w:b/>
          <w:bCs/>
        </w:rPr>
        <w:t xml:space="preserve">Context &amp; Classification:</w:t>
      </w:r>
      <w:r>
        <w:t xml:space="preserve"> </w:t>
      </w:r>
      <w:r>
        <w:t xml:space="preserve">Official, independent oversight role, not an interest group; primary source.</w:t>
      </w:r>
    </w:p>
    <w:p>
      <w:pPr>
        <w:pStyle w:val="CardField"/>
      </w:pPr>
      <w:r>
        <w:rPr>
          <w:b/>
          <w:bCs/>
        </w:rPr>
        <w:t xml:space="preserve">Key Takeaways:</w:t>
      </w:r>
      <w:r>
        <w:t xml:space="preserve"> </w:t>
      </w:r>
      <w:r>
        <w:t xml:space="preserve">Existing and forecast data center load growth increased capacity market revenues for the 2025/26, 2026/27 and 2027/28 Base Residual Auctions by $23,100,955,341 in total (Bloomberg: about 49 % of $47.2 billion). The monitor calls data center growth the primary cause and says the accuracy of the load forecasts is “highly questionable”. Recommendation: large data centers should be required to bring their own new generation; alternatively, a fast-track interconnection process or curtailment when the grid is stressed. Total wholesale power cost in 2025: $67 billion (+54 %).</w:t>
      </w:r>
    </w:p>
    <w:p>
      <w:pPr>
        <w:pStyle w:val="CardField"/>
      </w:pPr>
      <w:r>
        <w:rPr>
          <w:b/>
          <w:bCs/>
        </w:rPr>
        <w:t xml:space="preserve">Potential Counterpoints/Vulnerabilities:</w:t>
      </w:r>
      <w:r>
        <w:t xml:space="preserve"> </w:t>
      </w:r>
      <w:r>
        <w:t xml:space="preserve">“A counterfactual is just a model.” → True, but it is calculated by the official market monitor. “The forecasts are uncertain.” → That is exactly the problem: households are paying for forecasts (S16).</w:t>
      </w:r>
    </w:p>
    <w:p>
      <w:pPr>
        <w:pStyle w:val="CardField"/>
      </w:pPr>
      <w:r>
        <w:rPr>
          <w:b/>
          <w:bCs/>
        </w:rPr>
        <w:t xml:space="preserve">Original Quote:</w:t>
      </w:r>
      <w:r>
        <w:t xml:space="preserve"> </w:t>
      </w:r>
      <w:r>
        <w:t xml:space="preserve">“… large data centers should be required to bring their own new generation with locational and temporal characteristics reasonably matched to their load.”</w:t>
      </w:r>
    </w:p>
    <w:p>
      <w:pPr>
        <w:pStyle w:val="CardField"/>
      </w:pPr>
      <w:r>
        <w:rPr>
          <w:b/>
          <w:bCs/>
        </w:rPr>
        <w:t xml:space="preserve">Verification:</w:t>
      </w:r>
      <w:r>
        <w:t xml:space="preserve"> </w:t>
      </w:r>
      <w:r>
        <w:t xml:space="preserve">✔ The $23.1 billion and the recommendation appear in search excerpts from the report and in Utility Dive’s coverage. ⚠ Check the exact wording of the quote in the PDF.</w:t>
      </w:r>
    </w:p>
    <w:p>
      <w:pPr>
        <w:pStyle w:val="CardField"/>
      </w:pPr>
      <w:r>
        <w:rPr>
          <w:b/>
          <w:bCs/>
        </w:rPr>
        <w:t xml:space="preserve">Addition (P5): who the monitor is:</w:t>
      </w:r>
      <w:r>
        <w:t xml:space="preserve"> </w:t>
      </w:r>
      <w:r>
        <w:t xml:space="preserve">Monitoring Analytics, LLC was founded in 2008 and is the Independent Market Monitor (IMM) for PJM. Joseph Bowring has been PJM's market monitor since 1999. It is independent of PJM's management, its board and the market participants. Its contract is administered by PJM's board, and it is accountable to FERC, the PJM board and the market. Its job: watch for market power, manipulation and design flaws. ⚠ The description comes mainly from the monitor's own presentations.</w:t>
      </w:r>
    </w:p>
    <w:p>
      <w:pPr>
        <w:pStyle w:val="CardField"/>
      </w:pPr>
      <w:r>
        <w:rPr>
          <w:b/>
          <w:bCs/>
        </w:rPr>
        <w:t xml:space="preserve">Links:</w:t>
      </w:r>
    </w:p>
    <w:p>
      <w:pPr>
        <w:pStyle w:val="CardList"/>
        <w:numPr>
          <w:ilvl w:val="0"/>
          <w:numId w:val="1128"/>
        </w:numPr>
      </w:pPr>
      <w:hyperlink r:id="rId238" w:history="1">
        <w:r>
          <w:rPr>
            <w:rStyle w:val="Hyperlink"/>
          </w:rPr>
          <w:t xml:space="preserve">https://www.monitoringanalytics.com/reports/PJM_State_of_the_Market/2025/2025-som-pjm-vol1.pdf</w:t>
        </w:r>
      </w:hyperlink>
    </w:p>
    <w:p>
      <w:pPr>
        <w:pStyle w:val="CardList"/>
        <w:numPr>
          <w:ilvl w:val="0"/>
          <w:numId w:val="1128"/>
        </w:numPr>
      </w:pPr>
      <w:hyperlink r:id="rId239" w:history="1">
        <w:r>
          <w:rPr>
            <w:rStyle w:val="Hyperlink"/>
          </w:rPr>
          <w:t xml:space="preserve">https://www.utilitydive.com/news/pjm-capacity-energy-market-reliability-monitoring-analytics/814647/</w:t>
        </w:r>
      </w:hyperlink>
    </w:p>
    <w:p>
      <w:pPr>
        <w:pStyle w:val="CardList"/>
        <w:numPr>
          <w:ilvl w:val="0"/>
          <w:numId w:val="1128"/>
        </w:numPr>
      </w:pPr>
      <w:hyperlink r:id="rId240" w:history="1">
        <w:r>
          <w:rPr>
            <w:rStyle w:val="Hyperlink"/>
          </w:rPr>
          <w:t xml:space="preserve">https://www.rtoinsider.com/127963-pjm-state-of-the-market-2025-data-center-burden/</w:t>
        </w:r>
      </w:hyperlink>
    </w:p>
    <w:p>
      <w:pPr>
        <w:pStyle w:val="CardList"/>
        <w:numPr>
          <w:ilvl w:val="0"/>
          <w:numId w:val="1128"/>
        </w:numPr>
      </w:pPr>
      <w:hyperlink r:id="rId241" w:history="1">
        <w:r>
          <w:rPr>
            <w:rStyle w:val="Hyperlink"/>
          </w:rPr>
          <w:t xml:space="preserve">https://www.ourenergypolicy.org/wp-content/uploads/2018/03/Monitoring-Analytics.pdf</w:t>
        </w:r>
      </w:hyperlink>
    </w:p>
    <w:p>
      <w:pPr>
        <w:pStyle w:val="CardList"/>
        <w:numPr>
          <w:ilvl w:val="0"/>
          <w:numId w:val="1128"/>
        </w:numPr>
      </w:pPr>
      <w:hyperlink r:id="rId242" w:history="1">
        <w:r>
          <w:rPr>
            <w:rStyle w:val="Hyperlink"/>
          </w:rPr>
          <w:t xml:space="preserve">https://usea.org/node/2836</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r>
        <w:t xml:space="preserve"> </w:t>
      </w:r>
      <w:r>
        <w:t xml:space="preserve">· Contra arguments (Part D): C2</w:t>
      </w:r>
    </w:p>
    <w:bookmarkEnd w:id="243"/>
    <w:bookmarkStart w:id="245" w:name="src-S43"/>
    <w:p>
      <w:pPr>
        <w:pStyle w:val="Heading2"/>
      </w:pPr>
      <w:r>
        <w:t xml:space="preserve">S43 – Monitoring Analytics: 2026 Quarterly State of the Market Report for PJM, January–March</w:t>
      </w:r>
    </w:p>
    <w:p>
      <w:pPr>
        <w:pStyle w:val="CardField"/>
      </w:pPr>
      <w:r>
        <w:rPr>
          <w:b/>
          <w:bCs/>
        </w:rPr>
        <w:t xml:space="preserve">Who &amp; When:</w:t>
      </w:r>
      <w:r>
        <w:t xml:space="preserve"> </w:t>
      </w:r>
      <w:r>
        <w:t xml:space="preserve">Monitoring Analytics, LLC, Q1 2026 report (May 2026); covered by Bloomberg (May 14, 2026) and E&amp;E News (May 15, 2026).</w:t>
      </w:r>
    </w:p>
    <w:p>
      <w:pPr>
        <w:pStyle w:val="CardField"/>
      </w:pPr>
      <w:r>
        <w:rPr>
          <w:b/>
          <w:bCs/>
        </w:rPr>
        <w:t xml:space="preserve">Origin:</w:t>
      </w:r>
      <w:r>
        <w:t xml:space="preserve"> </w:t>
      </w:r>
      <w:r>
        <w:t xml:space="preserve">Primary source (quarterly report of the independent market monitor).</w:t>
      </w:r>
    </w:p>
    <w:p>
      <w:pPr>
        <w:pStyle w:val="CardField"/>
      </w:pPr>
      <w:r>
        <w:rPr>
          <w:b/>
          <w:bCs/>
        </w:rPr>
        <w:t xml:space="preserve">Context &amp; Classification:</w:t>
      </w:r>
      <w:r>
        <w:t xml:space="preserve"> </w:t>
      </w:r>
      <w:r>
        <w:t xml:space="preserve">Same author as S42. This replaces the E&amp;E wording “not reversible” from S23 with the monitor’s own text.</w:t>
      </w:r>
    </w:p>
    <w:p>
      <w:pPr>
        <w:pStyle w:val="CardField"/>
      </w:pPr>
      <w:r>
        <w:rPr>
          <w:b/>
          <w:bCs/>
        </w:rPr>
        <w:t xml:space="preserve">Key Takeaways:</w:t>
      </w:r>
      <w:r>
        <w:t xml:space="preserve"> </w:t>
      </w:r>
      <w:r>
        <w:t xml:space="preserve">Average wholesale cost in Q1 2026 was $136.53/MWh, compared with $77.78 a year earlier (+76 %). The monitor warns that the price impacts will be even larger in the near term unless data center load issues are addressed in a timely manner.</w:t>
      </w:r>
    </w:p>
    <w:p>
      <w:pPr>
        <w:pStyle w:val="CardField"/>
      </w:pPr>
      <w:r>
        <w:rPr>
          <w:b/>
          <w:bCs/>
        </w:rPr>
        <w:t xml:space="preserve">Potential Counterpoints/Vulnerabilities:</w:t>
      </w:r>
      <w:r>
        <w:t xml:space="preserve"> </w:t>
      </w:r>
      <w:r>
        <w:t xml:space="preserve">“Q1 is winter, gas prices were high.” → The monitor itself names data center load as the driver. “Irreversible is exaggerated.” → It is the official monitor’s wording: these costs are locked in through May 2028, because capacity auctions buy power years in advance.</w:t>
      </w:r>
    </w:p>
    <w:p>
      <w:pPr>
        <w:pStyle w:val="CardField"/>
      </w:pPr>
      <w:r>
        <w:rPr>
          <w:b/>
          <w:bCs/>
        </w:rPr>
        <w:t xml:space="preserve">Original Quote:</w:t>
      </w:r>
      <w:r>
        <w:t xml:space="preserve"> </w:t>
      </w:r>
      <w:r>
        <w:t xml:space="preserve">“Large data center load additions have already had a significant and irreversible impact on PJM customers that will be paid through May 31, 2028.”</w:t>
      </w:r>
    </w:p>
    <w:p>
      <w:pPr>
        <w:pStyle w:val="CardField"/>
      </w:pPr>
      <w:r>
        <w:rPr>
          <w:b/>
          <w:bCs/>
        </w:rPr>
        <w:t xml:space="preserve">Verification:</w:t>
      </w:r>
      <w:r>
        <w:t xml:space="preserve"> </w:t>
      </w:r>
      <w:r>
        <w:t xml:space="preserve">✔ via search excerpt of the report PDF.</w:t>
      </w:r>
    </w:p>
    <w:p>
      <w:pPr>
        <w:pStyle w:val="CardField"/>
      </w:pPr>
      <w:r>
        <w:rPr>
          <w:b/>
          <w:bCs/>
        </w:rPr>
        <w:t xml:space="preserve">Link:</w:t>
      </w:r>
      <w:r>
        <w:t xml:space="preserve"> </w:t>
      </w:r>
      <w:hyperlink r:id="rId244" w:history="1">
        <w:r>
          <w:rPr>
            <w:rStyle w:val="Hyperlink"/>
          </w:rPr>
          <w:t xml:space="preserve">https://www.monitoringanalytics.com/reports/PJM_State_of_the_Market/2026/2026q1-som-pjm-sec1.pdf</w:t>
        </w:r>
      </w:hyperlink>
    </w:p>
    <w:p>
      <w:pPr>
        <w:pStyle w:val="CardField"/>
      </w:pPr>
      <w:r>
        <w:rPr>
          <w:b/>
          <w:bCs/>
        </w:rPr>
        <w:t xml:space="preserve">Used:</w:t>
      </w:r>
      <w:r>
        <w:t xml:space="preserve"> </w:t>
      </w:r>
      <w:hyperlink w:anchor="b1" w:history="1">
        <w:r>
          <w:rPr>
            <w:rStyle w:val="NavLinkChar"/>
          </w:rPr>
          <w:t xml:space="preserve">B1</w:t>
        </w:r>
      </w:hyperlink>
      <w:r>
        <w:t xml:space="preserve">,</w:t>
      </w:r>
      <w:r>
        <w:t xml:space="preserve"> </w:t>
      </w:r>
      <w:hyperlink w:anchor="p1" w:history="1">
        <w:r>
          <w:rPr>
            <w:rStyle w:val="NavLinkChar"/>
          </w:rPr>
          <w:t xml:space="preserve">P1</w:t>
        </w:r>
      </w:hyperlink>
      <w:r>
        <w:t xml:space="preserve">,</w:t>
      </w:r>
      <w:r>
        <w:t xml:space="preserve"> </w:t>
      </w:r>
      <w:hyperlink w:anchor="p5" w:history="1">
        <w:r>
          <w:rPr>
            <w:rStyle w:val="NavLinkChar"/>
          </w:rPr>
          <w:t xml:space="preserve">P5</w:t>
        </w:r>
      </w:hyperlink>
      <w:r>
        <w:t xml:space="preserve"> </w:t>
      </w:r>
      <w:r>
        <w:t xml:space="preserve">· Contra arguments (Part D): C2</w:t>
      </w:r>
    </w:p>
    <w:bookmarkEnd w:id="245"/>
    <w:bookmarkStart w:id="248" w:name="src-S44"/>
    <w:p>
      <w:pPr>
        <w:pStyle w:val="Heading2"/>
      </w:pPr>
      <w:r>
        <w:t xml:space="preserve">S44 – NERC: Incident Review "Large Load Loss" (Virginia, July 10, 2024)</w:t>
      </w:r>
    </w:p>
    <w:p>
      <w:pPr>
        <w:pStyle w:val="CardField"/>
      </w:pPr>
      <w:r>
        <w:rPr>
          <w:b/>
          <w:bCs/>
        </w:rPr>
        <w:t xml:space="preserve">Who &amp; When:</w:t>
      </w:r>
      <w:r>
        <w:t xml:space="preserve"> </w:t>
      </w:r>
      <w:r>
        <w:t xml:space="preserve">North American Electric Reliability Corporation (NERC), incident review of the event on July 10, 2024; reported by Reuters / Data Center Dynamics (March 2025).</w:t>
      </w:r>
    </w:p>
    <w:p>
      <w:pPr>
        <w:pStyle w:val="CardField"/>
      </w:pPr>
      <w:r>
        <w:rPr>
          <w:b/>
          <w:bCs/>
        </w:rPr>
        <w:t xml:space="preserve">Origin:</w:t>
      </w:r>
      <w:r>
        <w:t xml:space="preserve"> </w:t>
      </w:r>
      <w:r>
        <w:t xml:space="preserve">Official incident analysis.</w:t>
      </w:r>
    </w:p>
    <w:p>
      <w:pPr>
        <w:pStyle w:val="CardField"/>
      </w:pPr>
      <w:r>
        <w:rPr>
          <w:b/>
          <w:bCs/>
        </w:rPr>
        <w:t xml:space="preserve">Context &amp; Classification:</w:t>
      </w:r>
      <w:r>
        <w:t xml:space="preserve"> </w:t>
      </w:r>
      <w:r>
        <w:t xml:space="preserve">NERC is the non-profit body that sets and enforces reliability standards for the North American grid; high credibility.</w:t>
      </w:r>
    </w:p>
    <w:p>
      <w:pPr>
        <w:pStyle w:val="CardField"/>
      </w:pPr>
      <w:r>
        <w:rPr>
          <w:b/>
          <w:bCs/>
        </w:rPr>
        <w:t xml:space="preserve">Key Takeaways:</w:t>
      </w:r>
    </w:p>
    <w:p>
      <w:pPr>
        <w:pStyle w:val="CardList"/>
        <w:numPr>
          <w:ilvl w:val="0"/>
          <w:numId w:val="1129"/>
        </w:numPr>
      </w:pPr>
      <w:r>
        <w:t xml:space="preserve">A lightning arrester failed on a 230 kV line and caused a fault.</w:t>
      </w:r>
    </w:p>
    <w:p>
      <w:pPr>
        <w:pStyle w:val="CardList"/>
        <w:numPr>
          <w:ilvl w:val="0"/>
          <w:numId w:val="1129"/>
        </w:numPr>
      </w:pPr>
      <w:r>
        <w:t xml:space="preserve">About 1,500 MW of load – "exclusively data center-type load" – disconnected at the same moment, triggered by the customers' own protection systems. Reporting puts this at about 60 data centers in Northern Virginia.</w:t>
      </w:r>
    </w:p>
    <w:p>
      <w:pPr>
        <w:pStyle w:val="CardList"/>
        <w:numPr>
          <w:ilvl w:val="0"/>
          <w:numId w:val="1129"/>
        </w:numPr>
      </w:pPr>
      <w:r>
        <w:t xml:space="preserve">Voltage rose above normal levels, and operators had not anticipated it.</w:t>
      </w:r>
    </w:p>
    <w:p>
      <w:pPr>
        <w:pStyle w:val="CardList"/>
        <w:numPr>
          <w:ilvl w:val="0"/>
          <w:numId w:val="1129"/>
        </w:numPr>
      </w:pPr>
      <w:r>
        <w:t xml:space="preserve">NERC then set up a task force on large loads.</w:t>
      </w:r>
    </w:p>
    <w:p>
      <w:pPr>
        <w:pStyle w:val="CardField"/>
      </w:pPr>
      <w:r>
        <w:rPr>
          <w:b/>
          <w:bCs/>
        </w:rPr>
        <w:t xml:space="preserve">Potential Counterpoints/Vulnerabilities:</w:t>
      </w:r>
      <w:r>
        <w:t xml:space="preserve"> </w:t>
      </w:r>
      <w:r>
        <w:t xml:space="preserve">NERC found no significant threat to the bulk power system this time → use it as a warning sign, not as a "near-blackout".</w:t>
      </w:r>
    </w:p>
    <w:p>
      <w:pPr>
        <w:pStyle w:val="CardField"/>
      </w:pPr>
      <w:r>
        <w:rPr>
          <w:b/>
          <w:bCs/>
        </w:rPr>
        <w:t xml:space="preserve">Original Quote:</w:t>
      </w:r>
      <w:r>
        <w:t xml:space="preserve"> </w:t>
      </w:r>
      <w:r>
        <w:t xml:space="preserve">NERC's John Moura (via Reuters): the grid is not designed to withstand the loss of 1,500-megawatt data centers. ⚠ Check the exact wording in the Reuters original.</w:t>
      </w:r>
    </w:p>
    <w:p>
      <w:pPr>
        <w:pStyle w:val="CardField"/>
      </w:pPr>
      <w:r>
        <w:rPr>
          <w:b/>
          <w:bCs/>
        </w:rPr>
        <w:t xml:space="preserve">Verification:</w:t>
      </w:r>
      <w:r>
        <w:t xml:space="preserve"> </w:t>
      </w:r>
      <w:r>
        <w:t xml:space="preserve">✔ via excerpts of the NERC PDF and DCD.</w:t>
      </w:r>
    </w:p>
    <w:p>
      <w:pPr>
        <w:pStyle w:val="CardField"/>
      </w:pPr>
      <w:r>
        <w:rPr>
          <w:b/>
          <w:bCs/>
        </w:rPr>
        <w:t xml:space="preserve">Links:</w:t>
      </w:r>
    </w:p>
    <w:p>
      <w:pPr>
        <w:pStyle w:val="CardList"/>
        <w:numPr>
          <w:ilvl w:val="0"/>
          <w:numId w:val="1130"/>
        </w:numPr>
      </w:pPr>
      <w:hyperlink r:id="rId246" w:history="1">
        <w:r>
          <w:rPr>
            <w:rStyle w:val="Hyperlink"/>
          </w:rPr>
          <w:t xml:space="preserve">https://nerc.com/pa/rrm/ea/Documents/Incident_Review_Large_Load_Loss.pdf</w:t>
        </w:r>
      </w:hyperlink>
    </w:p>
    <w:p>
      <w:pPr>
        <w:pStyle w:val="CardList"/>
        <w:numPr>
          <w:ilvl w:val="0"/>
          <w:numId w:val="1130"/>
        </w:numPr>
      </w:pPr>
      <w:hyperlink r:id="rId247" w:history="1">
        <w:r>
          <w:rPr>
            <w:rStyle w:val="Hyperlink"/>
          </w:rPr>
          <w:t xml:space="preserve">https://datacenterdynamics.com/en/news/virginia-narrowly-avoided-power-cuts-when-60-data-centers-dropped-off-the-grid-at-once</w:t>
        </w:r>
      </w:hyperlink>
    </w:p>
    <w:p>
      <w:pPr>
        <w:pStyle w:val="CardField"/>
      </w:pPr>
      <w:r>
        <w:rPr>
          <w:b/>
          <w:bCs/>
        </w:rPr>
        <w:t xml:space="preserve">Used:</w:t>
      </w:r>
      <w:r>
        <w:t xml:space="preserve"> </w:t>
      </w:r>
      <w:hyperlink w:anchor="p2" w:history="1">
        <w:r>
          <w:rPr>
            <w:rStyle w:val="NavLinkChar"/>
          </w:rPr>
          <w:t xml:space="preserve">P2</w:t>
        </w:r>
      </w:hyperlink>
    </w:p>
    <w:bookmarkEnd w:id="248"/>
    <w:bookmarkStart w:id="251" w:name="src-S45"/>
    <w:p>
      <w:pPr>
        <w:pStyle w:val="Heading2"/>
      </w:pPr>
      <w:r>
        <w:t xml:space="preserve">S45 – NERC: 2025 Long-Term Reliability Assessment (released January 29, 2026)</w:t>
      </w:r>
    </w:p>
    <w:p>
      <w:pPr>
        <w:pStyle w:val="CardField"/>
      </w:pPr>
      <w:r>
        <w:rPr>
          <w:b/>
          <w:bCs/>
        </w:rPr>
        <w:t xml:space="preserve">Who &amp; When:</w:t>
      </w:r>
      <w:r>
        <w:t xml:space="preserve"> </w:t>
      </w:r>
      <w:r>
        <w:t xml:space="preserve">NERC; published January 29, 2026.</w:t>
      </w:r>
    </w:p>
    <w:p>
      <w:pPr>
        <w:pStyle w:val="CardField"/>
      </w:pPr>
      <w:r>
        <w:rPr>
          <w:b/>
          <w:bCs/>
        </w:rPr>
        <w:t xml:space="preserve">Methodology:</w:t>
      </w:r>
      <w:r>
        <w:t xml:space="preserve"> </w:t>
      </w:r>
      <w:r>
        <w:t xml:space="preserve">Ten-year forecast of supply and demand for 23 assessment areas.</w:t>
      </w:r>
    </w:p>
    <w:p>
      <w:pPr>
        <w:pStyle w:val="CardField"/>
      </w:pPr>
      <w:r>
        <w:rPr>
          <w:b/>
          <w:bCs/>
        </w:rPr>
        <w:t xml:space="preserve">Key Takeaways:</w:t>
      </w:r>
      <w:r>
        <w:t xml:space="preserve"> </w:t>
      </w:r>
      <w:r>
        <w:t xml:space="preserve">13 of 23 areas face elevated or high risk of not having enough power over the next five years. High risk: MISO, PJM, ERCOT, WECC-Northwest, WECC-Basin, SERC-Central. Data center demand is a key driver.</w:t>
      </w:r>
    </w:p>
    <w:p>
      <w:pPr>
        <w:pStyle w:val="CardField"/>
      </w:pPr>
      <w:r>
        <w:rPr>
          <w:b/>
          <w:bCs/>
        </w:rPr>
        <w:t xml:space="preserve">Potential Counterpoints/Vulnerabilities:</w:t>
      </w:r>
      <w:r>
        <w:t xml:space="preserve"> </w:t>
      </w:r>
      <w:r>
        <w:t xml:space="preserve">Grid Strategies (a consultancy commissioned by environmental groups) says NERC overstates the risk because it counts only power plants that already have grid-connection agreements → our core proof remains PJM's actual auction result [</w:t>
      </w:r>
      <w:hyperlink w:anchor="src-S14" w:history="1">
        <w:r>
          <w:rPr>
            <w:rStyle w:val="SourceLink"/>
          </w:rPr>
          <w:t xml:space="preserve">S14</w:t>
        </w:r>
      </w:hyperlink>
      <w:r>
        <w:t xml:space="preserve">].</w:t>
      </w:r>
    </w:p>
    <w:p>
      <w:pPr>
        <w:pStyle w:val="CardField"/>
      </w:pPr>
      <w:r>
        <w:rPr>
          <w:b/>
          <w:bCs/>
        </w:rPr>
        <w:t xml:space="preserve">Verification:</w:t>
      </w:r>
      <w:r>
        <w:t xml:space="preserve"> </w:t>
      </w:r>
      <w:r>
        <w:t xml:space="preserve">✔ via POWER Magazine and Utility Dive. ⚠ The "224 GW" figure that circulates is unverified, so don't use it.</w:t>
      </w:r>
    </w:p>
    <w:p>
      <w:pPr>
        <w:pStyle w:val="CardField"/>
      </w:pPr>
      <w:r>
        <w:rPr>
          <w:b/>
          <w:bCs/>
        </w:rPr>
        <w:t xml:space="preserve">Links:</w:t>
      </w:r>
    </w:p>
    <w:p>
      <w:pPr>
        <w:pStyle w:val="CardList"/>
        <w:numPr>
          <w:ilvl w:val="0"/>
          <w:numId w:val="1131"/>
        </w:numPr>
      </w:pPr>
      <w:hyperlink r:id="rId249" w:history="1">
        <w:r>
          <w:rPr>
            <w:rStyle w:val="Hyperlink"/>
          </w:rPr>
          <w:t xml:space="preserve">https://www.nerc.com/globalassets/our-work/assessments/nerc_ltra_2025.pdf</w:t>
        </w:r>
      </w:hyperlink>
    </w:p>
    <w:p>
      <w:pPr>
        <w:pStyle w:val="CardList"/>
        <w:numPr>
          <w:ilvl w:val="0"/>
          <w:numId w:val="1131"/>
        </w:numPr>
      </w:pPr>
      <w:hyperlink r:id="rId250" w:history="1">
        <w:r>
          <w:rPr>
            <w:rStyle w:val="Hyperlink"/>
          </w:rPr>
          <w:t xml:space="preserve">https://www.powermag.com/nerc-warns-long-term-grid-reliability-risks-mounting-from-surging-demand-lagging-resources/</w:t>
        </w:r>
      </w:hyperlink>
    </w:p>
    <w:p>
      <w:pPr>
        <w:pStyle w:val="CardField"/>
      </w:pPr>
      <w:r>
        <w:rPr>
          <w:b/>
          <w:bCs/>
        </w:rPr>
        <w:t xml:space="preserve">Used:</w:t>
      </w:r>
      <w:r>
        <w:t xml:space="preserve"> </w:t>
      </w:r>
      <w:hyperlink w:anchor="p2" w:history="1">
        <w:r>
          <w:rPr>
            <w:rStyle w:val="NavLinkChar"/>
          </w:rPr>
          <w:t xml:space="preserve">P2</w:t>
        </w:r>
      </w:hyperlink>
    </w:p>
    <w:bookmarkEnd w:id="251"/>
    <w:bookmarkStart w:id="254" w:name="src-S46"/>
    <w:p>
      <w:pPr>
        <w:pStyle w:val="Heading2"/>
      </w:pPr>
      <w:r>
        <w:t xml:space="preserve">S46 – Monitoring Analytics: complaint to FERC (November 25, 2025, docket EL26-30)</w:t>
      </w:r>
    </w:p>
    <w:p>
      <w:pPr>
        <w:pStyle w:val="CardField"/>
      </w:pPr>
      <w:r>
        <w:rPr>
          <w:b/>
          <w:bCs/>
        </w:rPr>
        <w:t xml:space="preserve">Who &amp; When:</w:t>
      </w:r>
      <w:r>
        <w:t xml:space="preserve"> </w:t>
      </w:r>
      <w:r>
        <w:t xml:space="preserve">Monitoring Analytics (PJM's independent market monitor); complaint filed November 25, 2025; reported by Utility Dive.</w:t>
      </w:r>
    </w:p>
    <w:p>
      <w:pPr>
        <w:pStyle w:val="CardField"/>
      </w:pPr>
      <w:r>
        <w:rPr>
          <w:b/>
          <w:bCs/>
        </w:rPr>
        <w:t xml:space="preserve">Origin:</w:t>
      </w:r>
      <w:r>
        <w:t xml:space="preserve"> </w:t>
      </w:r>
      <w:r>
        <w:t xml:space="preserve">Primary source (regulatory filing).</w:t>
      </w:r>
    </w:p>
    <w:p>
      <w:pPr>
        <w:pStyle w:val="CardField"/>
      </w:pPr>
      <w:r>
        <w:rPr>
          <w:b/>
          <w:bCs/>
        </w:rPr>
        <w:t xml:space="preserve">Key Takeaways:</w:t>
      </w:r>
    </w:p>
    <w:p>
      <w:pPr>
        <w:pStyle w:val="CardList"/>
        <w:numPr>
          <w:ilvl w:val="0"/>
          <w:numId w:val="1132"/>
        </w:numPr>
      </w:pPr>
      <w:r>
        <w:t xml:space="preserve">Asks FERC to rule that PJM may add large new data center loads only when they can be served reliably (by both the transmission grid and the available supply).</w:t>
      </w:r>
    </w:p>
    <w:p>
      <w:pPr>
        <w:pStyle w:val="CardList"/>
        <w:numPr>
          <w:ilvl w:val="0"/>
          <w:numId w:val="1132"/>
        </w:numPr>
      </w:pPr>
      <w:r>
        <w:t xml:space="preserve">Context: PJM's stakeholder process failed to agree on rules for large loads, and the monitor's own proposal (data centers bring matching new generation) was rejected.</w:t>
      </w:r>
    </w:p>
    <w:p>
      <w:pPr>
        <w:pStyle w:val="CardList"/>
        <w:numPr>
          <w:ilvl w:val="0"/>
          <w:numId w:val="1132"/>
        </w:numPr>
      </w:pPr>
      <w:r>
        <w:t xml:space="preserve">PJM asked FERC to dismiss the complaint; the organization of PJM states (OPSI) also disagreed.</w:t>
      </w:r>
    </w:p>
    <w:p>
      <w:pPr>
        <w:pStyle w:val="CardField"/>
      </w:pPr>
      <w:r>
        <w:rPr>
          <w:b/>
          <w:bCs/>
        </w:rPr>
        <w:t xml:space="preserve">Original Quote:</w:t>
      </w:r>
      <w:r>
        <w:t xml:space="preserve"> </w:t>
      </w:r>
      <w:r>
        <w:t xml:space="preserve">"If PJM has an obligation to provide reliable service to all PJM loads, is it just and reasonable for PJM to add new loads that it cannot serve reliably?"</w:t>
      </w:r>
    </w:p>
    <w:p>
      <w:pPr>
        <w:pStyle w:val="CardField"/>
      </w:pPr>
      <w:r>
        <w:rPr>
          <w:b/>
          <w:bCs/>
        </w:rPr>
        <w:t xml:space="preserve">Verification:</w:t>
      </w:r>
      <w:r>
        <w:t xml:space="preserve"> </w:t>
      </w:r>
      <w:r>
        <w:t xml:space="preserve">✔ via excerpts (Utility Dive, PJM filing).</w:t>
      </w:r>
    </w:p>
    <w:p>
      <w:pPr>
        <w:pStyle w:val="CardField"/>
      </w:pPr>
      <w:r>
        <w:rPr>
          <w:b/>
          <w:bCs/>
        </w:rPr>
        <w:t xml:space="preserve">Links:</w:t>
      </w:r>
    </w:p>
    <w:p>
      <w:pPr>
        <w:pStyle w:val="CardList"/>
        <w:numPr>
          <w:ilvl w:val="0"/>
          <w:numId w:val="1133"/>
        </w:numPr>
      </w:pPr>
      <w:hyperlink r:id="rId252" w:history="1">
        <w:r>
          <w:rPr>
            <w:rStyle w:val="Hyperlink"/>
          </w:rPr>
          <w:t xml:space="preserve">https://www.utilitydive.com/news/pjm-data-center-interconnection-market-monitor-ferc-complaint/806527/</w:t>
        </w:r>
      </w:hyperlink>
    </w:p>
    <w:p>
      <w:pPr>
        <w:pStyle w:val="CardList"/>
        <w:numPr>
          <w:ilvl w:val="0"/>
          <w:numId w:val="1133"/>
        </w:numPr>
      </w:pPr>
      <w:hyperlink r:id="rId253" w:history="1">
        <w:r>
          <w:rPr>
            <w:rStyle w:val="Hyperlink"/>
          </w:rPr>
          <w:t xml:space="preserve">https://www.pjm.com/-/media/DotCom/documents/ferc/filings/2025/20251125-el26-30-000.pdf</w:t>
        </w:r>
      </w:hyperlink>
    </w:p>
    <w:p>
      <w:pPr>
        <w:pStyle w:val="CardField"/>
      </w:pPr>
      <w:r>
        <w:rPr>
          <w:b/>
          <w:bCs/>
        </w:rPr>
        <w:t xml:space="preserve">Used:</w:t>
      </w:r>
      <w:r>
        <w:t xml:space="preserve"> </w:t>
      </w:r>
      <w:r>
        <w:t xml:space="preserve">– (not cited in Parts A–C)</w:t>
      </w:r>
    </w:p>
    <w:bookmarkEnd w:id="254"/>
    <w:bookmarkStart w:id="256" w:name="src-S47"/>
    <w:p>
      <w:pPr>
        <w:pStyle w:val="Heading2"/>
      </w:pPr>
      <w:r>
        <w:t xml:space="preserve">S47 – Duke University, Nicholas Institute: "Rethinking Load Growth" (February 2025)</w:t>
      </w:r>
    </w:p>
    <w:p>
      <w:pPr>
        <w:pStyle w:val="CardField"/>
      </w:pPr>
      <w:r>
        <w:rPr>
          <w:b/>
          <w:bCs/>
        </w:rPr>
        <w:t xml:space="preserve">Who &amp; When:</w:t>
      </w:r>
      <w:r>
        <w:t xml:space="preserve"> </w:t>
      </w:r>
      <w:r>
        <w:t xml:space="preserve">Tyler Norris, Tim Profeta, Dalia Patino-Echeverri, Adam Cowie-Haskell; February 2025 (NI R 25-01).</w:t>
      </w:r>
    </w:p>
    <w:p>
      <w:pPr>
        <w:pStyle w:val="CardField"/>
      </w:pPr>
      <w:r>
        <w:rPr>
          <w:b/>
          <w:bCs/>
        </w:rPr>
        <w:t xml:space="preserve">Methodology:</w:t>
      </w:r>
      <w:r>
        <w:t xml:space="preserve"> </w:t>
      </w:r>
      <w:r>
        <w:t xml:space="preserve">Model of the 22 largest US balancing areas (about 95% of US load).</w:t>
      </w:r>
    </w:p>
    <w:p>
      <w:pPr>
        <w:pStyle w:val="CardField"/>
      </w:pPr>
      <w:r>
        <w:rPr>
          <w:b/>
          <w:bCs/>
        </w:rPr>
        <w:t xml:space="preserve">Key Takeaways:</w:t>
      </w:r>
      <w:r>
        <w:t xml:space="preserve"> </w:t>
      </w:r>
      <w:r>
        <w:t xml:space="preserve">76 GW (if power is cut 0.25% of the time) to 126 GW (1%) of new flexible load could be added without new power plants.</w:t>
      </w:r>
    </w:p>
    <w:p>
      <w:pPr>
        <w:pStyle w:val="CardField"/>
      </w:pPr>
      <w:r>
        <w:rPr>
          <w:b/>
          <w:bCs/>
        </w:rPr>
        <w:t xml:space="preserve">Potential Counterpoints/Vulnerabilities:</w:t>
      </w:r>
      <w:r>
        <w:t xml:space="preserve"> </w:t>
      </w:r>
      <w:r>
        <w:t xml:space="preserve">This only works</w:t>
      </w:r>
      <w:r>
        <w:t xml:space="preserve"> </w:t>
      </w:r>
      <w:r>
        <w:rPr>
          <w:i/>
          <w:iCs/>
        </w:rPr>
        <w:t xml:space="preserve">if</w:t>
      </w:r>
      <w:r>
        <w:t xml:space="preserve"> </w:t>
      </w:r>
      <w:r>
        <w:t xml:space="preserve">data centers accept cuts, and there is no national rule for that (FERC [</w:t>
      </w:r>
      <w:hyperlink w:anchor="src-S28" w:history="1">
        <w:r>
          <w:rPr>
            <w:rStyle w:val="SourceLink"/>
          </w:rPr>
          <w:t xml:space="preserve">S28</w:t>
        </w:r>
      </w:hyperlink>
      <w:r>
        <w:t xml:space="preserve">]). Critics say the study is misused as an argument against grid upgrades.</w:t>
      </w:r>
    </w:p>
    <w:p>
      <w:pPr>
        <w:pStyle w:val="CardField"/>
      </w:pPr>
      <w:r>
        <w:rPr>
          <w:b/>
          <w:bCs/>
        </w:rPr>
        <w:t xml:space="preserve">Verification:</w:t>
      </w:r>
      <w:r>
        <w:t xml:space="preserve"> </w:t>
      </w:r>
      <w:r>
        <w:t xml:space="preserve">✔ via excerpts. ⚠ Check the exact definition of the power cuts in the PDF.</w:t>
      </w:r>
    </w:p>
    <w:p>
      <w:pPr>
        <w:pStyle w:val="CardField"/>
      </w:pPr>
      <w:r>
        <w:rPr>
          <w:b/>
          <w:bCs/>
        </w:rPr>
        <w:t xml:space="preserve">Link:</w:t>
      </w:r>
      <w:r>
        <w:t xml:space="preserve"> </w:t>
      </w:r>
      <w:hyperlink r:id="rId255" w:history="1">
        <w:r>
          <w:rPr>
            <w:rStyle w:val="Hyperlink"/>
          </w:rPr>
          <w:t xml:space="preserve">https://nicholasinstitute.duke.edu/sites/default/files/publications/rethinking-load-growth.pdf</w:t>
        </w:r>
      </w:hyperlink>
    </w:p>
    <w:p>
      <w:pPr>
        <w:pStyle w:val="CardField"/>
      </w:pPr>
      <w:r>
        <w:rPr>
          <w:b/>
          <w:bCs/>
        </w:rPr>
        <w:t xml:space="preserve">Used:</w:t>
      </w:r>
      <w:r>
        <w:t xml:space="preserve"> </w:t>
      </w:r>
      <w:r>
        <w:t xml:space="preserve">– (not cited in Parts A–C)</w:t>
      </w:r>
    </w:p>
    <w:bookmarkEnd w:id="256"/>
    <w:bookmarkStart w:id="259" w:name="src-S48"/>
    <w:p>
      <w:pPr>
        <w:pStyle w:val="Heading2"/>
      </w:pPr>
      <w:r>
        <w:t xml:space="preserve">S48 – Texas Department of State Health Services: final death toll of Winter Storm Uri (via Texas Tribune / NPR, January 2022)</w:t>
      </w:r>
    </w:p>
    <w:p>
      <w:pPr>
        <w:pStyle w:val="CardField"/>
      </w:pPr>
      <w:r>
        <w:rPr>
          <w:b/>
          <w:bCs/>
        </w:rPr>
        <w:t xml:space="preserve">Who &amp; When:</w:t>
      </w:r>
      <w:r>
        <w:t xml:space="preserve"> </w:t>
      </w:r>
      <w:r>
        <w:t xml:space="preserve">Texas DSHS; reported January 2–3, 2022.</w:t>
      </w:r>
    </w:p>
    <w:p>
      <w:pPr>
        <w:pStyle w:val="CardField"/>
      </w:pPr>
      <w:r>
        <w:rPr>
          <w:b/>
          <w:bCs/>
        </w:rPr>
        <w:t xml:space="preserve">Key Takeaways:</w:t>
      </w:r>
      <w:r>
        <w:t xml:space="preserve"> </w:t>
      </w:r>
      <w:r>
        <w:t xml:space="preserve">246 deaths (February 11 – June 4, 2021) in 77 counties; about two-thirds from hypothermia. Some victims lost power for medical equipment (oxygen, dialysis); at least 19 died of carbon monoxide poisoning. Independent estimates are much higher.</w:t>
      </w:r>
    </w:p>
    <w:p>
      <w:pPr>
        <w:pStyle w:val="CardField"/>
      </w:pPr>
      <w:r>
        <w:rPr>
          <w:b/>
          <w:bCs/>
        </w:rPr>
        <w:t xml:space="preserve">Potential Counterpoints/Vulnerabilities:</w:t>
      </w:r>
      <w:r>
        <w:t xml:space="preserve"> </w:t>
      </w:r>
      <w:r>
        <w:t xml:space="preserve">Uri was</w:t>
      </w:r>
      <w:r>
        <w:t xml:space="preserve"> </w:t>
      </w:r>
      <w:r>
        <w:rPr>
          <w:b/>
          <w:bCs/>
        </w:rPr>
        <w:t xml:space="preserve">not</w:t>
      </w:r>
      <w:r>
        <w:t xml:space="preserve"> </w:t>
      </w:r>
      <w:r>
        <w:t xml:space="preserve">caused by data centers → use it only to show what blackouts do (P2 Judge Impact).</w:t>
      </w:r>
    </w:p>
    <w:p>
      <w:pPr>
        <w:pStyle w:val="CardField"/>
      </w:pPr>
      <w:r>
        <w:rPr>
          <w:b/>
          <w:bCs/>
        </w:rPr>
        <w:t xml:space="preserve">Verification:</w:t>
      </w:r>
      <w:r>
        <w:t xml:space="preserve"> </w:t>
      </w:r>
      <w:r>
        <w:t xml:space="preserve">✔ several outlets.</w:t>
      </w:r>
    </w:p>
    <w:p>
      <w:pPr>
        <w:pStyle w:val="CardField"/>
      </w:pPr>
      <w:r>
        <w:rPr>
          <w:b/>
          <w:bCs/>
        </w:rPr>
        <w:t xml:space="preserve">Links:</w:t>
      </w:r>
    </w:p>
    <w:p>
      <w:pPr>
        <w:pStyle w:val="CardList"/>
        <w:numPr>
          <w:ilvl w:val="0"/>
          <w:numId w:val="1134"/>
        </w:numPr>
      </w:pPr>
      <w:hyperlink r:id="rId257" w:history="1">
        <w:r>
          <w:rPr>
            <w:rStyle w:val="Hyperlink"/>
          </w:rPr>
          <w:t xml:space="preserve">https://www.texastribune.org/2022/01/02/texas-winter-storm-final-death-toll-246</w:t>
        </w:r>
      </w:hyperlink>
    </w:p>
    <w:p>
      <w:pPr>
        <w:pStyle w:val="CardList"/>
        <w:numPr>
          <w:ilvl w:val="0"/>
          <w:numId w:val="1134"/>
        </w:numPr>
      </w:pPr>
      <w:hyperlink r:id="rId258" w:history="1">
        <w:r>
          <w:rPr>
            <w:rStyle w:val="Hyperlink"/>
          </w:rPr>
          <w:t xml:space="preserve">https://www.npr.org/2022/01/03/1069974416/texas-winter-storm-final-death-toll</w:t>
        </w:r>
      </w:hyperlink>
    </w:p>
    <w:p>
      <w:pPr>
        <w:pStyle w:val="CardField"/>
      </w:pPr>
      <w:r>
        <w:rPr>
          <w:b/>
          <w:bCs/>
        </w:rPr>
        <w:t xml:space="preserve">Used:</w:t>
      </w:r>
      <w:r>
        <w:t xml:space="preserve"> </w:t>
      </w:r>
      <w:r>
        <w:t xml:space="preserve">– (not cited in Parts A–C)</w:t>
      </w:r>
    </w:p>
    <w:bookmarkEnd w:id="259"/>
    <w:bookmarkStart w:id="261" w:name="src-S49"/>
    <w:p>
      <w:pPr>
        <w:pStyle w:val="Heading2"/>
      </w:pPr>
      <w:r>
        <w:t xml:space="preserve">S49 – Global Energy Monitor: "Betting big on data centers, U.S. now leads world for new gas power development" (January 2026)</w:t>
      </w:r>
    </w:p>
    <w:p>
      <w:pPr>
        <w:pStyle w:val="CardField"/>
      </w:pPr>
      <w:r>
        <w:rPr>
          <w:b/>
          <w:bCs/>
        </w:rPr>
        <w:t xml:space="preserve">Who &amp; When:</w:t>
      </w:r>
      <w:r>
        <w:t xml:space="preserve"> </w:t>
      </w:r>
      <w:r>
        <w:t xml:space="preserve">Global Energy Monitor (independent research organization that tracks power plant projects); January 2026, with an update in August 2026.</w:t>
      </w:r>
    </w:p>
    <w:p>
      <w:pPr>
        <w:pStyle w:val="CardField"/>
      </w:pPr>
      <w:r>
        <w:rPr>
          <w:b/>
          <w:bCs/>
        </w:rPr>
        <w:t xml:space="preserve">Methodology:</w:t>
      </w:r>
      <w:r>
        <w:t xml:space="preserve"> </w:t>
      </w:r>
      <w:r>
        <w:t xml:space="preserve">Project-by-project database of gas power plants.</w:t>
      </w:r>
    </w:p>
    <w:p>
      <w:pPr>
        <w:pStyle w:val="CardField"/>
      </w:pPr>
      <w:r>
        <w:rPr>
          <w:b/>
          <w:bCs/>
        </w:rPr>
        <w:t xml:space="preserve">Key Takeaways:</w:t>
      </w:r>
      <w:r>
        <w:t xml:space="preserve"> </w:t>
      </w:r>
      <w:r>
        <w:t xml:space="preserve">In 2025, US gas capacity in development almost tripled to about 252 GW – the most of any country, more than China. More than a third is meant to power data centers on site. August 2026 update (secondary sources): 378 GW in total, about 189 GW linked to data centers ⚠.</w:t>
      </w:r>
    </w:p>
    <w:p>
      <w:pPr>
        <w:pStyle w:val="CardField"/>
      </w:pPr>
      <w:r>
        <w:rPr>
          <w:b/>
          <w:bCs/>
        </w:rPr>
        <w:t xml:space="preserve">Potential Counterpoints/Vulnerabilities:</w:t>
      </w:r>
      <w:r>
        <w:t xml:space="preserve"> </w:t>
      </w:r>
      <w:r>
        <w:t xml:space="preserve">"In development" is not "built" → say "in development".</w:t>
      </w:r>
    </w:p>
    <w:p>
      <w:pPr>
        <w:pStyle w:val="CardField"/>
      </w:pPr>
      <w:r>
        <w:rPr>
          <w:b/>
          <w:bCs/>
        </w:rPr>
        <w:t xml:space="preserve">Verification:</w:t>
      </w:r>
      <w:r>
        <w:t xml:space="preserve"> </w:t>
      </w:r>
      <w:r>
        <w:t xml:space="preserve">✔ via the GEM press release. ⚠ The August figures only via secondary sources.</w:t>
      </w:r>
    </w:p>
    <w:p>
      <w:pPr>
        <w:pStyle w:val="CardField"/>
      </w:pPr>
      <w:r>
        <w:rPr>
          <w:b/>
          <w:bCs/>
        </w:rPr>
        <w:t xml:space="preserve">Link:</w:t>
      </w:r>
      <w:r>
        <w:t xml:space="preserve"> </w:t>
      </w:r>
      <w:hyperlink r:id="rId260" w:history="1">
        <w:r>
          <w:rPr>
            <w:rStyle w:val="Hyperlink"/>
          </w:rPr>
          <w:t xml:space="preserve">https://globalenergymonitor.org/press-release/betting-big-on-data-centers-u-s-now-leads-world-for-new-gas-power-development/</w:t>
        </w:r>
      </w:hyperlink>
    </w:p>
    <w:p>
      <w:pPr>
        <w:pStyle w:val="CardField"/>
      </w:pPr>
      <w:r>
        <w:rPr>
          <w:b/>
          <w:bCs/>
        </w:rPr>
        <w:t xml:space="preserve">Used:</w:t>
      </w:r>
      <w:r>
        <w:t xml:space="preserve"> </w:t>
      </w:r>
      <w:hyperlink w:anchor="a4" w:history="1">
        <w:r>
          <w:rPr>
            <w:rStyle w:val="NavLinkChar"/>
          </w:rPr>
          <w:t xml:space="preserve">A4</w:t>
        </w:r>
      </w:hyperlink>
      <w:r>
        <w:t xml:space="preserve">,</w:t>
      </w:r>
      <w:r>
        <w:t xml:space="preserve"> </w:t>
      </w:r>
      <w:hyperlink w:anchor="p2" w:history="1">
        <w:r>
          <w:rPr>
            <w:rStyle w:val="NavLinkChar"/>
          </w:rPr>
          <w:t xml:space="preserve">P2</w:t>
        </w:r>
      </w:hyperlink>
      <w:r>
        <w:t xml:space="preserve">,</w:t>
      </w:r>
      <w:r>
        <w:t xml:space="preserve"> </w:t>
      </w:r>
      <w:hyperlink w:anchor="p3" w:history="1">
        <w:r>
          <w:rPr>
            <w:rStyle w:val="NavLinkChar"/>
          </w:rPr>
          <w:t xml:space="preserve">P3</w:t>
        </w:r>
      </w:hyperlink>
      <w:r>
        <w:t xml:space="preserve"> </w:t>
      </w:r>
      <w:r>
        <w:t xml:space="preserve">· Contra arguments (Part D): C7</w:t>
      </w:r>
    </w:p>
    <w:bookmarkEnd w:id="261"/>
    <w:bookmarkStart w:id="265" w:name="src-S50"/>
    <w:p>
      <w:pPr>
        <w:pStyle w:val="Heading2"/>
      </w:pPr>
      <w:r>
        <w:t xml:space="preserve">S50 – Louisiana: gas plants for Meta's "Hyperion" (2025–2026)</w:t>
      </w:r>
    </w:p>
    <w:p>
      <w:pPr>
        <w:pStyle w:val="CardField"/>
      </w:pPr>
      <w:r>
        <w:rPr>
          <w:b/>
          <w:bCs/>
        </w:rPr>
        <w:t xml:space="preserve">Who &amp; When:</w:t>
      </w:r>
      <w:r>
        <w:t xml:space="preserve"> </w:t>
      </w:r>
      <w:r>
        <w:t xml:space="preserve">Industrial Info (August 2025); WWNO/WRKF (April 21, 2026); Alliance for Affordable Energy; SAN (Straight Arrow News).</w:t>
      </w:r>
    </w:p>
    <w:p>
      <w:pPr>
        <w:pStyle w:val="CardField"/>
      </w:pPr>
      <w:r>
        <w:rPr>
          <w:b/>
          <w:bCs/>
        </w:rPr>
        <w:t xml:space="preserve">Key Takeaways:</w:t>
      </w:r>
    </w:p>
    <w:p>
      <w:pPr>
        <w:pStyle w:val="CardList"/>
        <w:numPr>
          <w:ilvl w:val="0"/>
          <w:numId w:val="1135"/>
        </w:numPr>
      </w:pPr>
      <w:r>
        <w:t xml:space="preserve">On August 20, 2025, the Louisiana Public Service Commission approved three new Entergy gas plants (about 2.25 GW) for the Meta campus.</w:t>
      </w:r>
    </w:p>
    <w:p>
      <w:pPr>
        <w:pStyle w:val="CardList"/>
        <w:numPr>
          <w:ilvl w:val="0"/>
          <w:numId w:val="1135"/>
        </w:numPr>
      </w:pPr>
      <w:r>
        <w:t xml:space="preserve">Entergy is seeking seven more, through an expedited process.</w:t>
      </w:r>
    </w:p>
    <w:p>
      <w:pPr>
        <w:pStyle w:val="CardList"/>
        <w:numPr>
          <w:ilvl w:val="0"/>
          <w:numId w:val="1135"/>
        </w:numPr>
      </w:pPr>
      <w:r>
        <w:t xml:space="preserve">Critics point to missing ratepayer protections and lack of transparency; Meta fought an order to disclose its job and power figures.</w:t>
      </w:r>
    </w:p>
    <w:p>
      <w:pPr>
        <w:pStyle w:val="CardList"/>
        <w:numPr>
          <w:ilvl w:val="0"/>
          <w:numId w:val="1135"/>
        </w:numPr>
      </w:pPr>
      <w:r>
        <w:t xml:space="preserve">Meta and Entergy say Meta pays its full cost of service.</w:t>
      </w:r>
    </w:p>
    <w:p>
      <w:pPr>
        <w:pStyle w:val="CardField"/>
      </w:pPr>
      <w:r>
        <w:rPr>
          <w:b/>
          <w:bCs/>
        </w:rPr>
        <w:t xml:space="preserve">Potential Counterpoints/Vulnerabilities:</w:t>
      </w:r>
      <w:r>
        <w:t xml:space="preserve"> </w:t>
      </w:r>
      <w:r>
        <w:t xml:space="preserve">Some sources are advocacy groups → use the facts (approval, number of plants), not their judgments. Reports disagree on contract lengths, so don't use them.</w:t>
      </w:r>
    </w:p>
    <w:p>
      <w:pPr>
        <w:pStyle w:val="CardField"/>
      </w:pPr>
      <w:r>
        <w:rPr>
          <w:b/>
          <w:bCs/>
        </w:rPr>
        <w:t xml:space="preserve">Verification:</w:t>
      </w:r>
      <w:r>
        <w:t xml:space="preserve"> </w:t>
      </w:r>
      <w:r>
        <w:t xml:space="preserve">✔ via several excerpts.</w:t>
      </w:r>
    </w:p>
    <w:p>
      <w:pPr>
        <w:pStyle w:val="CardField"/>
      </w:pPr>
      <w:r>
        <w:rPr>
          <w:b/>
          <w:bCs/>
        </w:rPr>
        <w:t xml:space="preserve">Links:</w:t>
      </w:r>
    </w:p>
    <w:p>
      <w:pPr>
        <w:pStyle w:val="CardList"/>
        <w:numPr>
          <w:ilvl w:val="0"/>
          <w:numId w:val="1136"/>
        </w:numPr>
      </w:pPr>
      <w:hyperlink r:id="rId262" w:history="1">
        <w:r>
          <w:rPr>
            <w:rStyle w:val="Hyperlink"/>
          </w:rPr>
          <w:t xml:space="preserve">https://www.industrialinfo.com/iirenergy/industry-news/article/louisiana-greenlights-massive-power-projects-for-meta-data-center--345274</w:t>
        </w:r>
      </w:hyperlink>
    </w:p>
    <w:p>
      <w:pPr>
        <w:pStyle w:val="CardList"/>
        <w:numPr>
          <w:ilvl w:val="0"/>
          <w:numId w:val="1136"/>
        </w:numPr>
      </w:pPr>
      <w:hyperlink r:id="rId263" w:history="1">
        <w:r>
          <w:rPr>
            <w:rStyle w:val="Hyperlink"/>
          </w:rPr>
          <w:t xml:space="preserve">https://www.wwno.org/coastal-desk/2026-04-21/advocates-cite-lack-of-transparency-rising-costs-as-regulators-fast-track-second-meta-data-center</w:t>
        </w:r>
      </w:hyperlink>
    </w:p>
    <w:p>
      <w:pPr>
        <w:pStyle w:val="CardList"/>
        <w:numPr>
          <w:ilvl w:val="0"/>
          <w:numId w:val="1136"/>
        </w:numPr>
      </w:pPr>
      <w:hyperlink r:id="rId264" w:history="1">
        <w:r>
          <w:rPr>
            <w:rStyle w:val="Hyperlink"/>
          </w:rPr>
          <w:t xml:space="preserve">https://san.com/cc/meta-fights-order-to-disclose-job-power-figures-for-50b-louisiana-data-center/</w:t>
        </w:r>
      </w:hyperlink>
    </w:p>
    <w:p>
      <w:pPr>
        <w:pStyle w:val="CardField"/>
      </w:pPr>
      <w:r>
        <w:rPr>
          <w:b/>
          <w:bCs/>
        </w:rPr>
        <w:t xml:space="preserve">Used:</w:t>
      </w:r>
      <w:r>
        <w:t xml:space="preserve"> </w:t>
      </w:r>
      <w:hyperlink w:anchor="p3" w:history="1">
        <w:r>
          <w:rPr>
            <w:rStyle w:val="NavLinkChar"/>
          </w:rPr>
          <w:t xml:space="preserve">P3</w:t>
        </w:r>
      </w:hyperlink>
      <w:r>
        <w:t xml:space="preserve">,</w:t>
      </w:r>
      <w:r>
        <w:t xml:space="preserve"> </w:t>
      </w:r>
      <w:hyperlink w:anchor="p6" w:history="1">
        <w:r>
          <w:rPr>
            <w:rStyle w:val="NavLinkChar"/>
          </w:rPr>
          <w:t xml:space="preserve">P6</w:t>
        </w:r>
      </w:hyperlink>
    </w:p>
    <w:bookmarkEnd w:id="265"/>
    <w:bookmarkStart w:id="268" w:name="src-S51"/>
    <w:p>
      <w:pPr>
        <w:pStyle w:val="Heading2"/>
      </w:pPr>
      <w:r>
        <w:t xml:space="preserve">S51 – Caltech / UC Riverside: "The Unpaid Toll" (arXiv 2412.06288, v2)</w:t>
      </w:r>
    </w:p>
    <w:p>
      <w:pPr>
        <w:pStyle w:val="CardField"/>
      </w:pPr>
      <w:r>
        <w:rPr>
          <w:b/>
          <w:bCs/>
        </w:rPr>
        <w:t xml:space="preserve">Who &amp; When:</w:t>
      </w:r>
      <w:r>
        <w:t xml:space="preserve"> </w:t>
      </w:r>
      <w:r>
        <w:t xml:space="preserve">Researchers at Caltech and UC Riverside; preprint from December 2024, later revised.</w:t>
      </w:r>
    </w:p>
    <w:p>
      <w:pPr>
        <w:pStyle w:val="CardField"/>
      </w:pPr>
      <w:r>
        <w:rPr>
          <w:b/>
          <w:bCs/>
        </w:rPr>
        <w:t xml:space="preserve">Methodology:</w:t>
      </w:r>
      <w:r>
        <w:t xml:space="preserve"> </w:t>
      </w:r>
      <w:r>
        <w:t xml:space="preserve">EPA methods for estimating health damage from power plants and diesel backup generators.</w:t>
      </w:r>
    </w:p>
    <w:p>
      <w:pPr>
        <w:pStyle w:val="CardField"/>
      </w:pPr>
      <w:r>
        <w:rPr>
          <w:b/>
          <w:bCs/>
        </w:rPr>
        <w:t xml:space="preserve">Key Takeaways:</w:t>
      </w:r>
      <w:r>
        <w:t xml:space="preserve"> </w:t>
      </w:r>
      <w:r>
        <w:t xml:space="preserve">Public health costs from data center air pollution in the US could exceed $20 billion per year by 2028. The burden per household could be up to 200 times higher in disadvantaged communities.</w:t>
      </w:r>
    </w:p>
    <w:p>
      <w:pPr>
        <w:pStyle w:val="CardField"/>
      </w:pPr>
      <w:r>
        <w:rPr>
          <w:b/>
          <w:bCs/>
        </w:rPr>
        <w:t xml:space="preserve">Potential Counterpoints/Vulnerabilities:</w:t>
      </w:r>
      <w:r>
        <w:t xml:space="preserve"> </w:t>
      </w:r>
      <w:r>
        <w:t xml:space="preserve">A preprint (not peer-reviewed at the time of the search). The first version said "by 2030", and there is a known critique (David Mytton) → use it only as a supplement.</w:t>
      </w:r>
    </w:p>
    <w:p>
      <w:pPr>
        <w:pStyle w:val="CardField"/>
      </w:pPr>
      <w:r>
        <w:rPr>
          <w:b/>
          <w:bCs/>
        </w:rPr>
        <w:t xml:space="preserve">Verification:</w:t>
      </w:r>
      <w:r>
        <w:t xml:space="preserve"> </w:t>
      </w:r>
      <w:r>
        <w:t xml:space="preserve">✔ via the arXiv abstract and Caltech coverage.</w:t>
      </w:r>
    </w:p>
    <w:p>
      <w:pPr>
        <w:pStyle w:val="CardField"/>
      </w:pPr>
      <w:r>
        <w:rPr>
          <w:b/>
          <w:bCs/>
        </w:rPr>
        <w:t xml:space="preserve">Links:</w:t>
      </w:r>
    </w:p>
    <w:p>
      <w:pPr>
        <w:pStyle w:val="CardList"/>
        <w:numPr>
          <w:ilvl w:val="0"/>
          <w:numId w:val="1137"/>
        </w:numPr>
      </w:pPr>
      <w:hyperlink r:id="rId266" w:history="1">
        <w:r>
          <w:rPr>
            <w:rStyle w:val="Hyperlink"/>
          </w:rPr>
          <w:t xml:space="preserve">https://arxiv.org/html/2412.06288v2</w:t>
        </w:r>
      </w:hyperlink>
    </w:p>
    <w:p>
      <w:pPr>
        <w:pStyle w:val="CardList"/>
        <w:numPr>
          <w:ilvl w:val="0"/>
          <w:numId w:val="1137"/>
        </w:numPr>
      </w:pPr>
      <w:hyperlink r:id="rId267" w:history="1">
        <w:r>
          <w:rPr>
            <w:rStyle w:val="Hyperlink"/>
          </w:rPr>
          <w:t xml:space="preserve">https://lindecenter.caltech.edu/news/air-pollution-and-the-public-health-costs-of-ai</w:t>
        </w:r>
      </w:hyperlink>
    </w:p>
    <w:p>
      <w:pPr>
        <w:pStyle w:val="CardField"/>
      </w:pPr>
      <w:r>
        <w:rPr>
          <w:b/>
          <w:bCs/>
        </w:rPr>
        <w:t xml:space="preserve">Used:</w:t>
      </w:r>
      <w:r>
        <w:t xml:space="preserve"> </w:t>
      </w:r>
      <w:hyperlink w:anchor="p3" w:history="1">
        <w:r>
          <w:rPr>
            <w:rStyle w:val="NavLinkChar"/>
          </w:rPr>
          <w:t xml:space="preserve">P3</w:t>
        </w:r>
      </w:hyperlink>
    </w:p>
    <w:bookmarkEnd w:id="268"/>
    <w:bookmarkStart w:id="270" w:name="src-S52"/>
    <w:p>
      <w:pPr>
        <w:pStyle w:val="Heading2"/>
      </w:pPr>
      <w:r>
        <w:t xml:space="preserve">S52 – HARC: "Thirsty Data and the Lone Star State" (January 21, 2026)</w:t>
      </w:r>
    </w:p>
    <w:p>
      <w:pPr>
        <w:pStyle w:val="CardField"/>
      </w:pPr>
      <w:r>
        <w:rPr>
          <w:b/>
          <w:bCs/>
        </w:rPr>
        <w:t xml:space="preserve">Who &amp; When:</w:t>
      </w:r>
      <w:r>
        <w:t xml:space="preserve"> </w:t>
      </w:r>
      <w:r>
        <w:t xml:space="preserve">Houston Advanced Research Center (a non-profit research institute); January 21, 2026.</w:t>
      </w:r>
    </w:p>
    <w:p>
      <w:pPr>
        <w:pStyle w:val="CardField"/>
      </w:pPr>
      <w:r>
        <w:rPr>
          <w:b/>
          <w:bCs/>
        </w:rPr>
        <w:t xml:space="preserve">Key Takeaways:</w:t>
      </w:r>
      <w:r>
        <w:t xml:space="preserve"> </w:t>
      </w:r>
      <w:r>
        <w:t xml:space="preserve">Texas data centers use about 25 billion gallons per year (for cooling and for generating their electricity). By 2030: 29–161 billion gallons, up to 2.7% of the state's water use. The Texas State Water Plan does not take data center growth into account.</w:t>
      </w:r>
    </w:p>
    <w:p>
      <w:pPr>
        <w:pStyle w:val="CardField"/>
      </w:pPr>
      <w:r>
        <w:rPr>
          <w:b/>
          <w:bCs/>
        </w:rPr>
        <w:t xml:space="preserve">Potential Counterpoints/Vulnerabilities:</w:t>
      </w:r>
      <w:r>
        <w:t xml:space="preserve"> </w:t>
      </w:r>
      <w:r>
        <w:t xml:space="preserve">"Only 2.7%" → water is local (see P4).</w:t>
      </w:r>
    </w:p>
    <w:p>
      <w:pPr>
        <w:pStyle w:val="CardField"/>
      </w:pPr>
      <w:r>
        <w:rPr>
          <w:b/>
          <w:bCs/>
        </w:rPr>
        <w:t xml:space="preserve">Verification:</w:t>
      </w:r>
      <w:r>
        <w:t xml:space="preserve"> </w:t>
      </w:r>
      <w:r>
        <w:t xml:space="preserve">✔ via the HARC press release and several outlets.</w:t>
      </w:r>
    </w:p>
    <w:p>
      <w:pPr>
        <w:pStyle w:val="CardField"/>
      </w:pPr>
      <w:r>
        <w:rPr>
          <w:b/>
          <w:bCs/>
        </w:rPr>
        <w:t xml:space="preserve">Link:</w:t>
      </w:r>
      <w:r>
        <w:t xml:space="preserve"> </w:t>
      </w:r>
      <w:hyperlink r:id="rId269" w:history="1">
        <w:r>
          <w:rPr>
            <w:rStyle w:val="Hyperlink"/>
          </w:rPr>
          <w:t xml:space="preserve">https://harcresearch.org/news/texas-data-center-boom-could-consume-up-to-161-billion-gallons-of-water-annually-by-2030/</w:t>
        </w:r>
      </w:hyperlink>
    </w:p>
    <w:p>
      <w:pPr>
        <w:pStyle w:val="CardField"/>
      </w:pPr>
      <w:r>
        <w:rPr>
          <w:b/>
          <w:bCs/>
        </w:rPr>
        <w:t xml:space="preserve">Used:</w:t>
      </w:r>
      <w:r>
        <w:t xml:space="preserve"> </w:t>
      </w:r>
      <w:hyperlink w:anchor="p4" w:history="1">
        <w:r>
          <w:rPr>
            <w:rStyle w:val="NavLinkChar"/>
          </w:rPr>
          <w:t xml:space="preserve">P4</w:t>
        </w:r>
      </w:hyperlink>
    </w:p>
    <w:bookmarkEnd w:id="270"/>
    <w:bookmarkStart w:id="272" w:name="src-S53"/>
    <w:p>
      <w:pPr>
        <w:pStyle w:val="Heading2"/>
      </w:pPr>
      <w:r>
        <w:t xml:space="preserve">S53 – Arizona Luminaria: "Tucson City Council rejects Project Blue amid intense community pressure" (August 6, 2025)</w:t>
      </w:r>
    </w:p>
    <w:p>
      <w:pPr>
        <w:pStyle w:val="CardField"/>
      </w:pPr>
      <w:r>
        <w:rPr>
          <w:b/>
          <w:bCs/>
        </w:rPr>
        <w:t xml:space="preserve">Key Takeaways:</w:t>
      </w:r>
      <w:r>
        <w:t xml:space="preserve"> </w:t>
      </w:r>
      <w:r>
        <w:t xml:space="preserve">The council voted unanimously to end negotiations. City findings (as reported by the Tucson Sentinel) said the project would have needed more water than four golf courses. A residents' group called "No Desert Data Center" formed, and the process was criticized for its secrecy. Amazon Web Services denies any link to the project.</w:t>
      </w:r>
    </w:p>
    <w:p>
      <w:pPr>
        <w:pStyle w:val="CardField"/>
      </w:pPr>
      <w:r>
        <w:rPr>
          <w:b/>
          <w:bCs/>
        </w:rPr>
        <w:t xml:space="preserve">Verification:</w:t>
      </w:r>
      <w:r>
        <w:t xml:space="preserve"> </w:t>
      </w:r>
      <w:r>
        <w:t xml:space="preserve">✔ several local outlets.</w:t>
      </w:r>
    </w:p>
    <w:p>
      <w:pPr>
        <w:pStyle w:val="CardField"/>
      </w:pPr>
      <w:r>
        <w:rPr>
          <w:b/>
          <w:bCs/>
        </w:rPr>
        <w:t xml:space="preserve">Link:</w:t>
      </w:r>
      <w:r>
        <w:t xml:space="preserve"> </w:t>
      </w:r>
      <w:hyperlink r:id="rId271" w:history="1">
        <w:r>
          <w:rPr>
            <w:rStyle w:val="Hyperlink"/>
          </w:rPr>
          <w:t xml:space="preserve">https://azluminaria.org/2025/08/06/tucson-city-council-rejects-project-blue-amid-intense-community-pressure/</w:t>
        </w:r>
      </w:hyperlink>
    </w:p>
    <w:p>
      <w:pPr>
        <w:pStyle w:val="CardField"/>
      </w:pPr>
      <w:r>
        <w:rPr>
          <w:b/>
          <w:bCs/>
        </w:rPr>
        <w:t xml:space="preserve">Used:</w:t>
      </w:r>
      <w:r>
        <w:t xml:space="preserve"> </w:t>
      </w:r>
      <w:r>
        <w:t xml:space="preserve">– (not cited in Parts A–C)</w:t>
      </w:r>
    </w:p>
    <w:bookmarkEnd w:id="272"/>
    <w:bookmarkStart w:id="275" w:name="src-S54"/>
    <w:p>
      <w:pPr>
        <w:pStyle w:val="Heading2"/>
      </w:pPr>
      <w:r>
        <w:t xml:space="preserve">S54 – The Dalles (Oregon): lawsuit over Google's water use (2021–2022)</w:t>
      </w:r>
    </w:p>
    <w:p>
      <w:pPr>
        <w:pStyle w:val="CardField"/>
      </w:pPr>
      <w:r>
        <w:rPr>
          <w:b/>
          <w:bCs/>
        </w:rPr>
        <w:t xml:space="preserve">Who &amp; When:</w:t>
      </w:r>
      <w:r>
        <w:t xml:space="preserve"> </w:t>
      </w:r>
      <w:r>
        <w:t xml:space="preserve">DCD; AP (via KSAT, December 15, 2022).</w:t>
      </w:r>
    </w:p>
    <w:p>
      <w:pPr>
        <w:pStyle w:val="CardField"/>
      </w:pPr>
      <w:r>
        <w:rPr>
          <w:b/>
          <w:bCs/>
        </w:rPr>
        <w:t xml:space="preserve">Key Takeaways:</w:t>
      </w:r>
      <w:r>
        <w:t xml:space="preserve"> </w:t>
      </w:r>
      <w:r>
        <w:t xml:space="preserve">In November 2021 the city sued The Oregonian newspaper to keep Google's water use secret as a "trade secret", and dropped the case after 13 months (December 2022). The data then showed 355.1 million gallons in 2021, with use rising sharply since 2017.</w:t>
      </w:r>
    </w:p>
    <w:p>
      <w:pPr>
        <w:pStyle w:val="CardField"/>
      </w:pPr>
      <w:r>
        <w:rPr>
          <w:b/>
          <w:bCs/>
        </w:rPr>
        <w:t xml:space="preserve">Potential Counterpoints/Vulnerabilities:</w:t>
      </w:r>
      <w:r>
        <w:t xml:space="preserve"> </w:t>
      </w:r>
      <w:r>
        <w:t xml:space="preserve">Older (2021/22); Google has since dropped the trade-secret position.</w:t>
      </w:r>
    </w:p>
    <w:p>
      <w:pPr>
        <w:pStyle w:val="CardField"/>
      </w:pPr>
      <w:r>
        <w:rPr>
          <w:b/>
          <w:bCs/>
        </w:rPr>
        <w:t xml:space="preserve">Links:</w:t>
      </w:r>
    </w:p>
    <w:p>
      <w:pPr>
        <w:pStyle w:val="CardList"/>
        <w:numPr>
          <w:ilvl w:val="0"/>
          <w:numId w:val="1138"/>
        </w:numPr>
      </w:pPr>
      <w:hyperlink r:id="rId273" w:history="1">
        <w:r>
          <w:rPr>
            <w:rStyle w:val="Hyperlink"/>
          </w:rPr>
          <w:t xml:space="preserve">https://www.datacenterdynamics.com/en/news/we-now-know-how-much-water-googles-oregon-data-centers-use-after-city-drops-lawsuit-against-journalists/</w:t>
        </w:r>
      </w:hyperlink>
    </w:p>
    <w:p>
      <w:pPr>
        <w:pStyle w:val="CardList"/>
        <w:numPr>
          <w:ilvl w:val="0"/>
          <w:numId w:val="1138"/>
        </w:numPr>
      </w:pPr>
      <w:hyperlink r:id="rId274" w:history="1">
        <w:r>
          <w:rPr>
            <w:rStyle w:val="Hyperlink"/>
          </w:rPr>
          <w:t xml:space="preserve">https://www.ksat.com/news/politics/2022/12/15/oregon-city-drops-fight-to-keep-google-water-use-private/</w:t>
        </w:r>
      </w:hyperlink>
    </w:p>
    <w:p>
      <w:pPr>
        <w:pStyle w:val="CardField"/>
      </w:pPr>
      <w:r>
        <w:rPr>
          <w:b/>
          <w:bCs/>
        </w:rPr>
        <w:t xml:space="preserve">Used:</w:t>
      </w:r>
      <w:r>
        <w:t xml:space="preserve"> </w:t>
      </w:r>
      <w:hyperlink w:anchor="p4" w:history="1">
        <w:r>
          <w:rPr>
            <w:rStyle w:val="NavLinkChar"/>
          </w:rPr>
          <w:t xml:space="preserve">P4</w:t>
        </w:r>
      </w:hyperlink>
    </w:p>
    <w:bookmarkEnd w:id="275"/>
    <w:bookmarkStart w:id="278" w:name="src-S55"/>
    <w:p>
      <w:pPr>
        <w:pStyle w:val="Heading2"/>
      </w:pPr>
      <w:r>
        <w:t xml:space="preserve">S55 – Microsoft: zero-water cooling design (December 2024)</w:t>
      </w:r>
    </w:p>
    <w:p>
      <w:pPr>
        <w:pStyle w:val="CardField"/>
      </w:pPr>
      <w:r>
        <w:rPr>
          <w:b/>
          <w:bCs/>
        </w:rPr>
        <w:t xml:space="preserve">Key Takeaways:</w:t>
      </w:r>
      <w:r>
        <w:t xml:space="preserve"> </w:t>
      </w:r>
      <w:r>
        <w:t xml:space="preserve">A closed cooling loop without evaporation. It avoids more than 125 million liters of water per data center per year, at a slightly higher power use ("nominal", per Microsoft). First used in Phoenix and Mount Pleasant (Wisconsin) from 2026; operation from late 2027 according to Redmond Mag.</w:t>
      </w:r>
    </w:p>
    <w:p>
      <w:pPr>
        <w:pStyle w:val="CardField"/>
      </w:pPr>
      <w:r>
        <w:rPr>
          <w:b/>
          <w:bCs/>
        </w:rPr>
        <w:t xml:space="preserve">Potential Counterpoints/Vulnerabilities:</w:t>
      </w:r>
      <w:r>
        <w:t xml:space="preserve"> </w:t>
      </w:r>
      <w:r>
        <w:t xml:space="preserve">Voluntary and new; more power means more water used at the power plant.</w:t>
      </w:r>
    </w:p>
    <w:p>
      <w:pPr>
        <w:pStyle w:val="CardField"/>
      </w:pPr>
      <w:r>
        <w:rPr>
          <w:b/>
          <w:bCs/>
        </w:rPr>
        <w:t xml:space="preserve">Links:</w:t>
      </w:r>
    </w:p>
    <w:p>
      <w:pPr>
        <w:pStyle w:val="CardList"/>
        <w:numPr>
          <w:ilvl w:val="0"/>
          <w:numId w:val="1139"/>
        </w:numPr>
      </w:pPr>
      <w:hyperlink r:id="rId276" w:history="1">
        <w:r>
          <w:rPr>
            <w:rStyle w:val="Hyperlink"/>
          </w:rPr>
          <w:t xml:space="preserve">https://www.datacenterknowledge.com/build-design/microsoft-unveils-zero-water-data-centers-to-reduce-ai-climate-impact</w:t>
        </w:r>
      </w:hyperlink>
    </w:p>
    <w:p>
      <w:pPr>
        <w:pStyle w:val="CardList"/>
        <w:numPr>
          <w:ilvl w:val="0"/>
          <w:numId w:val="1139"/>
        </w:numPr>
      </w:pPr>
      <w:hyperlink r:id="rId277" w:history="1">
        <w:r>
          <w:rPr>
            <w:rStyle w:val="Hyperlink"/>
          </w:rPr>
          <w:t xml:space="preserve">https://redmondmag.com/articles/2024/12/09/microsoft-rolls-out--water-saving-datacenter-design.aspx</w:t>
        </w:r>
      </w:hyperlink>
    </w:p>
    <w:p>
      <w:pPr>
        <w:pStyle w:val="CardField"/>
      </w:pPr>
      <w:r>
        <w:rPr>
          <w:b/>
          <w:bCs/>
        </w:rPr>
        <w:t xml:space="preserve">Used:</w:t>
      </w:r>
      <w:r>
        <w:t xml:space="preserve"> </w:t>
      </w:r>
      <w:hyperlink w:anchor="p4" w:history="1">
        <w:r>
          <w:rPr>
            <w:rStyle w:val="NavLinkChar"/>
          </w:rPr>
          <w:t xml:space="preserve">P4</w:t>
        </w:r>
      </w:hyperlink>
    </w:p>
    <w:bookmarkEnd w:id="278"/>
    <w:bookmarkStart w:id="281" w:name="src-S56"/>
    <w:p>
      <w:pPr>
        <w:pStyle w:val="Heading2"/>
      </w:pPr>
      <w:r>
        <w:t xml:space="preserve">S56 – AEP Ohio data center tariff (PUCO order of July 9, 2025)</w:t>
      </w:r>
    </w:p>
    <w:p>
      <w:pPr>
        <w:pStyle w:val="CardField"/>
      </w:pPr>
      <w:r>
        <w:rPr>
          <w:b/>
          <w:bCs/>
        </w:rPr>
        <w:t xml:space="preserve">Who &amp; When:</w:t>
      </w:r>
      <w:r>
        <w:t xml:space="preserve"> </w:t>
      </w:r>
      <w:r>
        <w:t xml:space="preserve">Public Utilities Commission of Ohio (PUCO, Ohio's utility regulator); New Project Media; AEP Ohio.</w:t>
      </w:r>
    </w:p>
    <w:p>
      <w:pPr>
        <w:pStyle w:val="CardField"/>
      </w:pPr>
      <w:r>
        <w:rPr>
          <w:b/>
          <w:bCs/>
        </w:rPr>
        <w:t xml:space="preserve">Key Takeaways:</w:t>
      </w:r>
      <w:r>
        <w:t xml:space="preserve"> </w:t>
      </w:r>
      <w:r>
        <w:t xml:space="preserve">New large data centers must pay for at least 85% of their reserved capacity for 12 years (including a 4-year ramp-up), plus an exit fee if they cancel. Before the tariff, AEP Ohio had cited more than 30 GW of data center interest; after it took effect, formal load study requests totaled 13,022.7 MW across 36 sites.</w:t>
      </w:r>
    </w:p>
    <w:p>
      <w:pPr>
        <w:pStyle w:val="CardField"/>
      </w:pPr>
      <w:r>
        <w:rPr>
          <w:b/>
          <w:bCs/>
        </w:rPr>
        <w:t xml:space="preserve">Potential Counterpoints/Vulnerabilities:</w:t>
      </w:r>
      <w:r>
        <w:t xml:space="preserve"> </w:t>
      </w:r>
      <w:r>
        <w:t xml:space="preserve">The sources do not call the dropped requests "speculative" → say "less than half remained once commitments were required". The Ohio Manufacturers' Association calls the tariff discriminatory.</w:t>
      </w:r>
    </w:p>
    <w:p>
      <w:pPr>
        <w:pStyle w:val="CardField"/>
      </w:pPr>
      <w:r>
        <w:rPr>
          <w:b/>
          <w:bCs/>
        </w:rPr>
        <w:t xml:space="preserve">Links:</w:t>
      </w:r>
    </w:p>
    <w:p>
      <w:pPr>
        <w:pStyle w:val="CardList"/>
        <w:numPr>
          <w:ilvl w:val="0"/>
          <w:numId w:val="1140"/>
        </w:numPr>
      </w:pPr>
      <w:hyperlink r:id="rId279" w:history="1">
        <w:r>
          <w:rPr>
            <w:rStyle w:val="Hyperlink"/>
          </w:rPr>
          <w:t xml:space="preserve">https://www.renewableenergyworld.com/energy-business/policy-and-regulation/ohio-utility-regulators-approve-aeps-contested-data-center-tariff-proposal/</w:t>
        </w:r>
      </w:hyperlink>
    </w:p>
    <w:p>
      <w:pPr>
        <w:pStyle w:val="CardList"/>
        <w:numPr>
          <w:ilvl w:val="0"/>
          <w:numId w:val="1140"/>
        </w:numPr>
      </w:pPr>
      <w:hyperlink r:id="rId280" w:history="1">
        <w:r>
          <w:rPr>
            <w:rStyle w:val="Hyperlink"/>
          </w:rPr>
          <w:t xml:space="preserve">https://newprojectmedia.com/policy-aep-ohio-touts-right-sized-load-as-data-center-pipeline-shrinks-further-under-new-tariff/</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1" w:history="1">
        <w:r>
          <w:rPr>
            <w:rStyle w:val="NavLinkChar"/>
          </w:rPr>
          <w:t xml:space="preserve">P1</w:t>
        </w:r>
      </w:hyperlink>
      <w:r>
        <w:t xml:space="preserve">,</w:t>
      </w:r>
      <w:r>
        <w:t xml:space="preserve"> </w:t>
      </w:r>
      <w:hyperlink w:anchor="p6" w:history="1">
        <w:r>
          <w:rPr>
            <w:rStyle w:val="NavLinkChar"/>
          </w:rPr>
          <w:t xml:space="preserve">P6</w:t>
        </w:r>
      </w:hyperlink>
      <w:r>
        <w:t xml:space="preserve"> </w:t>
      </w:r>
      <w:r>
        <w:t xml:space="preserve">· Contra arguments (Part D): C4, C6</w:t>
      </w:r>
    </w:p>
    <w:bookmarkEnd w:id="281"/>
    <w:bookmarkStart w:id="284" w:name="src-S57"/>
    <w:p>
      <w:pPr>
        <w:pStyle w:val="Heading2"/>
      </w:pPr>
      <w:r>
        <w:t xml:space="preserve">S57 – Sam Altman on an AI bubble (The Verge interview, August 15, 2025)</w:t>
      </w:r>
    </w:p>
    <w:p>
      <w:pPr>
        <w:pStyle w:val="CardField"/>
      </w:pPr>
      <w:r>
        <w:rPr>
          <w:b/>
          <w:bCs/>
        </w:rPr>
        <w:t xml:space="preserve">Key Takeaways:</w:t>
      </w:r>
      <w:r>
        <w:t xml:space="preserve"> </w:t>
      </w:r>
      <w:r>
        <w:t xml:space="preserve">Altman says investors are "overexcited" and some valuations are "insane". He compares the moment to the dot-com bubble ("there was a real thing").</w:t>
      </w:r>
    </w:p>
    <w:p>
      <w:pPr>
        <w:pStyle w:val="CardField"/>
      </w:pPr>
      <w:r>
        <w:rPr>
          <w:b/>
          <w:bCs/>
        </w:rPr>
        <w:t xml:space="preserve">Original Quote:</w:t>
      </w:r>
      <w:r>
        <w:t xml:space="preserve"> </w:t>
      </w:r>
      <w:r>
        <w:t xml:space="preserve">"Are we in a phase where investors as a whole are overexcited about AI? My opinion is yes." He then asked whether AI is "the most important thing to happen in a very long time? My opinion is also yes."</w:t>
      </w:r>
    </w:p>
    <w:p>
      <w:pPr>
        <w:pStyle w:val="CardField"/>
      </w:pPr>
      <w:r>
        <w:rPr>
          <w:b/>
          <w:bCs/>
        </w:rPr>
        <w:t xml:space="preserve">Potential Counterpoints/Vulnerabilities:</w:t>
      </w:r>
      <w:r>
        <w:t xml:space="preserve"> </w:t>
      </w:r>
      <w:r>
        <w:t xml:space="preserve">Contra will quote the second sentence → see F3 in P6.</w:t>
      </w:r>
    </w:p>
    <w:p>
      <w:pPr>
        <w:pStyle w:val="CardField"/>
      </w:pPr>
      <w:r>
        <w:rPr>
          <w:b/>
          <w:bCs/>
        </w:rPr>
        <w:t xml:space="preserve">Links:</w:t>
      </w:r>
    </w:p>
    <w:p>
      <w:pPr>
        <w:pStyle w:val="CardList"/>
        <w:numPr>
          <w:ilvl w:val="0"/>
          <w:numId w:val="1141"/>
        </w:numPr>
      </w:pPr>
      <w:hyperlink r:id="rId282" w:history="1">
        <w:r>
          <w:rPr>
            <w:rStyle w:val="Hyperlink"/>
          </w:rPr>
          <w:t xml:space="preserve">https://fortune.com/2025/08/19/wall-street-ai-bubble-sam-altman</w:t>
        </w:r>
      </w:hyperlink>
    </w:p>
    <w:p>
      <w:pPr>
        <w:pStyle w:val="CardList"/>
        <w:numPr>
          <w:ilvl w:val="0"/>
          <w:numId w:val="1141"/>
        </w:numPr>
      </w:pPr>
      <w:hyperlink r:id="rId283" w:history="1">
        <w:r>
          <w:rPr>
            <w:rStyle w:val="Hyperlink"/>
          </w:rPr>
          <w:t xml:space="preserve">https://www.semafor.com/article/08/19/2025/openais-sam-altman-points-to-ai-bubble</w:t>
        </w:r>
      </w:hyperlink>
    </w:p>
    <w:p>
      <w:pPr>
        <w:pStyle w:val="CardField"/>
      </w:pPr>
      <w:r>
        <w:rPr>
          <w:b/>
          <w:bCs/>
        </w:rPr>
        <w:t xml:space="preserve">Used:</w:t>
      </w:r>
      <w:r>
        <w:t xml:space="preserve"> </w:t>
      </w:r>
      <w:hyperlink w:anchor="p6" w:history="1">
        <w:r>
          <w:rPr>
            <w:rStyle w:val="NavLinkChar"/>
          </w:rPr>
          <w:t xml:space="preserve">P6</w:t>
        </w:r>
      </w:hyperlink>
    </w:p>
    <w:bookmarkEnd w:id="284"/>
    <w:bookmarkStart w:id="286" w:name="src-S58"/>
    <w:p>
      <w:pPr>
        <w:pStyle w:val="Heading2"/>
      </w:pPr>
      <w:r>
        <w:t xml:space="preserve">S58 – Bloomberg: "Microsoft Abandons More Data Center Projects, TD Cowen Says" (March 26, 2025)</w:t>
      </w:r>
    </w:p>
    <w:p>
      <w:pPr>
        <w:pStyle w:val="CardField"/>
      </w:pPr>
      <w:r>
        <w:rPr>
          <w:b/>
          <w:bCs/>
        </w:rPr>
        <w:t xml:space="preserve">Key Takeaways:</w:t>
      </w:r>
      <w:r>
        <w:t xml:space="preserve"> </w:t>
      </w:r>
      <w:r>
        <w:t xml:space="preserve">Microsoft walked away from projects in the US and Europe totaling about 2 GW. TD Cowen points to oversupply relative to Microsoft's demand forecast (partly because it stopped supporting additional OpenAI training). Google and Meta took over capacity; Microsoft still planned about $80 billion in spending; Mizuho called it "business as usual".</w:t>
      </w:r>
    </w:p>
    <w:p>
      <w:pPr>
        <w:pStyle w:val="CardField"/>
      </w:pPr>
      <w:r>
        <w:rPr>
          <w:b/>
          <w:bCs/>
        </w:rPr>
        <w:t xml:space="preserve">Link:</w:t>
      </w:r>
      <w:r>
        <w:t xml:space="preserve"> </w:t>
      </w:r>
      <w:hyperlink r:id="rId285" w:history="1">
        <w:r>
          <w:rPr>
            <w:rStyle w:val="Hyperlink"/>
          </w:rPr>
          <w:t xml:space="preserve">https://www.bloomberg.com/news/articles/2025-03-26/microsoft-abandons-more-data-center-projects-td-cowen-says</w:t>
        </w:r>
      </w:hyperlink>
    </w:p>
    <w:p>
      <w:pPr>
        <w:pStyle w:val="CardField"/>
      </w:pPr>
      <w:r>
        <w:rPr>
          <w:b/>
          <w:bCs/>
        </w:rPr>
        <w:t xml:space="preserve">Used:</w:t>
      </w:r>
      <w:r>
        <w:t xml:space="preserve"> </w:t>
      </w:r>
      <w:hyperlink w:anchor="p6" w:history="1">
        <w:r>
          <w:rPr>
            <w:rStyle w:val="NavLinkChar"/>
          </w:rPr>
          <w:t xml:space="preserve">P6</w:t>
        </w:r>
      </w:hyperlink>
    </w:p>
    <w:bookmarkEnd w:id="286"/>
    <w:bookmarkStart w:id="291" w:name="src-S59"/>
    <w:p>
      <w:pPr>
        <w:pStyle w:val="Heading2"/>
      </w:pPr>
      <w:r>
        <w:t xml:space="preserve">S59 – Good Jobs First: data center tax breaks</w:t>
      </w:r>
    </w:p>
    <w:p>
      <w:pPr>
        <w:pStyle w:val="CardField"/>
      </w:pPr>
      <w:r>
        <w:rPr>
          <w:b/>
          <w:bCs/>
        </w:rPr>
        <w:t xml:space="preserve">Who &amp; When:</w:t>
      </w:r>
      <w:r>
        <w:t xml:space="preserve"> </w:t>
      </w:r>
      <w:r>
        <w:t xml:space="preserve">Good Jobs First (a nonprofit research center in Washington, D.C., that tracks subsidies to companies). Three reports:</w:t>
      </w:r>
    </w:p>
    <w:p>
      <w:pPr>
        <w:pStyle w:val="CardList"/>
        <w:numPr>
          <w:ilvl w:val="0"/>
          <w:numId w:val="1142"/>
        </w:numPr>
      </w:pPr>
      <w:r>
        <w:t xml:space="preserve">"Cloudy with a Loss of Spending Control" (April 2025);</w:t>
      </w:r>
    </w:p>
    <w:p>
      <w:pPr>
        <w:pStyle w:val="CardList"/>
        <w:numPr>
          <w:ilvl w:val="0"/>
          <w:numId w:val="1142"/>
        </w:numPr>
      </w:pPr>
      <w:r>
        <w:t xml:space="preserve">"Cloudy Data, Costly Deals" (November 2025);</w:t>
      </w:r>
    </w:p>
    <w:p>
      <w:pPr>
        <w:pStyle w:val="CardList"/>
        <w:numPr>
          <w:ilvl w:val="0"/>
          <w:numId w:val="1142"/>
        </w:numPr>
      </w:pPr>
      <w:r>
        <w:t xml:space="preserve">"Even Cloudier with a Greater Loss of Spending Control" (2026; author Kasia Tarczynska).</w:t>
      </w:r>
    </w:p>
    <w:p>
      <w:pPr>
        <w:pStyle w:val="CardList"/>
        <w:numPr>
          <w:ilvl w:val="0"/>
          <w:numId w:val="1000"/>
        </w:numPr>
      </w:pPr>
      <w:r>
        <w:t xml:space="preserve">Coverage: Stateline (April 15, 2026), The Register.</w:t>
      </w:r>
    </w:p>
    <w:p>
      <w:pPr>
        <w:pStyle w:val="CardField"/>
      </w:pPr>
      <w:r>
        <w:rPr>
          <w:b/>
          <w:bCs/>
        </w:rPr>
        <w:t xml:space="preserve">Origin:</w:t>
      </w:r>
      <w:r>
        <w:t xml:space="preserve"> </w:t>
      </w:r>
      <w:r>
        <w:t xml:space="preserve">Compiles the states' own figures (tax expenditure reports and state evaluations).</w:t>
      </w:r>
    </w:p>
    <w:p>
      <w:pPr>
        <w:pStyle w:val="CardField"/>
      </w:pPr>
      <w:r>
        <w:rPr>
          <w:b/>
          <w:bCs/>
        </w:rPr>
        <w:t xml:space="preserve">Context &amp; Classification:</w:t>
      </w:r>
      <w:r>
        <w:t xml:space="preserve"> </w:t>
      </w:r>
      <w:r>
        <w:t xml:space="preserve">An advocacy NGO with a clear position, but it works with official state numbers.</w:t>
      </w:r>
    </w:p>
    <w:p>
      <w:pPr>
        <w:pStyle w:val="CardField"/>
      </w:pPr>
      <w:r>
        <w:rPr>
          <w:b/>
          <w:bCs/>
        </w:rPr>
        <w:t xml:space="preserve">Key Takeaways:</w:t>
      </w:r>
    </w:p>
    <w:p>
      <w:pPr>
        <w:pStyle w:val="CardList"/>
        <w:numPr>
          <w:ilvl w:val="0"/>
          <w:numId w:val="1143"/>
        </w:numPr>
      </w:pPr>
      <w:r>
        <w:rPr>
          <w:b/>
          <w:bCs/>
        </w:rPr>
        <w:t xml:space="preserve">April 2025:</w:t>
      </w:r>
      <w:r>
        <w:t xml:space="preserve"> </w:t>
      </w:r>
      <w:r>
        <w:t xml:space="preserve">10 states each lose more than $100 million a year (TX, VA, IL, GA, IA, NV, OH, MN, WA, TN), about $3.1 billion combined; Texas alone more than $1 billion. 12 of 32 states with data center tax breaks don't disclose their total losses.</w:t>
      </w:r>
    </w:p>
    <w:p>
      <w:pPr>
        <w:pStyle w:val="CardList"/>
        <w:numPr>
          <w:ilvl w:val="0"/>
          <w:numId w:val="1143"/>
        </w:numPr>
      </w:pPr>
      <w:r>
        <w:rPr>
          <w:b/>
          <w:bCs/>
        </w:rPr>
        <w:t xml:space="preserve">November 2025:</w:t>
      </w:r>
      <w:r>
        <w:t xml:space="preserve"> </w:t>
      </w:r>
      <w:r>
        <w:t xml:space="preserve">states that calculated their return lose 52–70 cents per dollar – Virginia 52 cents, Washington state and Georgia 60–70 cents. Only 11 states disclose which companies benefit.</w:t>
      </w:r>
    </w:p>
    <w:p>
      <w:pPr>
        <w:pStyle w:val="CardList"/>
        <w:numPr>
          <w:ilvl w:val="0"/>
          <w:numId w:val="1143"/>
        </w:numPr>
      </w:pPr>
      <w:r>
        <w:rPr>
          <w:b/>
          <w:bCs/>
        </w:rPr>
        <w:t xml:space="preserve">2026:</w:t>
      </w:r>
      <w:r>
        <w:t xml:space="preserve"> </w:t>
      </w:r>
      <w:r>
        <w:t xml:space="preserve">Georgia projects $2.5 billion (FY2026, +664%); Texas $1.3 billion (FY2026); Virginia about $1.94 billion in FY2025 including local shares. Recommendation: pause new subsidies, full transparency, caps, sunset dates, safeguards.</w:t>
      </w:r>
    </w:p>
    <w:p>
      <w:pPr>
        <w:pStyle w:val="CardList"/>
        <w:numPr>
          <w:ilvl w:val="0"/>
          <w:numId w:val="1143"/>
        </w:numPr>
      </w:pPr>
      <w:r>
        <w:t xml:space="preserve">Property-tax breaks and electricity discounts are not included, so the true cost is higher.</w:t>
      </w:r>
    </w:p>
    <w:p>
      <w:pPr>
        <w:pStyle w:val="CardField"/>
      </w:pPr>
      <w:r>
        <w:rPr>
          <w:b/>
          <w:bCs/>
        </w:rPr>
        <w:t xml:space="preserve">Potential Counterpoints/Vulnerabilities:</w:t>
      </w:r>
      <w:r>
        <w:t xml:space="preserve"> </w:t>
      </w:r>
      <w:r>
        <w:t xml:space="preserve">"Advocacy group." → It uses the states' own numbers. ⚠ "Washington and Georgia 60 to 70 cents, respectively" – which state gets which figure is unclear, so say "60 to 70 cents" for both. ⚠ Check the exact publication date of the 2026 report.</w:t>
      </w:r>
    </w:p>
    <w:p>
      <w:pPr>
        <w:pStyle w:val="CardField"/>
      </w:pPr>
      <w:r>
        <w:rPr>
          <w:b/>
          <w:bCs/>
        </w:rPr>
        <w:t xml:space="preserve">Verification:</w:t>
      </w:r>
      <w:r>
        <w:t xml:space="preserve"> </w:t>
      </w:r>
      <w:r>
        <w:t xml:space="preserve">✔ via several excerpts and coverage.</w:t>
      </w:r>
    </w:p>
    <w:p>
      <w:pPr>
        <w:pStyle w:val="CardField"/>
      </w:pPr>
      <w:r>
        <w:rPr>
          <w:b/>
          <w:bCs/>
        </w:rPr>
        <w:t xml:space="preserve">Links:</w:t>
      </w:r>
    </w:p>
    <w:p>
      <w:pPr>
        <w:pStyle w:val="CardList"/>
        <w:numPr>
          <w:ilvl w:val="0"/>
          <w:numId w:val="1144"/>
        </w:numPr>
      </w:pPr>
      <w:hyperlink r:id="rId287" w:history="1">
        <w:r>
          <w:rPr>
            <w:rStyle w:val="Hyperlink"/>
          </w:rPr>
          <w:t xml:space="preserve">https://goodjobsfirst.org/cloudy-with-a-loss-of-spending-control-how-data-centers-are-endangering-state-budgets/</w:t>
        </w:r>
      </w:hyperlink>
    </w:p>
    <w:p>
      <w:pPr>
        <w:pStyle w:val="CardList"/>
        <w:numPr>
          <w:ilvl w:val="0"/>
          <w:numId w:val="1144"/>
        </w:numPr>
      </w:pPr>
      <w:hyperlink r:id="rId288" w:history="1">
        <w:r>
          <w:rPr>
            <w:rStyle w:val="Hyperlink"/>
          </w:rPr>
          <w:t xml:space="preserve">https://goodjobsfirst.org/cloudy-data-costly-deals-how-poorly-states-disclose-data-center-subsidies/</w:t>
        </w:r>
      </w:hyperlink>
    </w:p>
    <w:p>
      <w:pPr>
        <w:pStyle w:val="CardList"/>
        <w:numPr>
          <w:ilvl w:val="0"/>
          <w:numId w:val="1144"/>
        </w:numPr>
      </w:pPr>
      <w:hyperlink r:id="rId289" w:history="1">
        <w:r>
          <w:rPr>
            <w:rStyle w:val="Hyperlink"/>
          </w:rPr>
          <w:t xml:space="preserve">https://goodjobsfirst.org/even-cloudier-with-a-greater-loss-of-spending-control-how-data-center-tax-abatements-undermine-public-budgets/</w:t>
        </w:r>
      </w:hyperlink>
    </w:p>
    <w:p>
      <w:pPr>
        <w:pStyle w:val="CardList"/>
        <w:numPr>
          <w:ilvl w:val="0"/>
          <w:numId w:val="1144"/>
        </w:numPr>
      </w:pPr>
      <w:hyperlink r:id="rId290" w:history="1">
        <w:r>
          <w:rPr>
            <w:rStyle w:val="Hyperlink"/>
          </w:rPr>
          <w:t xml:space="preserve">https://stateline.org/2026/04/15/many-states-dont-report-losses-from-data-center-tax-breaks-study-says/</w:t>
        </w:r>
      </w:hyperlink>
    </w:p>
    <w:p>
      <w:pPr>
        <w:pStyle w:val="CardField"/>
      </w:pPr>
      <w:r>
        <w:rPr>
          <w:b/>
          <w:bCs/>
        </w:rPr>
        <w:t xml:space="preserve">Used:</w:t>
      </w:r>
      <w:r>
        <w:t xml:space="preserve"> </w:t>
      </w:r>
      <w:hyperlink w:anchor="p7" w:history="1">
        <w:r>
          <w:rPr>
            <w:rStyle w:val="NavLinkChar"/>
          </w:rPr>
          <w:t xml:space="preserve">P7</w:t>
        </w:r>
      </w:hyperlink>
      <w:r>
        <w:t xml:space="preserve"> </w:t>
      </w:r>
      <w:r>
        <w:t xml:space="preserve">· Contra arguments (Part D): C5</w:t>
      </w:r>
    </w:p>
    <w:bookmarkEnd w:id="291"/>
    <w:bookmarkStart w:id="296" w:name="src-S60"/>
    <w:p>
      <w:pPr>
        <w:pStyle w:val="Heading2"/>
      </w:pPr>
      <w:r>
        <w:t xml:space="preserve">S60 – JLARC and Virginia's financial report: the data center tax break</w:t>
      </w:r>
    </w:p>
    <w:p>
      <w:pPr>
        <w:pStyle w:val="CardField"/>
      </w:pPr>
      <w:r>
        <w:rPr>
          <w:b/>
          <w:bCs/>
        </w:rPr>
        <w:t xml:space="preserve">Who &amp; When:</w:t>
      </w:r>
    </w:p>
    <w:p>
      <w:pPr>
        <w:pStyle w:val="CardList"/>
        <w:numPr>
          <w:ilvl w:val="0"/>
          <w:numId w:val="1145"/>
        </w:numPr>
      </w:pPr>
      <w:r>
        <w:t xml:space="preserve">JLARC (Joint Legislative Audit and Review Commission, the Virginia General Assembly's independent audit and evaluation agency): "Data Centers in Virginia", Report 598, December 2024.</w:t>
      </w:r>
    </w:p>
    <w:p>
      <w:pPr>
        <w:pStyle w:val="CardList"/>
        <w:numPr>
          <w:ilvl w:val="0"/>
          <w:numId w:val="1145"/>
        </w:numPr>
      </w:pPr>
      <w:r>
        <w:t xml:space="preserve">JLARC evaluations of economic development incentives (2026), via Cardinal News (June 19, 2026).</w:t>
      </w:r>
    </w:p>
    <w:p>
      <w:pPr>
        <w:pStyle w:val="CardList"/>
        <w:numPr>
          <w:ilvl w:val="0"/>
          <w:numId w:val="1145"/>
        </w:numPr>
      </w:pPr>
      <w:r>
        <w:t xml:space="preserve">Virginia's Annual Comprehensive Financial Report for FY2025, via The Register (January 7, 2026) and DCD.</w:t>
      </w:r>
    </w:p>
    <w:p>
      <w:pPr>
        <w:pStyle w:val="CardField"/>
      </w:pPr>
      <w:r>
        <w:rPr>
          <w:b/>
          <w:bCs/>
        </w:rPr>
        <w:t xml:space="preserve">Key Takeaways:</w:t>
      </w:r>
    </w:p>
    <w:p>
      <w:pPr>
        <w:pStyle w:val="CardList"/>
        <w:numPr>
          <w:ilvl w:val="0"/>
          <w:numId w:val="1146"/>
        </w:numPr>
      </w:pPr>
      <w:r>
        <w:rPr>
          <w:b/>
          <w:bCs/>
        </w:rPr>
        <w:t xml:space="preserve">2024 report:</w:t>
      </w:r>
    </w:p>
    <w:p>
      <w:pPr>
        <w:pStyle w:val="CardList"/>
        <w:numPr>
          <w:ilvl w:val="1"/>
          <w:numId w:val="1147"/>
        </w:numPr>
      </w:pPr>
      <w:r>
        <w:t xml:space="preserve">The exemption cost $928.6 million in FY2023 – by far the largest economic development incentive. About 90% of the industry uses it.</w:t>
      </w:r>
    </w:p>
    <w:p>
      <w:pPr>
        <w:pStyle w:val="CardList"/>
        <w:numPr>
          <w:ilvl w:val="1"/>
          <w:numId w:val="1147"/>
        </w:numPr>
      </w:pPr>
      <w:r>
        <w:t xml:space="preserve">Each dollar given up generates only about 48 cents in new state revenue.</w:t>
      </w:r>
    </w:p>
    <w:p>
      <w:pPr>
        <w:pStyle w:val="CardList"/>
        <w:numPr>
          <w:ilvl w:val="1"/>
          <w:numId w:val="1147"/>
        </w:numPr>
      </w:pPr>
      <w:r>
        <w:t xml:space="preserve">The industry supports about 74,000 jobs (about 59,000 in construction, about 15,000 in operations), $5.5 billion in wages and $9.1 billion in GDP per year.</w:t>
      </w:r>
    </w:p>
    <w:p>
      <w:pPr>
        <w:pStyle w:val="CardList"/>
        <w:numPr>
          <w:ilvl w:val="1"/>
          <w:numId w:val="1147"/>
        </w:numPr>
      </w:pPr>
      <w:r>
        <w:t xml:space="preserve">Local officials say the revenue let them lower tax rates, create housing funds and reserves, and build schools.</w:t>
      </w:r>
    </w:p>
    <w:p>
      <w:pPr>
        <w:pStyle w:val="CardList"/>
        <w:numPr>
          <w:ilvl w:val="0"/>
          <w:numId w:val="1146"/>
        </w:numPr>
      </w:pPr>
      <w:r>
        <w:rPr>
          <w:b/>
          <w:bCs/>
        </w:rPr>
        <w:t xml:space="preserve">2026 evaluation:</w:t>
      </w:r>
      <w:r>
        <w:t xml:space="preserve"> </w:t>
      </w:r>
      <w:r>
        <w:t xml:space="preserve">Virginia's "second-best incentive" by income – $6.10 in labor income per $1 of tax break. In a survey of economic development officials, however, it ranked only 13th of 33.</w:t>
      </w:r>
    </w:p>
    <w:p>
      <w:pPr>
        <w:pStyle w:val="CardList"/>
        <w:numPr>
          <w:ilvl w:val="0"/>
          <w:numId w:val="1146"/>
        </w:numPr>
      </w:pPr>
      <w:r>
        <w:rPr>
          <w:b/>
          <w:bCs/>
        </w:rPr>
        <w:t xml:space="preserve">FY2025:</w:t>
      </w:r>
      <w:r>
        <w:t xml:space="preserve"> </w:t>
      </w:r>
      <w:r>
        <w:t xml:space="preserve">a cost of $1.6 billion (+118% vs. FY2024). Projected cost when it passed in 2008: about $1.54 million a year (Scott Surovell). Conditions: at least $150 million in investment and 50 new jobs per facility.</w:t>
      </w:r>
    </w:p>
    <w:p>
      <w:pPr>
        <w:pStyle w:val="CardField"/>
      </w:pPr>
      <w:r>
        <w:rPr>
          <w:b/>
          <w:bCs/>
        </w:rPr>
        <w:t xml:space="preserve">Potential Counterpoints/Vulnerabilities:</w:t>
      </w:r>
      <w:r>
        <w:t xml:space="preserve"> </w:t>
      </w:r>
      <w:r>
        <w:t xml:space="preserve">"$6.10 per dollar" → that is labor income, not tax revenue. ⚠ Virginia Business reports $685 million for FY2023 – probably the state share only (definition differs), so use JLARC's $928.6 million. ⚠ The 48 cents comes via Holland &amp; Knight and Cardinal News; the JLARC PDF was not opened.</w:t>
      </w:r>
    </w:p>
    <w:p>
      <w:pPr>
        <w:pStyle w:val="CardField"/>
      </w:pPr>
      <w:r>
        <w:rPr>
          <w:b/>
          <w:bCs/>
        </w:rPr>
        <w:t xml:space="preserve">Verification:</w:t>
      </w:r>
      <w:r>
        <w:t xml:space="preserve"> </w:t>
      </w:r>
      <w:r>
        <w:t xml:space="preserve">✔ via several excerpts.</w:t>
      </w:r>
    </w:p>
    <w:p>
      <w:pPr>
        <w:pStyle w:val="CardField"/>
      </w:pPr>
      <w:r>
        <w:rPr>
          <w:b/>
          <w:bCs/>
        </w:rPr>
        <w:t xml:space="preserve">Links:</w:t>
      </w:r>
    </w:p>
    <w:p>
      <w:pPr>
        <w:pStyle w:val="CardList"/>
        <w:numPr>
          <w:ilvl w:val="0"/>
          <w:numId w:val="1148"/>
        </w:numPr>
      </w:pPr>
      <w:hyperlink r:id="rId292" w:history="1">
        <w:r>
          <w:rPr>
            <w:rStyle w:val="Hyperlink"/>
          </w:rPr>
          <w:t xml:space="preserve">https://jlarc.virginia.gov/pdfs/reports/Rpt598-2.pdf</w:t>
        </w:r>
      </w:hyperlink>
    </w:p>
    <w:p>
      <w:pPr>
        <w:pStyle w:val="CardList"/>
        <w:numPr>
          <w:ilvl w:val="0"/>
          <w:numId w:val="1148"/>
        </w:numPr>
      </w:pPr>
      <w:hyperlink r:id="rId293" w:history="1">
        <w:r>
          <w:rPr>
            <w:rStyle w:val="Hyperlink"/>
          </w:rPr>
          <w:t xml:space="preserve">https://cardinalnews.org/2026/06/19/a-state-study-found-that-data-center-tax-break-was-virginias-2nd-best-incentive-producing-6-1-of-labor-income-for-every-1-in-exemptions/</w:t>
        </w:r>
      </w:hyperlink>
    </w:p>
    <w:p>
      <w:pPr>
        <w:pStyle w:val="CardList"/>
        <w:numPr>
          <w:ilvl w:val="0"/>
          <w:numId w:val="1148"/>
        </w:numPr>
      </w:pPr>
      <w:hyperlink r:id="rId294" w:history="1">
        <w:r>
          <w:rPr>
            <w:rStyle w:val="Hyperlink"/>
          </w:rPr>
          <w:t xml:space="preserve">https://www.theregister.com/2026/01/07/datacenter_tax_breaks_virginia/</w:t>
        </w:r>
      </w:hyperlink>
    </w:p>
    <w:p>
      <w:pPr>
        <w:pStyle w:val="CardList"/>
        <w:numPr>
          <w:ilvl w:val="0"/>
          <w:numId w:val="1148"/>
        </w:numPr>
      </w:pPr>
      <w:hyperlink r:id="rId295" w:history="1">
        <w:r>
          <w:rPr>
            <w:rStyle w:val="Hyperlink"/>
          </w:rPr>
          <w:t xml:space="preserve">https://www.datacenterdynamics.com/en/news/virginia-missed-more-than-16bn-in-tax-revenue-due-to-data-center-exemptions-in-2025/</w:t>
        </w:r>
      </w:hyperlink>
    </w:p>
    <w:p>
      <w:pPr>
        <w:pStyle w:val="CardField"/>
      </w:pPr>
      <w:r>
        <w:rPr>
          <w:b/>
          <w:bCs/>
        </w:rPr>
        <w:t xml:space="preserve">Used:</w:t>
      </w:r>
      <w:r>
        <w:t xml:space="preserve"> </w:t>
      </w:r>
      <w:hyperlink w:anchor="p7" w:history="1">
        <w:r>
          <w:rPr>
            <w:rStyle w:val="NavLinkChar"/>
          </w:rPr>
          <w:t xml:space="preserve">P7</w:t>
        </w:r>
      </w:hyperlink>
      <w:r>
        <w:t xml:space="preserve"> </w:t>
      </w:r>
      <w:r>
        <w:t xml:space="preserve">· Contra arguments (Part D): C5</w:t>
      </w:r>
    </w:p>
    <w:bookmarkEnd w:id="296"/>
    <w:bookmarkStart w:id="301" w:name="src-S61"/>
    <w:p>
      <w:pPr>
        <w:pStyle w:val="Heading2"/>
      </w:pPr>
      <w:r>
        <w:t xml:space="preserve">S61 – Meta: Beaver Dam, Wisconsin</w:t>
      </w:r>
    </w:p>
    <w:p>
      <w:pPr>
        <w:pStyle w:val="CardField"/>
      </w:pPr>
      <w:r>
        <w:rPr>
          <w:b/>
          <w:bCs/>
        </w:rPr>
        <w:t xml:space="preserve">Who &amp; When:</w:t>
      </w:r>
      <w:r>
        <w:t xml:space="preserve"> </w:t>
      </w:r>
      <w:r>
        <w:t xml:space="preserve">Meta, own announcement (November 12, 2025); Wisconsin Economic Development Corporation (WEDC, the state's economic development agency); Spectrum News 1; Wisconsin Public Radio; Data Center Knowledge.</w:t>
      </w:r>
    </w:p>
    <w:p>
      <w:pPr>
        <w:pStyle w:val="CardField"/>
      </w:pPr>
      <w:r>
        <w:rPr>
          <w:b/>
          <w:bCs/>
        </w:rPr>
        <w:t xml:space="preserve">Key Takeaways:</w:t>
      </w:r>
    </w:p>
    <w:p>
      <w:pPr>
        <w:pStyle w:val="CardList"/>
        <w:numPr>
          <w:ilvl w:val="0"/>
          <w:numId w:val="1149"/>
        </w:numPr>
      </w:pPr>
      <w:r>
        <w:t xml:space="preserve">More than $1 billion; about 700,000 sq ft; online in 2027.</w:t>
      </w:r>
    </w:p>
    <w:p>
      <w:pPr>
        <w:pStyle w:val="CardList"/>
        <w:numPr>
          <w:ilvl w:val="0"/>
          <w:numId w:val="1149"/>
        </w:numPr>
      </w:pPr>
      <w:r>
        <w:t xml:space="preserve">More than 1,000 skilled trade workers at peak; more than 100 operational jobs.</w:t>
      </w:r>
    </w:p>
    <w:p>
      <w:pPr>
        <w:pStyle w:val="CardList"/>
        <w:numPr>
          <w:ilvl w:val="0"/>
          <w:numId w:val="1149"/>
        </w:numPr>
      </w:pPr>
      <w:r>
        <w:t xml:space="preserve">Meta covers close to $200 million for grid work (network upgrades, substations, power lines).</w:t>
      </w:r>
    </w:p>
    <w:p>
      <w:pPr>
        <w:pStyle w:val="CardList"/>
        <w:numPr>
          <w:ilvl w:val="0"/>
          <w:numId w:val="1149"/>
        </w:numPr>
      </w:pPr>
      <w:r>
        <w:t xml:space="preserve">$15 million to Alliant Energy's Hometown Care Energy Fund (energy bill help for families), paid out over time.</w:t>
      </w:r>
    </w:p>
    <w:p>
      <w:pPr>
        <w:pStyle w:val="CardList"/>
        <w:numPr>
          <w:ilvl w:val="0"/>
          <w:numId w:val="1149"/>
        </w:numPr>
      </w:pPr>
      <w:r>
        <w:t xml:space="preserve">Dry cooling; wetland restoration.</w:t>
      </w:r>
    </w:p>
    <w:p>
      <w:pPr>
        <w:pStyle w:val="CardList"/>
        <w:numPr>
          <w:ilvl w:val="0"/>
          <w:numId w:val="1149"/>
        </w:numPr>
      </w:pPr>
      <w:r>
        <w:t xml:space="preserve">Some residents criticized a lack of transparency in the approval process (WPR).</w:t>
      </w:r>
    </w:p>
    <w:p>
      <w:pPr>
        <w:pStyle w:val="CardField"/>
      </w:pPr>
      <w:r>
        <w:rPr>
          <w:b/>
          <w:bCs/>
        </w:rPr>
        <w:t xml:space="preserve">Potential Counterpoints/Vulnerabilities:</w:t>
      </w:r>
      <w:r>
        <w:t xml:space="preserve"> </w:t>
      </w:r>
      <w:r>
        <w:t xml:space="preserve">These are the company's own figures. ⚠ "Over 10 years" for the $15 million comes from only one report.</w:t>
      </w:r>
    </w:p>
    <w:p>
      <w:pPr>
        <w:pStyle w:val="CardField"/>
      </w:pPr>
      <w:r>
        <w:rPr>
          <w:b/>
          <w:bCs/>
        </w:rPr>
        <w:t xml:space="preserve">Links:</w:t>
      </w:r>
    </w:p>
    <w:p>
      <w:pPr>
        <w:pStyle w:val="CardList"/>
        <w:numPr>
          <w:ilvl w:val="0"/>
          <w:numId w:val="1150"/>
        </w:numPr>
      </w:pPr>
      <w:hyperlink r:id="rId297" w:history="1">
        <w:r>
          <w:rPr>
            <w:rStyle w:val="Hyperlink"/>
          </w:rPr>
          <w:t xml:space="preserve">https://about.fb.com/news/2025/11/metas-30th-data-center-delivering-ai-supporting-wetlands-restoration/</w:t>
        </w:r>
      </w:hyperlink>
    </w:p>
    <w:p>
      <w:pPr>
        <w:pStyle w:val="CardList"/>
        <w:numPr>
          <w:ilvl w:val="0"/>
          <w:numId w:val="1150"/>
        </w:numPr>
      </w:pPr>
      <w:hyperlink r:id="rId298" w:history="1">
        <w:r>
          <w:rPr>
            <w:rStyle w:val="Hyperlink"/>
          </w:rPr>
          <w:t xml:space="preserve">https://urbanmilwaukee.com/pressrelease/meta-state-and-local-officials-announce-1-billion-data-center-investment-in-beaver-dam-project/</w:t>
        </w:r>
      </w:hyperlink>
    </w:p>
    <w:p>
      <w:pPr>
        <w:pStyle w:val="CardList"/>
        <w:numPr>
          <w:ilvl w:val="0"/>
          <w:numId w:val="1150"/>
        </w:numPr>
      </w:pPr>
      <w:hyperlink r:id="rId299" w:history="1">
        <w:r>
          <w:rPr>
            <w:rStyle w:val="Hyperlink"/>
          </w:rPr>
          <w:t xml:space="preserve">https://spectrumnews1.com/wi/milwaukee/news/2025/11/12/meta--ai-data-center--beaver-dam--dodge-county-</w:t>
        </w:r>
      </w:hyperlink>
    </w:p>
    <w:p>
      <w:pPr>
        <w:pStyle w:val="CardList"/>
        <w:numPr>
          <w:ilvl w:val="0"/>
          <w:numId w:val="1150"/>
        </w:numPr>
      </w:pPr>
      <w:hyperlink r:id="rId300" w:history="1">
        <w:r>
          <w:rPr>
            <w:rStyle w:val="Hyperlink"/>
          </w:rPr>
          <w:t xml:space="preserve">https://www.businessnorth.com/kuws_wisconsin_public_radio/meta-to-invest-more-than-1b-in-wisconsin-data-center-campus/article_61afe313-ac98-4740-a426-098806b0d62a.html</w:t>
        </w:r>
      </w:hyperlink>
    </w:p>
    <w:p>
      <w:pPr>
        <w:pStyle w:val="CardField"/>
      </w:pPr>
      <w:r>
        <w:rPr>
          <w:b/>
          <w:bCs/>
        </w:rPr>
        <w:t xml:space="preserve">Used:</w:t>
      </w:r>
      <w:r>
        <w:t xml:space="preserve"> </w:t>
      </w:r>
      <w:hyperlink w:anchor="p4" w:history="1">
        <w:r>
          <w:rPr>
            <w:rStyle w:val="NavLinkChar"/>
          </w:rPr>
          <w:t xml:space="preserve">P4</w:t>
        </w:r>
      </w:hyperlink>
      <w:r>
        <w:t xml:space="preserve">,</w:t>
      </w:r>
      <w:r>
        <w:t xml:space="preserve"> </w:t>
      </w:r>
      <w:hyperlink w:anchor="p7" w:history="1">
        <w:r>
          <w:rPr>
            <w:rStyle w:val="NavLinkChar"/>
          </w:rPr>
          <w:t xml:space="preserve">P7</w:t>
        </w:r>
      </w:hyperlink>
      <w:r>
        <w:t xml:space="preserve"> </w:t>
      </w:r>
      <w:r>
        <w:t xml:space="preserve">· Contra arguments (Part D): C5, C6, C8</w:t>
      </w:r>
    </w:p>
    <w:bookmarkEnd w:id="301"/>
    <w:bookmarkStart w:id="306" w:name="src-S62"/>
    <w:p>
      <w:pPr>
        <w:pStyle w:val="Heading2"/>
      </w:pPr>
      <w:r>
        <w:t xml:space="preserve">S62 – Loudoun County (Virginia): data center revenue</w:t>
      </w:r>
    </w:p>
    <w:p>
      <w:pPr>
        <w:pStyle w:val="CardField"/>
      </w:pPr>
      <w:r>
        <w:rPr>
          <w:b/>
          <w:bCs/>
        </w:rPr>
        <w:t xml:space="preserve">Who &amp; When:</w:t>
      </w:r>
      <w:r>
        <w:t xml:space="preserve"> </w:t>
      </w:r>
      <w:r>
        <w:t xml:space="preserve">Loudoun County, FY2026 budget presentation, FY2027 adopted budget, county FAQ "Data Centers – Tax Revenues and the County Budget"; WUSA9 (2026).</w:t>
      </w:r>
    </w:p>
    <w:p>
      <w:pPr>
        <w:pStyle w:val="CardField"/>
      </w:pPr>
      <w:r>
        <w:rPr>
          <w:b/>
          <w:bCs/>
        </w:rPr>
        <w:t xml:space="preserve">Key Takeaways:</w:t>
      </w:r>
    </w:p>
    <w:p>
      <w:pPr>
        <w:pStyle w:val="CardList"/>
        <w:numPr>
          <w:ilvl w:val="0"/>
          <w:numId w:val="1151"/>
        </w:numPr>
      </w:pPr>
      <w:r>
        <w:t xml:space="preserve">Data centers occupy about 4% of commercial parcels but yield 38% of general fund revenue: about $1.3 billion (about $879 million in computer equipment tax at $4.15 per $100; $417.7 million in real property tax).</w:t>
      </w:r>
    </w:p>
    <w:p>
      <w:pPr>
        <w:pStyle w:val="CardList"/>
        <w:numPr>
          <w:ilvl w:val="0"/>
          <w:numId w:val="1151"/>
        </w:numPr>
      </w:pPr>
      <w:r>
        <w:t xml:space="preserve">The homeowner rate fell from $1.145 (2016) to $0.805 per $100 (tax years 2025 and 2026), the lowest in Northern Virginia.</w:t>
      </w:r>
    </w:p>
    <w:p>
      <w:pPr>
        <w:pStyle w:val="CardList"/>
        <w:numPr>
          <w:ilvl w:val="0"/>
          <w:numId w:val="1151"/>
        </w:numPr>
      </w:pPr>
      <w:r>
        <w:t xml:space="preserve">The county says it collects $26 in taxes for every $1 of services it provides to data centers.</w:t>
      </w:r>
    </w:p>
    <w:p>
      <w:pPr>
        <w:pStyle w:val="CardList"/>
        <w:numPr>
          <w:ilvl w:val="0"/>
          <w:numId w:val="1151"/>
        </w:numPr>
      </w:pPr>
      <w:r>
        <w:t xml:space="preserve">The county expects data center revenue to plateau within 5–10 years. After that, the board would have to consider higher tax rates.</w:t>
      </w:r>
    </w:p>
    <w:p>
      <w:pPr>
        <w:pStyle w:val="CardList"/>
        <w:numPr>
          <w:ilvl w:val="0"/>
          <w:numId w:val="1151"/>
        </w:numPr>
      </w:pPr>
      <w:r>
        <w:t xml:space="preserve">The average homeowner's real estate tax bill was projected to rise by $141 in 2026 (higher home values).</w:t>
      </w:r>
    </w:p>
    <w:p>
      <w:pPr>
        <w:pStyle w:val="CardField"/>
      </w:pPr>
      <w:r>
        <w:rPr>
          <w:b/>
          <w:bCs/>
        </w:rPr>
        <w:t xml:space="preserve">Potential Counterpoints/Vulnerabilities:</w:t>
      </w:r>
      <w:r>
        <w:t xml:space="preserve"> </w:t>
      </w:r>
      <w:r>
        <w:t xml:space="preserve">"$26 per $1" is the county's own estimate, with no independent study. A tech-funded group (Chamber of Progress) claims homeowners save about $5,800 a year – don't use it, or only with that warning.</w:t>
      </w:r>
    </w:p>
    <w:p>
      <w:pPr>
        <w:pStyle w:val="CardField"/>
      </w:pPr>
      <w:r>
        <w:rPr>
          <w:b/>
          <w:bCs/>
        </w:rPr>
        <w:t xml:space="preserve">Links:</w:t>
      </w:r>
    </w:p>
    <w:p>
      <w:pPr>
        <w:pStyle w:val="CardList"/>
        <w:numPr>
          <w:ilvl w:val="0"/>
          <w:numId w:val="1152"/>
        </w:numPr>
      </w:pPr>
      <w:hyperlink r:id="rId302" w:history="1">
        <w:r>
          <w:rPr>
            <w:rStyle w:val="Hyperlink"/>
          </w:rPr>
          <w:t xml:space="preserve">https://www.loudoun.gov/Faq.aspx?QID=1793</w:t>
        </w:r>
      </w:hyperlink>
    </w:p>
    <w:p>
      <w:pPr>
        <w:pStyle w:val="CardList"/>
        <w:numPr>
          <w:ilvl w:val="0"/>
          <w:numId w:val="1152"/>
        </w:numPr>
      </w:pPr>
      <w:hyperlink r:id="rId303" w:history="1">
        <w:r>
          <w:rPr>
            <w:rStyle w:val="Hyperlink"/>
          </w:rPr>
          <w:t xml:space="preserve">https://www.loudoun.gov/6409/Tax-Revenues-County-Budget</w:t>
        </w:r>
      </w:hyperlink>
    </w:p>
    <w:p>
      <w:pPr>
        <w:pStyle w:val="CardList"/>
        <w:numPr>
          <w:ilvl w:val="0"/>
          <w:numId w:val="1152"/>
        </w:numPr>
      </w:pPr>
      <w:hyperlink r:id="rId304" w:history="1">
        <w:r>
          <w:rPr>
            <w:rStyle w:val="Hyperlink"/>
          </w:rPr>
          <w:t xml:space="preserve">https://www.loudoun.gov/DocumentCenter/View/213222/FY-2026-Proposed-Budget-Presentation</w:t>
        </w:r>
      </w:hyperlink>
    </w:p>
    <w:p>
      <w:pPr>
        <w:pStyle w:val="CardList"/>
        <w:numPr>
          <w:ilvl w:val="0"/>
          <w:numId w:val="1152"/>
        </w:numPr>
      </w:pPr>
      <w:hyperlink r:id="rId305" w:history="1">
        <w:r>
          <w:rPr>
            <w:rStyle w:val="Hyperlink"/>
          </w:rPr>
          <w:t xml:space="preserve">https://www.wusa9.com/article/news/community/data-centers/data-center-pause-loudoun-county-supervisors-tax-revenue/65-b9e5f62b-5352-400e-b379-72090f753232</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7" w:history="1">
        <w:r>
          <w:rPr>
            <w:rStyle w:val="NavLinkChar"/>
          </w:rPr>
          <w:t xml:space="preserve">P7</w:t>
        </w:r>
      </w:hyperlink>
      <w:r>
        <w:t xml:space="preserve"> </w:t>
      </w:r>
      <w:r>
        <w:t xml:space="preserve">· Contra arguments (Part D): C5, C8</w:t>
      </w:r>
    </w:p>
    <w:bookmarkEnd w:id="306"/>
    <w:bookmarkStart w:id="309" w:name="src-S63"/>
    <w:p>
      <w:pPr>
        <w:pStyle w:val="Heading2"/>
      </w:pPr>
      <w:r>
        <w:t xml:space="preserve">S63 – Census / AGC: construction spending on data centers (2025–2026)</w:t>
      </w:r>
    </w:p>
    <w:p>
      <w:pPr>
        <w:pStyle w:val="CardField"/>
      </w:pPr>
      <w:r>
        <w:rPr>
          <w:b/>
          <w:bCs/>
        </w:rPr>
        <w:t xml:space="preserve">Key Takeaways:</w:t>
      </w:r>
      <w:r>
        <w:t xml:space="preserve"> </w:t>
      </w:r>
      <w:r>
        <w:t xml:space="preserve">2025 averaged $41 billion (+32% vs. $31.1 billion in 2024). April 2026: an annual rate of $50.7 billion (about +28% year-on-year). June 2026: private non-residential construction</w:t>
      </w:r>
      <w:r>
        <w:t xml:space="preserve"> </w:t>
      </w:r>
      <w:r>
        <w:rPr>
          <w:i/>
          <w:iCs/>
        </w:rPr>
        <w:t xml:space="preserve">excluding</w:t>
      </w:r>
      <w:r>
        <w:t xml:space="preserve"> </w:t>
      </w:r>
      <w:r>
        <w:t xml:space="preserve">data centers −7.9% year-on-year.</w:t>
      </w:r>
    </w:p>
    <w:p>
      <w:pPr>
        <w:pStyle w:val="CardField"/>
      </w:pPr>
      <w:r>
        <w:rPr>
          <w:b/>
          <w:bCs/>
        </w:rPr>
        <w:t xml:space="preserve">Potential Counterpoints/Vulnerabilities:</w:t>
      </w:r>
      <w:r>
        <w:t xml:space="preserve"> </w:t>
      </w:r>
      <w:r>
        <w:t xml:space="preserve">⚠ The April growth rate is given as 28.1% or 28.7% depending on the outlet → say "about 28%". A reported August record of $84.95 billion comes only from a third-party analysis, so don't use it.</w:t>
      </w:r>
    </w:p>
    <w:p>
      <w:pPr>
        <w:pStyle w:val="CardField"/>
      </w:pPr>
      <w:r>
        <w:rPr>
          <w:b/>
          <w:bCs/>
        </w:rPr>
        <w:t xml:space="preserve">Links:</w:t>
      </w:r>
    </w:p>
    <w:p>
      <w:pPr>
        <w:pStyle w:val="CardList"/>
        <w:numPr>
          <w:ilvl w:val="0"/>
          <w:numId w:val="1153"/>
        </w:numPr>
      </w:pPr>
      <w:hyperlink r:id="rId307" w:history="1">
        <w:r>
          <w:rPr>
            <w:rStyle w:val="Hyperlink"/>
          </w:rPr>
          <w:t xml:space="preserve">https://www.electricalmarketing.com/economic-data/construction-industry/article/55383786/data-centers-still-sizzling-with-a-287-april-yoy-spending-increase-to-507-billion</w:t>
        </w:r>
      </w:hyperlink>
    </w:p>
    <w:p>
      <w:pPr>
        <w:pStyle w:val="CardList"/>
        <w:numPr>
          <w:ilvl w:val="0"/>
          <w:numId w:val="1153"/>
        </w:numPr>
      </w:pPr>
      <w:hyperlink r:id="rId308" w:history="1">
        <w:r>
          <w:rPr>
            <w:rStyle w:val="Hyperlink"/>
          </w:rPr>
          <w:t xml:space="preserve">https://www.agc.org/sites/default/files/users/user21902/Construction%20Spending%20July%202026.pdf</w:t>
        </w:r>
      </w:hyperlink>
    </w:p>
    <w:p>
      <w:pPr>
        <w:pStyle w:val="CardField"/>
      </w:pPr>
      <w:r>
        <w:rPr>
          <w:b/>
          <w:bCs/>
        </w:rPr>
        <w:t xml:space="preserve">Used:</w:t>
      </w:r>
      <w:r>
        <w:t xml:space="preserve"> </w:t>
      </w:r>
      <w:hyperlink w:anchor="a4" w:history="1">
        <w:r>
          <w:rPr>
            <w:rStyle w:val="NavLinkChar"/>
          </w:rPr>
          <w:t xml:space="preserve">A4</w:t>
        </w:r>
      </w:hyperlink>
      <w:r>
        <w:t xml:space="preserve">,</w:t>
      </w:r>
      <w:r>
        <w:t xml:space="preserve"> </w:t>
      </w:r>
      <w:hyperlink w:anchor="p7" w:history="1">
        <w:r>
          <w:rPr>
            <w:rStyle w:val="NavLinkChar"/>
          </w:rPr>
          <w:t xml:space="preserve">P7</w:t>
        </w:r>
      </w:hyperlink>
      <w:r>
        <w:t xml:space="preserve"> </w:t>
      </w:r>
      <w:r>
        <w:t xml:space="preserve">· Contra arguments (Part D): C5</w:t>
      </w:r>
    </w:p>
    <w:bookmarkEnd w:id="309"/>
    <w:bookmarkStart w:id="313" w:name="src-S64"/>
    <w:p>
      <w:pPr>
        <w:pStyle w:val="Heading2"/>
      </w:pPr>
      <w:r>
        <w:t xml:space="preserve">S64 – Ember: fossil share of electricity (USA, UAE, Malaysia)</w:t>
      </w:r>
    </w:p>
    <w:p>
      <w:pPr>
        <w:pStyle w:val="CardField"/>
      </w:pPr>
      <w:r>
        <w:rPr>
          <w:b/>
          <w:bCs/>
        </w:rPr>
        <w:t xml:space="preserve">Who &amp; When:</w:t>
      </w:r>
      <w:r>
        <w:t xml:space="preserve"> </w:t>
      </w:r>
      <w:r>
        <w:t xml:space="preserve">Ember (an independent energy think tank and one of the data sources behind your S5 chart); Global Electricity Review 2026 and country pages.</w:t>
      </w:r>
    </w:p>
    <w:p>
      <w:pPr>
        <w:pStyle w:val="CardField"/>
      </w:pPr>
      <w:r>
        <w:rPr>
          <w:b/>
          <w:bCs/>
        </w:rPr>
        <w:t xml:space="preserve">Key Takeaways:</w:t>
      </w:r>
      <w:r>
        <w:t xml:space="preserve"> </w:t>
      </w:r>
      <w:r>
        <w:t xml:space="preserve">USA 2025: 57% fossil (gas 40%, coal 16%). UAE: 68% (2024, gas; 2025 not yet available). Malaysia 2025: 79% fossil (coal about 45%, gas about 34%).</w:t>
      </w:r>
    </w:p>
    <w:p>
      <w:pPr>
        <w:pStyle w:val="CardField"/>
      </w:pPr>
      <w:r>
        <w:rPr>
          <w:b/>
          <w:bCs/>
        </w:rPr>
        <w:t xml:space="preserve">Use:</w:t>
      </w:r>
      <w:r>
        <w:t xml:space="preserve"> </w:t>
      </w:r>
      <w:r>
        <w:t xml:space="preserve">Provides the numbers missing from S5.</w:t>
      </w:r>
    </w:p>
    <w:p>
      <w:pPr>
        <w:pStyle w:val="CardField"/>
      </w:pPr>
      <w:r>
        <w:rPr>
          <w:b/>
          <w:bCs/>
        </w:rPr>
        <w:t xml:space="preserve">Links:</w:t>
      </w:r>
    </w:p>
    <w:p>
      <w:pPr>
        <w:pStyle w:val="CardList"/>
        <w:numPr>
          <w:ilvl w:val="0"/>
          <w:numId w:val="1154"/>
        </w:numPr>
      </w:pPr>
      <w:hyperlink r:id="rId310" w:history="1">
        <w:r>
          <w:rPr>
            <w:rStyle w:val="Hyperlink"/>
          </w:rPr>
          <w:t xml:space="preserve">https://ember-energy.org/countries-and-regions/united-states-of-america/</w:t>
        </w:r>
      </w:hyperlink>
    </w:p>
    <w:p>
      <w:pPr>
        <w:pStyle w:val="CardList"/>
        <w:numPr>
          <w:ilvl w:val="0"/>
          <w:numId w:val="1154"/>
        </w:numPr>
      </w:pPr>
      <w:hyperlink r:id="rId311" w:history="1">
        <w:r>
          <w:rPr>
            <w:rStyle w:val="Hyperlink"/>
          </w:rPr>
          <w:t xml:space="preserve">https://ember-energy.org/countries-and-regions/united-arab-emirates/</w:t>
        </w:r>
      </w:hyperlink>
    </w:p>
    <w:p>
      <w:pPr>
        <w:pStyle w:val="CardList"/>
        <w:numPr>
          <w:ilvl w:val="0"/>
          <w:numId w:val="1154"/>
        </w:numPr>
      </w:pPr>
      <w:hyperlink r:id="rId312" w:history="1">
        <w:r>
          <w:rPr>
            <w:rStyle w:val="Hyperlink"/>
          </w:rPr>
          <w:t xml:space="preserve">https://ember-energy.org/countries-and-regions/malaysia</w:t>
        </w:r>
      </w:hyperlink>
    </w:p>
    <w:p>
      <w:pPr>
        <w:pStyle w:val="CardField"/>
      </w:pPr>
      <w:r>
        <w:rPr>
          <w:b/>
          <w:bCs/>
        </w:rPr>
        <w:t xml:space="preserve">Used:</w:t>
      </w:r>
      <w:r>
        <w:t xml:space="preserve"> </w:t>
      </w:r>
      <w:hyperlink w:anchor="a6" w:history="1">
        <w:r>
          <w:rPr>
            <w:rStyle w:val="NavLinkChar"/>
          </w:rPr>
          <w:t xml:space="preserve">A6</w:t>
        </w:r>
      </w:hyperlink>
      <w:r>
        <w:t xml:space="preserve">,</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r>
        <w:t xml:space="preserve"> </w:t>
      </w:r>
      <w:r>
        <w:t xml:space="preserve">· Contra arguments (Part D): C1</w:t>
      </w:r>
    </w:p>
    <w:bookmarkEnd w:id="313"/>
    <w:bookmarkStart w:id="316" w:name="src-S65"/>
    <w:p>
      <w:pPr>
        <w:pStyle w:val="Heading2"/>
      </w:pPr>
      <w:r>
        <w:t xml:space="preserve">S65 – Efficiency: Uptime Institute (2025) and Google (PUE)</w:t>
      </w:r>
    </w:p>
    <w:p>
      <w:pPr>
        <w:pStyle w:val="CardField"/>
      </w:pPr>
      <w:r>
        <w:rPr>
          <w:b/>
          <w:bCs/>
        </w:rPr>
        <w:t xml:space="preserve">Key Takeaways:</w:t>
      </w:r>
      <w:r>
        <w:t xml:space="preserve"> </w:t>
      </w:r>
      <w:r>
        <w:t xml:space="preserve">Uptime Institute Global Data Center Survey 2025: average PUE 1.54, almost unchanged for six years. Google: fleet-wide PUE of 1.09 (trailing twelve months) for its large data centers. PUE = total power ÷ power used by the computers.</w:t>
      </w:r>
    </w:p>
    <w:p>
      <w:pPr>
        <w:pStyle w:val="CardField"/>
      </w:pPr>
      <w:r>
        <w:rPr>
          <w:b/>
          <w:bCs/>
        </w:rPr>
        <w:t xml:space="preserve">Potential Counterpoints/Vulnerabilities:</w:t>
      </w:r>
      <w:r>
        <w:t xml:space="preserve"> </w:t>
      </w:r>
      <w:r>
        <w:t xml:space="preserve">Google reports its own figure, and PUE measures efficiency per unit, not total consumption.</w:t>
      </w:r>
      <w:r>
        <w:t xml:space="preserve"> </w:t>
      </w:r>
      <w:r>
        <w:rPr>
          <w:b/>
          <w:bCs/>
        </w:rPr>
        <w:t xml:space="preserve">Replaces your S10</w:t>
      </w:r>
      <w:r>
        <w:t xml:space="preserve"> </w:t>
      </w:r>
      <w:r>
        <w:t xml:space="preserve">(low credibility) as the source for the efficiency figure.</w:t>
      </w:r>
    </w:p>
    <w:p>
      <w:pPr>
        <w:pStyle w:val="CardField"/>
      </w:pPr>
      <w:r>
        <w:rPr>
          <w:b/>
          <w:bCs/>
        </w:rPr>
        <w:t xml:space="preserve">Links:</w:t>
      </w:r>
    </w:p>
    <w:p>
      <w:pPr>
        <w:pStyle w:val="CardList"/>
        <w:numPr>
          <w:ilvl w:val="0"/>
          <w:numId w:val="1155"/>
        </w:numPr>
      </w:pPr>
      <w:hyperlink r:id="rId314" w:history="1">
        <w:r>
          <w:rPr>
            <w:rStyle w:val="Hyperlink"/>
          </w:rPr>
          <w:t xml:space="preserve">https://intelligence.uptimeinstitute.com/resource/uptime-institute-global-data-center-survey-2025</w:t>
        </w:r>
      </w:hyperlink>
    </w:p>
    <w:p>
      <w:pPr>
        <w:pStyle w:val="CardList"/>
        <w:numPr>
          <w:ilvl w:val="0"/>
          <w:numId w:val="1155"/>
        </w:numPr>
      </w:pPr>
      <w:hyperlink r:id="rId315" w:history="1">
        <w:r>
          <w:rPr>
            <w:rStyle w:val="Hyperlink"/>
          </w:rPr>
          <w:t xml:space="preserve">https://www.datacenters.google/efficiency</w:t>
        </w:r>
      </w:hyperlink>
    </w:p>
    <w:p>
      <w:pPr>
        <w:pStyle w:val="CardField"/>
      </w:pPr>
      <w:r>
        <w:rPr>
          <w:b/>
          <w:bCs/>
        </w:rPr>
        <w:t xml:space="preserve">Used:</w:t>
      </w:r>
      <w:r>
        <w:t xml:space="preserve"> </w:t>
      </w:r>
      <w:r>
        <w:t xml:space="preserve">– (not cited in Parts A–C) · Contra arguments (Part D): C2</w:t>
      </w:r>
    </w:p>
    <w:bookmarkEnd w:id="316"/>
    <w:bookmarkStart w:id="318" w:name="src-S66"/>
    <w:p>
      <w:pPr>
        <w:pStyle w:val="Heading2"/>
      </w:pPr>
      <w:r>
        <w:t xml:space="preserve">S66 – OpenAI: ChatGPT Pro for $200/month (December 5, 2024)</w:t>
      </w:r>
    </w:p>
    <w:p>
      <w:pPr>
        <w:pStyle w:val="CardField"/>
      </w:pPr>
      <w:r>
        <w:rPr>
          <w:b/>
          <w:bCs/>
        </w:rPr>
        <w:t xml:space="preserve">Key Takeaways:</w:t>
      </w:r>
      <w:r>
        <w:t xml:space="preserve"> </w:t>
      </w:r>
      <w:r>
        <w:t xml:space="preserve">$200 per month, ten times the price of ChatGPT Plus; unlimited access to the top models; "o1 pro mode" only in Pro.</w:t>
      </w:r>
    </w:p>
    <w:p>
      <w:pPr>
        <w:pStyle w:val="CardField"/>
      </w:pPr>
      <w:r>
        <w:rPr>
          <w:b/>
          <w:bCs/>
        </w:rPr>
        <w:t xml:space="preserve">Link:</w:t>
      </w:r>
      <w:r>
        <w:t xml:space="preserve"> </w:t>
      </w:r>
      <w:hyperlink r:id="rId317" w:history="1">
        <w:r>
          <w:rPr>
            <w:rStyle w:val="Hyperlink"/>
          </w:rPr>
          <w:t xml:space="preserve">https://www.thurrott.com/a-i/314112/openai-launches-200-month-chatgpt-pro-subscription-with-exclusive-o1-pro-mode</w:t>
        </w:r>
      </w:hyperlink>
    </w:p>
    <w:p>
      <w:pPr>
        <w:pStyle w:val="CardField"/>
      </w:pPr>
      <w:r>
        <w:rPr>
          <w:b/>
          <w:bCs/>
        </w:rPr>
        <w:t xml:space="preserve">Used:</w:t>
      </w:r>
      <w:r>
        <w:t xml:space="preserve"> </w:t>
      </w:r>
      <w:r>
        <w:t xml:space="preserve">– (not cited in Parts A–C) · Contra arguments (Part D): C4</w:t>
      </w:r>
    </w:p>
    <w:bookmarkEnd w:id="318"/>
    <w:bookmarkStart w:id="321" w:name="src-S67"/>
    <w:p>
      <w:pPr>
        <w:pStyle w:val="Heading2"/>
      </w:pPr>
      <w:r>
        <w:t xml:space="preserve">S67 – Stanford AI Index 2025: cost of running AI models</w:t>
      </w:r>
    </w:p>
    <w:p>
      <w:pPr>
        <w:pStyle w:val="CardField"/>
      </w:pPr>
      <w:r>
        <w:rPr>
          <w:b/>
          <w:bCs/>
        </w:rPr>
        <w:t xml:space="preserve">Key Takeaways:</w:t>
      </w:r>
      <w:r>
        <w:t xml:space="preserve"> </w:t>
      </w:r>
      <w:r>
        <w:t xml:space="preserve">The cost of GPT-3.5-level performance (MMLU benchmark) fell from about $20 to $0.07 per million tokens between November 2022 and October 2024 – about 280-fold.</w:t>
      </w:r>
    </w:p>
    <w:p>
      <w:pPr>
        <w:pStyle w:val="CardField"/>
      </w:pPr>
      <w:r>
        <w:rPr>
          <w:b/>
          <w:bCs/>
        </w:rPr>
        <w:t xml:space="preserve">Potential Counterpoints/Vulnerabilities:</w:t>
      </w:r>
      <w:r>
        <w:t xml:space="preserve"> </w:t>
      </w:r>
      <w:r>
        <w:t xml:space="preserve">Compares the cheapest available model at each point in time, not one product.</w:t>
      </w:r>
    </w:p>
    <w:p>
      <w:pPr>
        <w:pStyle w:val="CardField"/>
      </w:pPr>
      <w:r>
        <w:rPr>
          <w:b/>
          <w:bCs/>
        </w:rPr>
        <w:t xml:space="preserve">Links:</w:t>
      </w:r>
    </w:p>
    <w:p>
      <w:pPr>
        <w:pStyle w:val="CardList"/>
        <w:numPr>
          <w:ilvl w:val="0"/>
          <w:numId w:val="1156"/>
        </w:numPr>
      </w:pPr>
      <w:hyperlink r:id="rId319" w:history="1">
        <w:r>
          <w:rPr>
            <w:rStyle w:val="Hyperlink"/>
          </w:rPr>
          <w:t xml:space="preserve">https://hai.stanford.edu/ai-index</w:t>
        </w:r>
      </w:hyperlink>
    </w:p>
    <w:p>
      <w:pPr>
        <w:pStyle w:val="CardList"/>
        <w:numPr>
          <w:ilvl w:val="0"/>
          <w:numId w:val="1156"/>
        </w:numPr>
      </w:pPr>
      <w:hyperlink r:id="rId320" w:history="1">
        <w:r>
          <w:rPr>
            <w:rStyle w:val="Hyperlink"/>
          </w:rPr>
          <w:t xml:space="preserve">https://www.wisdomtree.com/investments/blog/2025/05/19/280x-cheaper-the-real-ai-revolution-is-accessibility</w:t>
        </w:r>
      </w:hyperlink>
    </w:p>
    <w:p>
      <w:pPr>
        <w:pStyle w:val="CardField"/>
      </w:pPr>
      <w:r>
        <w:rPr>
          <w:b/>
          <w:bCs/>
        </w:rPr>
        <w:t xml:space="preserve">Used:</w:t>
      </w:r>
      <w:r>
        <w:t xml:space="preserve"> </w:t>
      </w:r>
      <w:r>
        <w:t xml:space="preserve">– (not cited in Parts A–C) · Contra arguments (Part D): C3, C4</w:t>
      </w:r>
    </w:p>
    <w:bookmarkEnd w:id="321"/>
    <w:bookmarkStart w:id="324" w:name="src-S68"/>
    <w:p>
      <w:pPr>
        <w:pStyle w:val="Heading2"/>
      </w:pPr>
      <w:r>
        <w:t xml:space="preserve">S68 – Microsoft earnings calls: capacity shortage (October 2025 – July 2026)</w:t>
      </w:r>
    </w:p>
    <w:p>
      <w:pPr>
        <w:pStyle w:val="CardField"/>
      </w:pPr>
      <w:r>
        <w:rPr>
          <w:b/>
          <w:bCs/>
        </w:rPr>
        <w:t xml:space="preserve">Key Takeaways:</w:t>
      </w:r>
    </w:p>
    <w:p>
      <w:pPr>
        <w:pStyle w:val="CardList"/>
        <w:numPr>
          <w:ilvl w:val="0"/>
          <w:numId w:val="1157"/>
        </w:numPr>
      </w:pPr>
      <w:r>
        <w:t xml:space="preserve">October 2025: CFO Amy Hood expects to remain "capacity constrained" through at least the end of the fiscal year (June 2026).</w:t>
      </w:r>
    </w:p>
    <w:p>
      <w:pPr>
        <w:pStyle w:val="CardList"/>
        <w:numPr>
          <w:ilvl w:val="0"/>
          <w:numId w:val="1157"/>
        </w:numPr>
      </w:pPr>
      <w:r>
        <w:t xml:space="preserve">January 2026: confirmed.</w:t>
      </w:r>
    </w:p>
    <w:p>
      <w:pPr>
        <w:pStyle w:val="CardList"/>
        <w:numPr>
          <w:ilvl w:val="0"/>
          <w:numId w:val="1157"/>
        </w:numPr>
      </w:pPr>
      <w:r>
        <w:t xml:space="preserve">July 2026: Azure revenue +43%, and demand still exceeds available capacity; capital spending of about $175 billion planned for FY2027 ⚠ (MarketBeat summary).</w:t>
      </w:r>
    </w:p>
    <w:p>
      <w:pPr>
        <w:pStyle w:val="CardField"/>
      </w:pPr>
      <w:r>
        <w:rPr>
          <w:b/>
          <w:bCs/>
        </w:rPr>
        <w:t xml:space="preserve">Use:</w:t>
      </w:r>
      <w:r>
        <w:t xml:space="preserve"> </w:t>
      </w:r>
      <w:r>
        <w:t xml:space="preserve">Also fills the gap in your S6 card ("Microsoft confirms shortages in July 2026" had no source).</w:t>
      </w:r>
    </w:p>
    <w:p>
      <w:pPr>
        <w:pStyle w:val="CardField"/>
      </w:pPr>
      <w:r>
        <w:rPr>
          <w:b/>
          <w:bCs/>
        </w:rPr>
        <w:t xml:space="preserve">Links:</w:t>
      </w:r>
    </w:p>
    <w:p>
      <w:pPr>
        <w:pStyle w:val="CardList"/>
        <w:numPr>
          <w:ilvl w:val="0"/>
          <w:numId w:val="1158"/>
        </w:numPr>
      </w:pPr>
      <w:hyperlink r:id="rId322" w:history="1">
        <w:r>
          <w:rPr>
            <w:rStyle w:val="Hyperlink"/>
          </w:rPr>
          <w:t xml:space="preserve">https://www.fool.com/earnings/call-transcripts/2025/10/29/microsoft-msft-q1-2026-earnings-call-transcript</w:t>
        </w:r>
      </w:hyperlink>
    </w:p>
    <w:p>
      <w:pPr>
        <w:pStyle w:val="CardList"/>
        <w:numPr>
          <w:ilvl w:val="0"/>
          <w:numId w:val="1158"/>
        </w:numPr>
      </w:pPr>
      <w:hyperlink r:id="rId323" w:history="1">
        <w:r>
          <w:rPr>
            <w:rStyle w:val="Hyperlink"/>
          </w:rPr>
          <w:t xml:space="preserve">https://www.marketbeat.com/instant-alerts/microsoft-q4-earnings-call-highlights-2026-07-29/</w:t>
        </w:r>
      </w:hyperlink>
    </w:p>
    <w:p>
      <w:pPr>
        <w:pStyle w:val="CardField"/>
      </w:pPr>
      <w:r>
        <w:rPr>
          <w:b/>
          <w:bCs/>
        </w:rPr>
        <w:t xml:space="preserve">Used:</w:t>
      </w:r>
      <w:r>
        <w:t xml:space="preserve"> </w:t>
      </w:r>
      <w:hyperlink w:anchor="p5" w:history="1">
        <w:r>
          <w:rPr>
            <w:rStyle w:val="NavLinkChar"/>
          </w:rPr>
          <w:t xml:space="preserve">P5</w:t>
        </w:r>
      </w:hyperlink>
      <w:r>
        <w:t xml:space="preserve">,</w:t>
      </w:r>
      <w:r>
        <w:t xml:space="preserve"> </w:t>
      </w:r>
      <w:hyperlink w:anchor="p6" w:history="1">
        <w:r>
          <w:rPr>
            <w:rStyle w:val="NavLinkChar"/>
          </w:rPr>
          <w:t xml:space="preserve">P6</w:t>
        </w:r>
      </w:hyperlink>
      <w:r>
        <w:t xml:space="preserve"> </w:t>
      </w:r>
      <w:r>
        <w:t xml:space="preserve">· Contra arguments (Part D): C1, C2, C3, C4</w:t>
      </w:r>
    </w:p>
    <w:bookmarkEnd w:id="324"/>
    <w:bookmarkStart w:id="328" w:name="src-S69"/>
    <w:p>
      <w:pPr>
        <w:pStyle w:val="Heading2"/>
      </w:pPr>
      <w:r>
        <w:t xml:space="preserve">S69 – Hyperscalers' nuclear deals (2024–2025)</w:t>
      </w:r>
    </w:p>
    <w:p>
      <w:pPr>
        <w:pStyle w:val="CardField"/>
      </w:pPr>
      <w:r>
        <w:rPr>
          <w:b/>
          <w:bCs/>
        </w:rPr>
        <w:t xml:space="preserve">Key Takeaways:</w:t>
      </w:r>
    </w:p>
    <w:p>
      <w:pPr>
        <w:pStyle w:val="CardList"/>
        <w:numPr>
          <w:ilvl w:val="0"/>
          <w:numId w:val="1159"/>
        </w:numPr>
      </w:pPr>
      <w:r>
        <w:rPr>
          <w:b/>
          <w:bCs/>
        </w:rPr>
        <w:t xml:space="preserve">Microsoft–Constellation</w:t>
      </w:r>
      <w:r>
        <w:t xml:space="preserve"> </w:t>
      </w:r>
      <w:r>
        <w:t xml:space="preserve">(September 2024): 20-year contract to restart Three Mile Island Unit 1 (Crane Clean Energy Center), over 800 MW; restart expected around mid-2027 (Maryland Matters, July 30, 2026).</w:t>
      </w:r>
    </w:p>
    <w:p>
      <w:pPr>
        <w:pStyle w:val="CardList"/>
        <w:numPr>
          <w:ilvl w:val="0"/>
          <w:numId w:val="1159"/>
        </w:numPr>
      </w:pPr>
      <w:r>
        <w:rPr>
          <w:b/>
          <w:bCs/>
        </w:rPr>
        <w:t xml:space="preserve">Google–Kairos Power</w:t>
      </w:r>
      <w:r>
        <w:t xml:space="preserve"> </w:t>
      </w:r>
      <w:r>
        <w:t xml:space="preserve">(October 2024): the first corporate deal for several small modular reactors; first plant by 2030, 500 MW by 2035.</w:t>
      </w:r>
    </w:p>
    <w:p>
      <w:pPr>
        <w:pStyle w:val="CardList"/>
        <w:numPr>
          <w:ilvl w:val="0"/>
          <w:numId w:val="1159"/>
        </w:numPr>
      </w:pPr>
      <w:r>
        <w:rPr>
          <w:b/>
          <w:bCs/>
        </w:rPr>
        <w:t xml:space="preserve">Meta–Constellation</w:t>
      </w:r>
      <w:r>
        <w:t xml:space="preserve"> </w:t>
      </w:r>
      <w:r>
        <w:t xml:space="preserve">(June 2025): 20 years, about 1.1 GW from the existing Clinton plant from June 2027, which keeps the plant running without ratepayer support.</w:t>
      </w:r>
    </w:p>
    <w:p>
      <w:pPr>
        <w:pStyle w:val="CardField"/>
      </w:pPr>
      <w:r>
        <w:rPr>
          <w:b/>
          <w:bCs/>
        </w:rPr>
        <w:t xml:space="preserve">Links:</w:t>
      </w:r>
    </w:p>
    <w:p>
      <w:pPr>
        <w:pStyle w:val="CardList"/>
        <w:numPr>
          <w:ilvl w:val="0"/>
          <w:numId w:val="1160"/>
        </w:numPr>
      </w:pPr>
      <w:hyperlink r:id="rId325" w:history="1">
        <w:r>
          <w:rPr>
            <w:rStyle w:val="Hyperlink"/>
          </w:rPr>
          <w:t xml:space="preserve">https://marylandmatters.org/2026/07/30/repub/concern-persists-as-former-three-mile-island-nuclear-plant-progresses-toward-2027-restart/</w:t>
        </w:r>
      </w:hyperlink>
    </w:p>
    <w:p>
      <w:pPr>
        <w:pStyle w:val="CardList"/>
        <w:numPr>
          <w:ilvl w:val="0"/>
          <w:numId w:val="1160"/>
        </w:numPr>
      </w:pPr>
      <w:hyperlink r:id="rId326" w:history="1">
        <w:r>
          <w:rPr>
            <w:rStyle w:val="Hyperlink"/>
          </w:rPr>
          <w:t xml:space="preserve">https://www.nsenergybusiness.com/news/kairos-power-google-sign-deal-to-deploy-advanced-nuclear-power-in-us/</w:t>
        </w:r>
      </w:hyperlink>
    </w:p>
    <w:p>
      <w:pPr>
        <w:pStyle w:val="CardList"/>
        <w:numPr>
          <w:ilvl w:val="0"/>
          <w:numId w:val="1160"/>
        </w:numPr>
      </w:pPr>
      <w:hyperlink r:id="rId327" w:history="1">
        <w:r>
          <w:rPr>
            <w:rStyle w:val="Hyperlink"/>
          </w:rPr>
          <w:t xml:space="preserve">https://insideclimatenews.org/news/03062025/meta-constellation-nuclear-power-deal/</w:t>
        </w:r>
      </w:hyperlink>
    </w:p>
    <w:p>
      <w:pPr>
        <w:pStyle w:val="CardField"/>
      </w:pPr>
      <w:r>
        <w:rPr>
          <w:b/>
          <w:bCs/>
        </w:rPr>
        <w:t xml:space="preserve">Used:</w:t>
      </w:r>
      <w:r>
        <w:t xml:space="preserve"> </w:t>
      </w:r>
      <w:r>
        <w:t xml:space="preserve">– (not cited in Parts A–C) · Contra arguments (Part D): C7</w:t>
      </w:r>
    </w:p>
    <w:bookmarkEnd w:id="328"/>
    <w:bookmarkStart w:id="331" w:name="src-S70"/>
    <w:p>
      <w:pPr>
        <w:pStyle w:val="Heading2"/>
      </w:pPr>
      <w:r>
        <w:t xml:space="preserve">S70 – FERC rejects the Talen–Amazon interconnection agreement (Susquehanna, November 2024)</w:t>
      </w:r>
    </w:p>
    <w:p>
      <w:pPr>
        <w:pStyle w:val="CardField"/>
      </w:pPr>
      <w:r>
        <w:rPr>
          <w:b/>
          <w:bCs/>
        </w:rPr>
        <w:t xml:space="preserve">Key Takeaways:</w:t>
      </w:r>
      <w:r>
        <w:t xml:space="preserve"> </w:t>
      </w:r>
      <w:r>
        <w:t xml:space="preserve">FERC voted 2–1 against raising the load the Amazon campus draws directly from the nuclear plant from 300 MW to 480 MW. The utilities Exelon and AEP had warned that up to $140 million per year in transmission costs could shift onto other customers. FERC confirmed the rejection in April 2025.</w:t>
      </w:r>
    </w:p>
    <w:p>
      <w:pPr>
        <w:pStyle w:val="CardField"/>
      </w:pPr>
      <w:r>
        <w:rPr>
          <w:b/>
          <w:bCs/>
        </w:rPr>
        <w:t xml:space="preserve">Links:</w:t>
      </w:r>
    </w:p>
    <w:p>
      <w:pPr>
        <w:pStyle w:val="CardList"/>
        <w:numPr>
          <w:ilvl w:val="0"/>
          <w:numId w:val="1161"/>
        </w:numPr>
      </w:pPr>
      <w:hyperlink r:id="rId329" w:history="1">
        <w:r>
          <w:rPr>
            <w:rStyle w:val="Hyperlink"/>
          </w:rPr>
          <w:t xml:space="preserve">https://www.renewableenergyworld.com/news/ferc-rejects-amended-interconnection-agreement-for-amazon-data-center-at-susquehanna-nuclear-plant/</w:t>
        </w:r>
      </w:hyperlink>
    </w:p>
    <w:p>
      <w:pPr>
        <w:pStyle w:val="CardList"/>
        <w:numPr>
          <w:ilvl w:val="0"/>
          <w:numId w:val="1161"/>
        </w:numPr>
      </w:pPr>
      <w:hyperlink r:id="rId330" w:history="1">
        <w:r>
          <w:rPr>
            <w:rStyle w:val="Hyperlink"/>
          </w:rPr>
          <w:t xml:space="preserve">https://ans.org/news/article-6937/ferc-denies-talen-amazon-agreementagain</w:t>
        </w:r>
      </w:hyperlink>
    </w:p>
    <w:p>
      <w:pPr>
        <w:pStyle w:val="CardField"/>
      </w:pPr>
      <w:r>
        <w:rPr>
          <w:b/>
          <w:bCs/>
        </w:rPr>
        <w:t xml:space="preserve">Used:</w:t>
      </w:r>
      <w:r>
        <w:t xml:space="preserve"> </w:t>
      </w:r>
      <w:r>
        <w:t xml:space="preserve">– (not cited in Parts A–C) · Contra arguments (Part D): C7</w:t>
      </w:r>
    </w:p>
    <w:bookmarkEnd w:id="331"/>
    <w:bookmarkStart w:id="334" w:name="src-S71"/>
    <w:p>
      <w:pPr>
        <w:pStyle w:val="Heading2"/>
      </w:pPr>
      <w:r>
        <w:t xml:space="preserve">S71 – Texas Senate Bill 6 (signed June 20, 2025)</w:t>
      </w:r>
    </w:p>
    <w:p>
      <w:pPr>
        <w:pStyle w:val="CardField"/>
      </w:pPr>
      <w:r>
        <w:rPr>
          <w:b/>
          <w:bCs/>
        </w:rPr>
        <w:t xml:space="preserve">Key Takeaways:</w:t>
      </w:r>
      <w:r>
        <w:t xml:space="preserve"> </w:t>
      </w:r>
      <w:r>
        <w:t xml:space="preserve">For large loads of 75 MW or more (the Texas regulator PUCT can adjust the threshold): connection standards, mandatory study fees, disclosure duties and cost sharing. Large loads connected after December 31, 2025 must follow emergency curtailment protocols, and ERCOT can require them in emergencies to switch to their own generation or cut load.</w:t>
      </w:r>
    </w:p>
    <w:p>
      <w:pPr>
        <w:pStyle w:val="CardField"/>
      </w:pPr>
      <w:r>
        <w:rPr>
          <w:b/>
          <w:bCs/>
        </w:rPr>
        <w:t xml:space="preserve">Links:</w:t>
      </w:r>
    </w:p>
    <w:p>
      <w:pPr>
        <w:pStyle w:val="CardList"/>
        <w:numPr>
          <w:ilvl w:val="0"/>
          <w:numId w:val="1162"/>
        </w:numPr>
      </w:pPr>
      <w:hyperlink r:id="rId332" w:history="1">
        <w:r>
          <w:rPr>
            <w:rStyle w:val="Hyperlink"/>
          </w:rPr>
          <w:t xml:space="preserve">https://www.utilitydive.com/news/texas-law-gives-grid-operator-power-to-disconnect-data-centers-during-crisis/751587</w:t>
        </w:r>
      </w:hyperlink>
    </w:p>
    <w:p>
      <w:pPr>
        <w:pStyle w:val="CardList"/>
        <w:numPr>
          <w:ilvl w:val="0"/>
          <w:numId w:val="1162"/>
        </w:numPr>
      </w:pPr>
      <w:hyperlink r:id="rId333" w:history="1">
        <w:r>
          <w:rPr>
            <w:rStyle w:val="Hyperlink"/>
          </w:rPr>
          <w:t xml:space="preserve">https://www.mayerbrown.com/en/insights/publications/2025/07/important-texas-regulatory-updates-for-data-centers</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2" w:history="1">
        <w:r>
          <w:rPr>
            <w:rStyle w:val="NavLinkChar"/>
          </w:rPr>
          <w:t xml:space="preserve">P2</w:t>
        </w:r>
      </w:hyperlink>
      <w:r>
        <w:t xml:space="preserve">,</w:t>
      </w:r>
      <w:r>
        <w:t xml:space="preserve"> </w:t>
      </w:r>
      <w:hyperlink w:anchor="p5" w:history="1">
        <w:r>
          <w:rPr>
            <w:rStyle w:val="NavLinkChar"/>
          </w:rPr>
          <w:t xml:space="preserve">P5</w:t>
        </w:r>
      </w:hyperlink>
      <w:r>
        <w:t xml:space="preserve"> </w:t>
      </w:r>
      <w:r>
        <w:t xml:space="preserve">· Contra arguments (Part D): C6</w:t>
      </w:r>
    </w:p>
    <w:bookmarkEnd w:id="334"/>
    <w:bookmarkStart w:id="336" w:name="src-S72"/>
    <w:p>
      <w:pPr>
        <w:pStyle w:val="Heading2"/>
      </w:pPr>
      <w:r>
        <w:t xml:space="preserve">S72 – Cato Institute: "Turning a Local Issue into a Federal Headache: The Problem with Data Center Moratoriums" (July 1, 2026)</w:t>
      </w:r>
    </w:p>
    <w:p>
      <w:pPr>
        <w:pStyle w:val="CardField"/>
      </w:pPr>
      <w:r>
        <w:rPr>
          <w:b/>
          <w:bCs/>
        </w:rPr>
        <w:t xml:space="preserve">Who &amp; When:</w:t>
      </w:r>
      <w:r>
        <w:t xml:space="preserve"> </w:t>
      </w:r>
      <w:r>
        <w:t xml:space="preserve">Jennifer Huddleston and Christopher Gardner, Cato Institute (a libertarian think tank), July 1, 2026.</w:t>
      </w:r>
    </w:p>
    <w:p>
      <w:pPr>
        <w:pStyle w:val="CardField"/>
      </w:pPr>
      <w:r>
        <w:rPr>
          <w:b/>
          <w:bCs/>
        </w:rPr>
        <w:t xml:space="preserve">Key Takeaways:</w:t>
      </w:r>
      <w:r>
        <w:t xml:space="preserve"> </w:t>
      </w:r>
      <w:r>
        <w:t xml:space="preserve">Argues against a federal moratorium, in response to the Sanders bill. Counts 116 municipalities with local moratoria as of the end of June 2026.</w:t>
      </w:r>
    </w:p>
    <w:p>
      <w:pPr>
        <w:pStyle w:val="CardField"/>
      </w:pPr>
      <w:r>
        <w:rPr>
          <w:b/>
          <w:bCs/>
        </w:rPr>
        <w:t xml:space="preserve">Potential Counterpoints/Vulnerabilities:</w:t>
      </w:r>
      <w:r>
        <w:t xml:space="preserve"> </w:t>
      </w:r>
      <w:r>
        <w:t xml:space="preserve">A think tank with a clear stance → use it as an opinion source.</w:t>
      </w:r>
    </w:p>
    <w:p>
      <w:pPr>
        <w:pStyle w:val="CardField"/>
      </w:pPr>
      <w:r>
        <w:rPr>
          <w:b/>
          <w:bCs/>
        </w:rPr>
        <w:t xml:space="preserve">Link:</w:t>
      </w:r>
      <w:r>
        <w:t xml:space="preserve"> </w:t>
      </w:r>
      <w:hyperlink r:id="rId335" w:history="1">
        <w:r>
          <w:rPr>
            <w:rStyle w:val="Hyperlink"/>
          </w:rPr>
          <w:t xml:space="preserve">https://www.cato.org/blog/turning-local-issue-federal-headache-problem-data-center-moratoriums</w:t>
        </w:r>
      </w:hyperlink>
    </w:p>
    <w:p>
      <w:pPr>
        <w:pStyle w:val="CardField"/>
      </w:pPr>
      <w:r>
        <w:rPr>
          <w:b/>
          <w:bCs/>
        </w:rPr>
        <w:t xml:space="preserve">Used:</w:t>
      </w:r>
      <w:r>
        <w:t xml:space="preserve"> </w:t>
      </w:r>
      <w:hyperlink w:anchor="a5" w:history="1">
        <w:r>
          <w:rPr>
            <w:rStyle w:val="NavLinkChar"/>
          </w:rPr>
          <w:t xml:space="preserve">A5</w:t>
        </w:r>
      </w:hyperlink>
      <w:r>
        <w:t xml:space="preserve"> </w:t>
      </w:r>
      <w:r>
        <w:t xml:space="preserve">· Contra arguments (Part D): C8</w:t>
      </w:r>
    </w:p>
    <w:bookmarkEnd w:id="336"/>
    <w:bookmarkStart w:id="339" w:name="src-S73"/>
    <w:p>
      <w:pPr>
        <w:pStyle w:val="Heading2"/>
      </w:pPr>
      <w:r>
        <w:t xml:space="preserve">S73 – Maine LD 307: moratorium vetoed (April 2026)</w:t>
      </w:r>
    </w:p>
    <w:p>
      <w:pPr>
        <w:pStyle w:val="CardField"/>
      </w:pPr>
      <w:r>
        <w:rPr>
          <w:b/>
          <w:bCs/>
        </w:rPr>
        <w:t xml:space="preserve">Key Takeaways:</w:t>
      </w:r>
    </w:p>
    <w:p>
      <w:pPr>
        <w:pStyle w:val="CardList"/>
        <w:numPr>
          <w:ilvl w:val="0"/>
          <w:numId w:val="1163"/>
        </w:numPr>
      </w:pPr>
      <w:r>
        <w:t xml:space="preserve">April 15, 2026: the legislature passed a moratorium for data centers of 20 MW and more, until November 1, 2027.</w:t>
      </w:r>
    </w:p>
    <w:p>
      <w:pPr>
        <w:pStyle w:val="CardList"/>
        <w:numPr>
          <w:ilvl w:val="0"/>
          <w:numId w:val="1163"/>
        </w:numPr>
      </w:pPr>
      <w:r>
        <w:t xml:space="preserve">April 24: Governor Mills vetoed it. She supports a temporary moratorium but wanted an exemption for a $550 million project in Jay.</w:t>
      </w:r>
    </w:p>
    <w:p>
      <w:pPr>
        <w:pStyle w:val="CardList"/>
        <w:numPr>
          <w:ilvl w:val="0"/>
          <w:numId w:val="1163"/>
        </w:numPr>
      </w:pPr>
      <w:r>
        <w:t xml:space="preserve">April 29: the override failed 72–65.</w:t>
      </w:r>
    </w:p>
    <w:p>
      <w:pPr>
        <w:pStyle w:val="CardList"/>
        <w:numPr>
          <w:ilvl w:val="0"/>
          <w:numId w:val="1163"/>
        </w:numPr>
      </w:pPr>
      <w:r>
        <w:t xml:space="preserve">At the same time she signed LD 713: data center projects are excluded from state business tax incentives.</w:t>
      </w:r>
    </w:p>
    <w:p>
      <w:pPr>
        <w:pStyle w:val="CardField"/>
      </w:pPr>
      <w:r>
        <w:rPr>
          <w:b/>
          <w:bCs/>
        </w:rPr>
        <w:t xml:space="preserve">Links:</w:t>
      </w:r>
    </w:p>
    <w:p>
      <w:pPr>
        <w:pStyle w:val="CardList"/>
        <w:numPr>
          <w:ilvl w:val="0"/>
          <w:numId w:val="1164"/>
        </w:numPr>
      </w:pPr>
      <w:hyperlink r:id="rId337" w:history="1">
        <w:r>
          <w:rPr>
            <w:rStyle w:val="Hyperlink"/>
          </w:rPr>
          <w:t xml:space="preserve">https://www.maine.gov/governor/mills/news/governor-mills-announces-decision-ld-307-2026-04-24</w:t>
        </w:r>
      </w:hyperlink>
    </w:p>
    <w:p>
      <w:pPr>
        <w:pStyle w:val="CardList"/>
        <w:numPr>
          <w:ilvl w:val="0"/>
          <w:numId w:val="1164"/>
        </w:numPr>
      </w:pPr>
      <w:hyperlink r:id="rId338" w:history="1">
        <w:r>
          <w:rPr>
            <w:rStyle w:val="Hyperlink"/>
          </w:rPr>
          <w:t xml:space="preserve">https://www.wabi.tv/2026/04/29/maine-legislature-does-not-override-gov-mills-veto-data-center-moratorium/</w:t>
        </w:r>
      </w:hyperlink>
    </w:p>
    <w:p>
      <w:pPr>
        <w:pStyle w:val="CardField"/>
      </w:pPr>
      <w:r>
        <w:rPr>
          <w:b/>
          <w:bCs/>
        </w:rPr>
        <w:t xml:space="preserve">Used:</w:t>
      </w:r>
      <w:r>
        <w:t xml:space="preserve"> </w:t>
      </w:r>
      <w:hyperlink w:anchor="a1" w:history="1">
        <w:r>
          <w:rPr>
            <w:rStyle w:val="NavLinkChar"/>
          </w:rPr>
          <w:t xml:space="preserve">A1</w:t>
        </w:r>
      </w:hyperlink>
      <w:r>
        <w:t xml:space="preserve">,</w:t>
      </w:r>
      <w:r>
        <w:t xml:space="preserve"> </w:t>
      </w:r>
      <w:hyperlink w:anchor="a5" w:history="1">
        <w:r>
          <w:rPr>
            <w:rStyle w:val="NavLinkChar"/>
          </w:rPr>
          <w:t xml:space="preserve">A5</w:t>
        </w:r>
      </w:hyperlink>
      <w:r>
        <w:t xml:space="preserve">,</w:t>
      </w:r>
      <w:r>
        <w:t xml:space="preserve"> </w:t>
      </w:r>
      <w:hyperlink w:anchor="p5" w:history="1">
        <w:r>
          <w:rPr>
            <w:rStyle w:val="NavLinkChar"/>
          </w:rPr>
          <w:t xml:space="preserve">P5</w:t>
        </w:r>
      </w:hyperlink>
      <w:r>
        <w:t xml:space="preserve"> </w:t>
      </w:r>
      <w:r>
        <w:t xml:space="preserve">· Contra arguments (Part D): C2, C5, C8</w:t>
      </w:r>
    </w:p>
    <w:bookmarkEnd w:id="339"/>
    <w:bookmarkStart w:id="342" w:name="src-S74"/>
    <w:p>
      <w:pPr>
        <w:pStyle w:val="Heading2"/>
      </w:pPr>
      <w:r>
        <w:t xml:space="preserve">S74 – Ireland: decision by the energy regulator CRU on data center connections (December 12, 2025)</w:t>
      </w:r>
    </w:p>
    <w:p>
      <w:pPr>
        <w:pStyle w:val="CardField"/>
      </w:pPr>
      <w:r>
        <w:rPr>
          <w:b/>
          <w:bCs/>
        </w:rPr>
        <w:t xml:space="preserve">Key Takeaways:</w:t>
      </w:r>
    </w:p>
    <w:p>
      <w:pPr>
        <w:pStyle w:val="CardList"/>
        <w:numPr>
          <w:ilvl w:val="0"/>
          <w:numId w:val="1165"/>
        </w:numPr>
      </w:pPr>
      <w:r>
        <w:t xml:space="preserve">New data centers must provide generation and/or storage matching their maximum import capacity (on site or nearby) and take part in the electricity market.</w:t>
      </w:r>
    </w:p>
    <w:p>
      <w:pPr>
        <w:pStyle w:val="CardList"/>
        <w:numPr>
          <w:ilvl w:val="0"/>
          <w:numId w:val="1165"/>
        </w:numPr>
      </w:pPr>
      <w:r>
        <w:t xml:space="preserve">80% of their annual demand must come from additional renewable power in Ireland within six years.</w:t>
      </w:r>
    </w:p>
    <w:p>
      <w:pPr>
        <w:pStyle w:val="CardList"/>
        <w:numPr>
          <w:ilvl w:val="0"/>
          <w:numId w:val="1165"/>
        </w:numPr>
      </w:pPr>
      <w:r>
        <w:t xml:space="preserve">Restrictions continue where the grid is constrained (Dublin).</w:t>
      </w:r>
    </w:p>
    <w:p>
      <w:pPr>
        <w:pStyle w:val="CardList"/>
        <w:numPr>
          <w:ilvl w:val="0"/>
          <w:numId w:val="1165"/>
        </w:numPr>
      </w:pPr>
      <w:r>
        <w:t xml:space="preserve">History: the 2021 criteria acted as a de facto connection moratorium.</w:t>
      </w:r>
    </w:p>
    <w:p>
      <w:pPr>
        <w:pStyle w:val="CardField"/>
      </w:pPr>
      <w:r>
        <w:rPr>
          <w:b/>
          <w:bCs/>
        </w:rPr>
        <w:t xml:space="preserve">Links:</w:t>
      </w:r>
    </w:p>
    <w:p>
      <w:pPr>
        <w:pStyle w:val="CardList"/>
        <w:numPr>
          <w:ilvl w:val="0"/>
          <w:numId w:val="1166"/>
        </w:numPr>
      </w:pPr>
      <w:hyperlink r:id="rId340" w:history="1">
        <w:r>
          <w:rPr>
            <w:rStyle w:val="Hyperlink"/>
          </w:rPr>
          <w:t xml:space="preserve">https://www.cru.ie/about-us/news/the-cru-publishes-its-decision-on-new-electricity-connection-policy-for-data-centres/</w:t>
        </w:r>
      </w:hyperlink>
    </w:p>
    <w:p>
      <w:pPr>
        <w:pStyle w:val="CardList"/>
        <w:numPr>
          <w:ilvl w:val="0"/>
          <w:numId w:val="1166"/>
        </w:numPr>
      </w:pPr>
      <w:hyperlink r:id="rId341" w:history="1">
        <w:r>
          <w:rPr>
            <w:rStyle w:val="Hyperlink"/>
          </w:rPr>
          <w:t xml:space="preserve">https://www.williamfry.com/knowledge/cru-publishes-long-awaited-final-policy-on-data-centre-connections/</w:t>
        </w:r>
      </w:hyperlink>
    </w:p>
    <w:p>
      <w:pPr>
        <w:pStyle w:val="CardField"/>
      </w:pPr>
      <w:r>
        <w:rPr>
          <w:b/>
          <w:bCs/>
        </w:rPr>
        <w:t xml:space="preserve">Used:</w:t>
      </w:r>
      <w:r>
        <w:t xml:space="preserve"> </w:t>
      </w:r>
      <w:hyperlink w:anchor="a6" w:history="1">
        <w:r>
          <w:rPr>
            <w:rStyle w:val="NavLinkChar"/>
          </w:rPr>
          <w:t xml:space="preserve">A6</w:t>
        </w:r>
      </w:hyperlink>
      <w:r>
        <w:t xml:space="preserve">,</w:t>
      </w:r>
      <w:r>
        <w:t xml:space="preserve"> </w:t>
      </w:r>
      <w:hyperlink w:anchor="p5" w:history="1">
        <w:r>
          <w:rPr>
            <w:rStyle w:val="NavLinkChar"/>
          </w:rPr>
          <w:t xml:space="preserve">P5</w:t>
        </w:r>
      </w:hyperlink>
      <w:r>
        <w:t xml:space="preserve"> </w:t>
      </w:r>
      <w:r>
        <w:t xml:space="preserve">· Contra arguments (Part D): C6</w:t>
      </w:r>
    </w:p>
    <w:bookmarkEnd w:id="342"/>
    <w:bookmarkStart w:id="344" w:name="src-S75"/>
    <w:p>
      <w:pPr>
        <w:pStyle w:val="Heading2"/>
      </w:pPr>
      <w:r>
        <w:t xml:space="preserve">S75 – Maryland Piedmont Reliability Project (MPRP)</w:t>
      </w:r>
    </w:p>
    <w:p>
      <w:pPr>
        <w:pStyle w:val="CardField"/>
      </w:pPr>
      <w:r>
        <w:rPr>
          <w:b/>
          <w:bCs/>
        </w:rPr>
        <w:t xml:space="preserve">Key Takeaways:</w:t>
      </w:r>
      <w:r>
        <w:t xml:space="preserve"> </w:t>
      </w:r>
      <w:r>
        <w:t xml:space="preserve">A 70-mile, 500 kV high-voltage line (about $424 million) through farmland in Baltimore, Carroll and Frederick counties to supply data centers in Northern Virginia. 140-foot towers; eminent domain (forced purchase of land) as an "option of last resort". The Maryland Farm Bureau opposes it. ⚠ The sources do not say who pays.</w:t>
      </w:r>
    </w:p>
    <w:p>
      <w:pPr>
        <w:pStyle w:val="CardField"/>
      </w:pPr>
      <w:r>
        <w:rPr>
          <w:b/>
          <w:bCs/>
        </w:rPr>
        <w:t xml:space="preserve">Link:</w:t>
      </w:r>
      <w:r>
        <w:t xml:space="preserve"> </w:t>
      </w:r>
      <w:hyperlink r:id="rId343" w:history="1">
        <w:r>
          <w:rPr>
            <w:rStyle w:val="Hyperlink"/>
          </w:rPr>
          <w:t xml:space="preserve">https://www.renewableenergyworld.com/power-grid/transmission/an-extension-cord-to-virginia-marylanders-push-back-against-proposed-pjm-transmission-line-carving-through-farmland-2/</w:t>
        </w:r>
      </w:hyperlink>
    </w:p>
    <w:p>
      <w:pPr>
        <w:pStyle w:val="CardField"/>
      </w:pPr>
      <w:r>
        <w:rPr>
          <w:b/>
          <w:bCs/>
        </w:rPr>
        <w:t xml:space="preserve">Used:</w:t>
      </w:r>
      <w:r>
        <w:t xml:space="preserve"> </w:t>
      </w:r>
      <w:hyperlink w:anchor="p5" w:history="1">
        <w:r>
          <w:rPr>
            <w:rStyle w:val="NavLinkChar"/>
          </w:rPr>
          <w:t xml:space="preserve">P5</w:t>
        </w:r>
      </w:hyperlink>
      <w:r>
        <w:t xml:space="preserve"> </w:t>
      </w:r>
      <w:r>
        <w:t xml:space="preserve">· Contra arguments (Part D): C8</w:t>
      </w:r>
    </w:p>
    <w:bookmarkEnd w:id="344"/>
    <w:bookmarkStart w:id="348" w:name="src-S76"/>
    <w:p>
      <w:pPr>
        <w:pStyle w:val="Heading2"/>
      </w:pPr>
      <w:r>
        <w:t xml:space="preserve">S76 – New Jersey: fine against DataOne (Vineland, September 22, 2026)</w:t>
      </w:r>
    </w:p>
    <w:p>
      <w:pPr>
        <w:pStyle w:val="CardField"/>
      </w:pPr>
      <w:r>
        <w:rPr>
          <w:b/>
          <w:bCs/>
        </w:rPr>
        <w:t xml:space="preserve">Key Takeaways:</w:t>
      </w:r>
    </w:p>
    <w:p>
      <w:pPr>
        <w:pStyle w:val="CardList"/>
        <w:numPr>
          <w:ilvl w:val="0"/>
          <w:numId w:val="1167"/>
        </w:numPr>
      </w:pPr>
      <w:r>
        <w:t xml:space="preserve">New Jersey's environmental agency (NJDEP) fined DataOne about $1.07 million, the largest action ever taken against a data center in the state.</w:t>
      </w:r>
    </w:p>
    <w:p>
      <w:pPr>
        <w:pStyle w:val="CardList"/>
        <w:numPr>
          <w:ilvl w:val="0"/>
          <w:numId w:val="1167"/>
        </w:numPr>
      </w:pPr>
      <w:r>
        <w:t xml:space="preserve">On July 29, inspectors found 62 gas generators (1,982 kW each) running without permits. The non-profit newsroom Floodlight exposed them with thermal drones.</w:t>
      </w:r>
    </w:p>
    <w:p>
      <w:pPr>
        <w:pStyle w:val="CardList"/>
        <w:numPr>
          <w:ilvl w:val="0"/>
          <w:numId w:val="1167"/>
        </w:numPr>
      </w:pPr>
      <w:r>
        <w:t xml:space="preserve">A Rutgers researcher estimates about 140 tons of NOx.</w:t>
      </w:r>
    </w:p>
    <w:p>
      <w:pPr>
        <w:pStyle w:val="CardList"/>
        <w:numPr>
          <w:ilvl w:val="0"/>
          <w:numId w:val="1167"/>
        </w:numPr>
      </w:pPr>
      <w:r>
        <w:t xml:space="preserve">The site is a 300 MW data center for Nebius/Microsoft. Residents report a constant hum and lack of sleep (Inquirer, October 1, 2026).</w:t>
      </w:r>
    </w:p>
    <w:p>
      <w:pPr>
        <w:pStyle w:val="CardField"/>
      </w:pPr>
      <w:r>
        <w:rPr>
          <w:b/>
          <w:bCs/>
        </w:rPr>
        <w:t xml:space="preserve">Potential Counterpoints/Vulnerabilities:</w:t>
      </w:r>
      <w:r>
        <w:t xml:space="preserve"> </w:t>
      </w:r>
      <w:r>
        <w:t xml:space="preserve">DataOne disputes the fine; the 140 tons is an estimate.</w:t>
      </w:r>
    </w:p>
    <w:p>
      <w:pPr>
        <w:pStyle w:val="CardField"/>
      </w:pPr>
      <w:r>
        <w:rPr>
          <w:b/>
          <w:bCs/>
        </w:rPr>
        <w:t xml:space="preserve">Links:</w:t>
      </w:r>
    </w:p>
    <w:p>
      <w:pPr>
        <w:pStyle w:val="CardList"/>
        <w:numPr>
          <w:ilvl w:val="0"/>
          <w:numId w:val="1168"/>
        </w:numPr>
      </w:pPr>
      <w:hyperlink r:id="rId345" w:history="1">
        <w:r>
          <w:rPr>
            <w:rStyle w:val="Hyperlink"/>
          </w:rPr>
          <w:t xml:space="preserve">https://njbiz.com/vineland-dataone-data-center-fine/</w:t>
        </w:r>
      </w:hyperlink>
    </w:p>
    <w:p>
      <w:pPr>
        <w:pStyle w:val="CardList"/>
        <w:numPr>
          <w:ilvl w:val="0"/>
          <w:numId w:val="1168"/>
        </w:numPr>
      </w:pPr>
      <w:hyperlink r:id="rId346" w:history="1">
        <w:r>
          <w:rPr>
            <w:rStyle w:val="Hyperlink"/>
          </w:rPr>
          <w:t xml:space="preserve">https://whyy.org/articles/vineland-new-jersey-data-center-gas-generators-permit/</w:t>
        </w:r>
      </w:hyperlink>
    </w:p>
    <w:p>
      <w:pPr>
        <w:pStyle w:val="CardList"/>
        <w:numPr>
          <w:ilvl w:val="0"/>
          <w:numId w:val="1168"/>
        </w:numPr>
      </w:pPr>
      <w:hyperlink r:id="rId347" w:history="1">
        <w:r>
          <w:rPr>
            <w:rStyle w:val="Hyperlink"/>
          </w:rPr>
          <w:t xml:space="preserve">https://www.inquirer.com/business/technology/vineland-nj-dataone-data-center-residents-noise-water-20261001.html</w:t>
        </w:r>
      </w:hyperlink>
    </w:p>
    <w:p>
      <w:pPr>
        <w:pStyle w:val="CardField"/>
      </w:pPr>
      <w:r>
        <w:rPr>
          <w:b/>
          <w:bCs/>
        </w:rPr>
        <w:t xml:space="preserve">Used:</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r>
        <w:t xml:space="preserve"> </w:t>
      </w:r>
      <w:r>
        <w:t xml:space="preserve">· Contra arguments (Part D): C6</w:t>
      </w:r>
    </w:p>
    <w:bookmarkEnd w:id="348"/>
    <w:bookmarkStart w:id="351" w:name="src-S77"/>
    <w:p>
      <w:pPr>
        <w:pStyle w:val="Heading2"/>
      </w:pPr>
      <w:r>
        <w:t xml:space="preserve">S77 – Sterling, Virginia: Vantage ran diesel generators during an air-quality alert (July 2026)</w:t>
      </w:r>
    </w:p>
    <w:p>
      <w:pPr>
        <w:pStyle w:val="CardField"/>
      </w:pPr>
      <w:r>
        <w:rPr>
          <w:b/>
          <w:bCs/>
        </w:rPr>
        <w:t xml:space="preserve">Key Takeaways:</w:t>
      </w:r>
    </w:p>
    <w:p>
      <w:pPr>
        <w:pStyle w:val="CardList"/>
        <w:numPr>
          <w:ilvl w:val="0"/>
          <w:numId w:val="1169"/>
        </w:numPr>
      </w:pPr>
      <w:r>
        <w:t xml:space="preserve">After the campus's own gas power plant failed (July 17, 2026, according to the Piedmont Environmental Council), it ran on diesel backup generators for almost 24 hours during a "Code Red" air-quality alert caused by wildfire smoke.</w:t>
      </w:r>
    </w:p>
    <w:p>
      <w:pPr>
        <w:pStyle w:val="CardList"/>
        <w:numPr>
          <w:ilvl w:val="0"/>
          <w:numId w:val="1169"/>
        </w:numPr>
      </w:pPr>
      <w:r>
        <w:t xml:space="preserve">A neighbor measured 60 dB at his property line (the night limit is 55 dB).</w:t>
      </w:r>
    </w:p>
    <w:p>
      <w:pPr>
        <w:pStyle w:val="CardList"/>
        <w:numPr>
          <w:ilvl w:val="0"/>
          <w:numId w:val="1169"/>
        </w:numPr>
      </w:pPr>
      <w:r>
        <w:t xml:space="preserve">According to WUSA9, 189 of 197 data center air permits in Virginia are "minor" permits, with no public notice and no hearing.</w:t>
      </w:r>
    </w:p>
    <w:p>
      <w:pPr>
        <w:pStyle w:val="CardList"/>
        <w:numPr>
          <w:ilvl w:val="0"/>
          <w:numId w:val="1169"/>
        </w:numPr>
      </w:pPr>
      <w:r>
        <w:t xml:space="preserve">Virginia has more than 13,500 backup generators, almost half of them in Loudoun County (Technical.ly).</w:t>
      </w:r>
    </w:p>
    <w:p>
      <w:pPr>
        <w:pStyle w:val="CardField"/>
      </w:pPr>
      <w:r>
        <w:rPr>
          <w:b/>
          <w:bCs/>
        </w:rPr>
        <w:t xml:space="preserve">Original Quote:</w:t>
      </w:r>
      <w:r>
        <w:t xml:space="preserve"> </w:t>
      </w:r>
      <w:r>
        <w:t xml:space="preserve">"DEQ has no regulatory authority to stop these actions undertaken in response to the emergency that occurred and put their primary power source off line under current regulations." (Michael Rolband, director of Virginia's environmental agency DEQ)</w:t>
      </w:r>
    </w:p>
    <w:p>
      <w:pPr>
        <w:pStyle w:val="CardField"/>
      </w:pPr>
      <w:r>
        <w:rPr>
          <w:b/>
          <w:bCs/>
        </w:rPr>
        <w:t xml:space="preserve">Verification:</w:t>
      </w:r>
      <w:r>
        <w:t xml:space="preserve"> </w:t>
      </w:r>
      <w:r>
        <w:t xml:space="preserve">✔ via several excerpts. ⚠ The WUSA9 original only via syndicated copies.</w:t>
      </w:r>
    </w:p>
    <w:p>
      <w:pPr>
        <w:pStyle w:val="CardField"/>
      </w:pPr>
      <w:r>
        <w:rPr>
          <w:b/>
          <w:bCs/>
        </w:rPr>
        <w:t xml:space="preserve">Links:</w:t>
      </w:r>
    </w:p>
    <w:p>
      <w:pPr>
        <w:pStyle w:val="CardList"/>
        <w:numPr>
          <w:ilvl w:val="0"/>
          <w:numId w:val="1170"/>
        </w:numPr>
      </w:pPr>
      <w:hyperlink r:id="rId349" w:history="1">
        <w:r>
          <w:rPr>
            <w:rStyle w:val="Hyperlink"/>
          </w:rPr>
          <w:t xml:space="preserve">https://northernvirginiamag.com/news/2026/07/21/sterling-resident-says-data-centers-generators-produced-excessive-noise-pollution/</w:t>
        </w:r>
      </w:hyperlink>
    </w:p>
    <w:p>
      <w:pPr>
        <w:pStyle w:val="CardList"/>
        <w:numPr>
          <w:ilvl w:val="0"/>
          <w:numId w:val="1170"/>
        </w:numPr>
      </w:pPr>
      <w:hyperlink r:id="rId350" w:history="1">
        <w:r>
          <w:rPr>
            <w:rStyle w:val="Hyperlink"/>
          </w:rPr>
          <w:t xml:space="preserve">https://www.pecva.org/resources/publications/piedmont-view/what-happens-when-the-grid-cant-keep-up/</w:t>
        </w:r>
      </w:hyperlink>
    </w:p>
    <w:p>
      <w:pPr>
        <w:pStyle w:val="CardField"/>
      </w:pPr>
      <w:r>
        <w:rPr>
          <w:b/>
          <w:bCs/>
        </w:rPr>
        <w:t xml:space="preserve">Used:</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r>
        <w:t xml:space="preserve">,</w:t>
      </w:r>
      <w:r>
        <w:t xml:space="preserve"> </w:t>
      </w:r>
      <w:hyperlink w:anchor="p7" w:history="1">
        <w:r>
          <w:rPr>
            <w:rStyle w:val="NavLinkChar"/>
          </w:rPr>
          <w:t xml:space="preserve">P7</w:t>
        </w:r>
      </w:hyperlink>
      <w:r>
        <w:t xml:space="preserve"> </w:t>
      </w:r>
      <w:r>
        <w:t xml:space="preserve">· Contra arguments (Part D): C6</w:t>
      </w:r>
    </w:p>
    <w:bookmarkEnd w:id="351"/>
    <w:bookmarkStart w:id="355" w:name="src-S78"/>
    <w:p>
      <w:pPr>
        <w:pStyle w:val="Heading2"/>
      </w:pPr>
      <w:r>
        <w:t xml:space="preserve">S78 – State definitions of "hyperscale" (2026)</w:t>
      </w:r>
    </w:p>
    <w:p>
      <w:pPr>
        <w:pStyle w:val="CardField"/>
      </w:pPr>
      <w:r>
        <w:rPr>
          <w:b/>
          <w:bCs/>
        </w:rPr>
        <w:t xml:space="preserve">Key Takeaways:</w:t>
      </w:r>
    </w:p>
    <w:p>
      <w:pPr>
        <w:pStyle w:val="CardList"/>
        <w:numPr>
          <w:ilvl w:val="0"/>
          <w:numId w:val="1171"/>
        </w:numPr>
      </w:pPr>
      <w:r>
        <w:t xml:space="preserve">California AB 2619 (signed September 21, 2026, according to law firm summaries): "Type I" = more than 10,000 servers or more than 25 MW.</w:t>
      </w:r>
    </w:p>
    <w:p>
      <w:pPr>
        <w:pStyle w:val="CardList"/>
        <w:numPr>
          <w:ilvl w:val="0"/>
          <w:numId w:val="1171"/>
        </w:numPr>
      </w:pPr>
      <w:r>
        <w:t xml:space="preserve">Illinois POWER Act (draft): hyperscale = peak load above 50 MW.</w:t>
      </w:r>
    </w:p>
    <w:p>
      <w:pPr>
        <w:pStyle w:val="CardList"/>
        <w:numPr>
          <w:ilvl w:val="0"/>
          <w:numId w:val="1171"/>
        </w:numPr>
      </w:pPr>
      <w:r>
        <w:t xml:space="preserve">Florida HB 1007 (draft): at least 25 MW.</w:t>
      </w:r>
    </w:p>
    <w:p>
      <w:pPr>
        <w:pStyle w:val="CardList"/>
        <w:numPr>
          <w:ilvl w:val="0"/>
          <w:numId w:val="1171"/>
        </w:numPr>
      </w:pPr>
      <w:r>
        <w:t xml:space="preserve">New York S9144 (draft): moratorium for 20 MW and more.</w:t>
      </w:r>
    </w:p>
    <w:p>
      <w:pPr>
        <w:pStyle w:val="CardField"/>
      </w:pPr>
      <w:r>
        <w:rPr>
          <w:b/>
          <w:bCs/>
        </w:rPr>
        <w:t xml:space="preserve">Verification:</w:t>
      </w:r>
      <w:r>
        <w:t xml:space="preserve"> </w:t>
      </w:r>
      <w:r>
        <w:t xml:space="preserve">⚠ Secondary law firm summaries → check against the final bill texts.</w:t>
      </w:r>
    </w:p>
    <w:p>
      <w:pPr>
        <w:pStyle w:val="CardField"/>
      </w:pPr>
      <w:r>
        <w:rPr>
          <w:b/>
          <w:bCs/>
        </w:rPr>
        <w:t xml:space="preserve">Links:</w:t>
      </w:r>
    </w:p>
    <w:p>
      <w:pPr>
        <w:pStyle w:val="CardList"/>
        <w:numPr>
          <w:ilvl w:val="0"/>
          <w:numId w:val="1172"/>
        </w:numPr>
      </w:pPr>
      <w:hyperlink r:id="rId352" w:history="1">
        <w:r>
          <w:rPr>
            <w:rStyle w:val="Hyperlink"/>
          </w:rPr>
          <w:t xml:space="preserve">https://www.mondaq.com/unitedstates/water/1851474/californias-2026-data-center-laws-what-you-need-to-know</w:t>
        </w:r>
      </w:hyperlink>
    </w:p>
    <w:p>
      <w:pPr>
        <w:pStyle w:val="CardList"/>
        <w:numPr>
          <w:ilvl w:val="0"/>
          <w:numId w:val="1172"/>
        </w:numPr>
      </w:pPr>
      <w:hyperlink r:id="rId353" w:history="1">
        <w:r>
          <w:rPr>
            <w:rStyle w:val="Hyperlink"/>
          </w:rPr>
          <w:t xml:space="preserve">https://www.afslaw.com/perspectives/alerts/state-regulation-data-centers-2026-shifting-landscape</w:t>
        </w:r>
      </w:hyperlink>
    </w:p>
    <w:p>
      <w:pPr>
        <w:pStyle w:val="CardList"/>
        <w:numPr>
          <w:ilvl w:val="0"/>
          <w:numId w:val="1172"/>
        </w:numPr>
      </w:pPr>
      <w:hyperlink r:id="rId354" w:history="1">
        <w:r>
          <w:rPr>
            <w:rStyle w:val="Hyperlink"/>
          </w:rPr>
          <w:t xml:space="preserve">https://www.hklaw.com/en/insights/publications/2026/02/proposed-florida-legislation-creates-new-regulatory-framework</w:t>
        </w:r>
      </w:hyperlink>
    </w:p>
    <w:p>
      <w:pPr>
        <w:pStyle w:val="CardField"/>
      </w:pPr>
      <w:r>
        <w:rPr>
          <w:b/>
          <w:bCs/>
        </w:rPr>
        <w:t xml:space="preserve">Used:</w:t>
      </w:r>
      <w:r>
        <w:t xml:space="preserve"> </w:t>
      </w:r>
      <w:hyperlink w:anchor="a1" w:history="1">
        <w:r>
          <w:rPr>
            <w:rStyle w:val="NavLinkChar"/>
          </w:rPr>
          <w:t xml:space="preserve">A1</w:t>
        </w:r>
      </w:hyperlink>
    </w:p>
    <w:bookmarkEnd w:id="355"/>
    <w:bookmarkStart w:id="357" w:name="src-S79"/>
    <w:p>
      <w:pPr>
        <w:pStyle w:val="Heading2"/>
      </w:pPr>
      <w:r>
        <w:t xml:space="preserve">S79 – American Electric Power (AEP): company profile</w:t>
      </w:r>
    </w:p>
    <w:p>
      <w:pPr>
        <w:pStyle w:val="CardField"/>
      </w:pPr>
      <w:r>
        <w:rPr>
          <w:b/>
          <w:bCs/>
        </w:rPr>
        <w:t xml:space="preserve">Who &amp; When:</w:t>
      </w:r>
      <w:r>
        <w:t xml:space="preserve"> </w:t>
      </w:r>
      <w:r>
        <w:t xml:space="preserve">Company profiles of AEP (Wikipedia and company profile pages); accessed October 2026.</w:t>
      </w:r>
    </w:p>
    <w:p>
      <w:pPr>
        <w:pStyle w:val="CardField"/>
      </w:pPr>
      <w:r>
        <w:rPr>
          <w:b/>
          <w:bCs/>
        </w:rPr>
        <w:t xml:space="preserve">Context &amp; Classification:</w:t>
      </w:r>
      <w:r>
        <w:t xml:space="preserve"> </w:t>
      </w:r>
      <w:r>
        <w:t xml:space="preserve">AEP is one of the largest US electric utilities, headquartered in Columbus, Ohio. It has more than 5 million customers in 11 states (sources give 5.3–5.6 million depending on date), nearly 38,000 MW of generating capacity, and is often described as having the largest transmission network in the US. AEP Ohio is its Ohio utility.</w:t>
      </w:r>
    </w:p>
    <w:p>
      <w:pPr>
        <w:pStyle w:val="CardField"/>
      </w:pPr>
      <w:r>
        <w:rPr>
          <w:b/>
          <w:bCs/>
        </w:rPr>
        <w:t xml:space="preserve">Potential Counterpoints/Vulnerabilities:</w:t>
      </w:r>
      <w:r>
        <w:t xml:space="preserve"> </w:t>
      </w:r>
      <w:r>
        <w:t xml:space="preserve">None in substance; this is only used to explain who AEP is.</w:t>
      </w:r>
    </w:p>
    <w:p>
      <w:pPr>
        <w:pStyle w:val="CardField"/>
      </w:pPr>
      <w:r>
        <w:rPr>
          <w:b/>
          <w:bCs/>
        </w:rPr>
        <w:t xml:space="preserve">Verification:</w:t>
      </w:r>
      <w:r>
        <w:t xml:space="preserve"> </w:t>
      </w:r>
      <w:r>
        <w:t xml:space="preserve">⚠ Only via secondary profiles. Check the current customer count on AEP's own website (aep.com).</w:t>
      </w:r>
    </w:p>
    <w:p>
      <w:pPr>
        <w:pStyle w:val="CardField"/>
      </w:pPr>
      <w:r>
        <w:rPr>
          <w:b/>
          <w:bCs/>
        </w:rPr>
        <w:t xml:space="preserve">Link:</w:t>
      </w:r>
      <w:r>
        <w:t xml:space="preserve"> </w:t>
      </w:r>
      <w:hyperlink r:id="rId356" w:history="1">
        <w:r>
          <w:rPr>
            <w:rStyle w:val="Hyperlink"/>
          </w:rPr>
          <w:t xml:space="preserve">https://en.wikipedia.org/wiki/American_Electric_Power</w:t>
        </w:r>
      </w:hyperlink>
    </w:p>
    <w:p>
      <w:pPr>
        <w:pStyle w:val="CardField"/>
      </w:pPr>
      <w:r>
        <w:rPr>
          <w:b/>
          <w:bCs/>
        </w:rPr>
        <w:t xml:space="preserve">Used:</w:t>
      </w:r>
      <w:r>
        <w:t xml:space="preserve"> </w:t>
      </w:r>
      <w:hyperlink w:anchor="p1" w:history="1">
        <w:r>
          <w:rPr>
            <w:rStyle w:val="NavLinkChar"/>
          </w:rPr>
          <w:t xml:space="preserve">P1</w:t>
        </w:r>
      </w:hyperlink>
    </w:p>
    <w:bookmarkEnd w:id="357"/>
    <w:bookmarkStart w:id="361" w:name="src-S80"/>
    <w:p>
      <w:pPr>
        <w:pStyle w:val="Heading2"/>
      </w:pPr>
      <w:r>
        <w:t xml:space="preserve">S80 – PJM capacity price collar (cap and floor), 2026/27–2029/30</w:t>
      </w:r>
    </w:p>
    <w:p>
      <w:pPr>
        <w:pStyle w:val="CardField"/>
      </w:pPr>
      <w:r>
        <w:rPr>
          <w:b/>
          <w:bCs/>
        </w:rPr>
        <w:t xml:space="preserve">Who &amp; When:</w:t>
      </w:r>
      <w:r>
        <w:t xml:space="preserve"> </w:t>
      </w:r>
      <w:r>
        <w:t xml:space="preserve">PJM / FERC; settlement with Pennsylvania's Governor Josh Shapiro (January 2025); approved by FERC (April 2025); extension accepted by FERC on April 28, 2026. Coverage: Troutman Pepper Energy Report (May 2026), Pennsylvania Capital-Star, Office of the Governor of Pennsylvania (2026).</w:t>
      </w:r>
    </w:p>
    <w:p>
      <w:pPr>
        <w:pStyle w:val="CardField"/>
      </w:pPr>
      <w:r>
        <w:rPr>
          <w:b/>
          <w:bCs/>
        </w:rPr>
        <w:t xml:space="preserve">Origin:</w:t>
      </w:r>
      <w:r>
        <w:t xml:space="preserve"> </w:t>
      </w:r>
      <w:r>
        <w:t xml:space="preserve">Regulatory decisions; law firm and press coverage.</w:t>
      </w:r>
    </w:p>
    <w:p>
      <w:pPr>
        <w:pStyle w:val="CardField"/>
      </w:pPr>
      <w:r>
        <w:rPr>
          <w:b/>
          <w:bCs/>
        </w:rPr>
        <w:t xml:space="preserve">Key Takeaways:</w:t>
      </w:r>
    </w:p>
    <w:p>
      <w:pPr>
        <w:pStyle w:val="CardList"/>
        <w:numPr>
          <w:ilvl w:val="0"/>
          <w:numId w:val="1173"/>
        </w:numPr>
      </w:pPr>
      <w:r>
        <w:t xml:space="preserve">The July 2024 auction (2025/26) cleared at a record $269.92/MW-day, which led to Pennsylvania's challenge at FERC.</w:t>
      </w:r>
    </w:p>
    <w:p>
      <w:pPr>
        <w:pStyle w:val="CardList"/>
        <w:numPr>
          <w:ilvl w:val="0"/>
          <w:numId w:val="1173"/>
        </w:numPr>
      </w:pPr>
      <w:r>
        <w:t xml:space="preserve">The cap was lowered from about $500 to about $325, with a floor of about $175, for 2026/27 and 2027/28. The actual caps were $329.17 and $333.44.</w:t>
      </w:r>
    </w:p>
    <w:p>
      <w:pPr>
        <w:pStyle w:val="CardList"/>
        <w:numPr>
          <w:ilvl w:val="0"/>
          <w:numId w:val="1173"/>
        </w:numPr>
      </w:pPr>
      <w:r>
        <w:t xml:space="preserve">The extension covers 2028/29 and 2029/30 (cap $325, floor $175, adjusted annually). The 2028/29 auction cleared at $325 on July 14, 2026 – the third time in a row at the cap.</w:t>
      </w:r>
    </w:p>
    <w:p>
      <w:pPr>
        <w:pStyle w:val="CardList"/>
        <w:numPr>
          <w:ilvl w:val="0"/>
          <w:numId w:val="1173"/>
        </w:numPr>
      </w:pPr>
      <w:r>
        <w:t xml:space="preserve">2029/30 is the last auction under the current authorization.</w:t>
      </w:r>
    </w:p>
    <w:p>
      <w:pPr>
        <w:pStyle w:val="CardList"/>
        <w:numPr>
          <w:ilvl w:val="0"/>
          <w:numId w:val="1173"/>
        </w:numPr>
      </w:pPr>
      <w:r>
        <w:t xml:space="preserve">The Governor's office estimates total savings of about $45 billion over four years (a state estimate, not independently checked).</w:t>
      </w:r>
    </w:p>
    <w:p>
      <w:pPr>
        <w:pStyle w:val="CardField"/>
      </w:pPr>
      <w:r>
        <w:rPr>
          <w:b/>
          <w:bCs/>
        </w:rPr>
        <w:t xml:space="preserve">Potential Counterpoints/Vulnerabilities:</w:t>
      </w:r>
      <w:r>
        <w:t xml:space="preserve"> </w:t>
      </w:r>
      <w:r>
        <w:t xml:space="preserve">"The cap shows the system works." → PJM itself says caps "do not solve the underlying supply-demand imbalance" [</w:t>
      </w:r>
      <w:hyperlink w:anchor="src-S14" w:history="1">
        <w:r>
          <w:rPr>
            <w:rStyle w:val="SourceLink"/>
          </w:rPr>
          <w:t xml:space="preserve">S14</w:t>
        </w:r>
      </w:hyperlink>
      <w:r>
        <w:t xml:space="preserve">].</w:t>
      </w:r>
    </w:p>
    <w:p>
      <w:pPr>
        <w:pStyle w:val="CardField"/>
      </w:pPr>
      <w:r>
        <w:rPr>
          <w:b/>
          <w:bCs/>
        </w:rPr>
        <w:t xml:space="preserve">Verification:</w:t>
      </w:r>
      <w:r>
        <w:t xml:space="preserve"> </w:t>
      </w:r>
      <w:r>
        <w:t xml:space="preserve">✔ via several excerpts.</w:t>
      </w:r>
    </w:p>
    <w:p>
      <w:pPr>
        <w:pStyle w:val="CardField"/>
      </w:pPr>
      <w:r>
        <w:rPr>
          <w:b/>
          <w:bCs/>
        </w:rPr>
        <w:t xml:space="preserve">Links:</w:t>
      </w:r>
    </w:p>
    <w:p>
      <w:pPr>
        <w:pStyle w:val="CardList"/>
        <w:numPr>
          <w:ilvl w:val="0"/>
          <w:numId w:val="1174"/>
        </w:numPr>
      </w:pPr>
      <w:hyperlink r:id="rId358" w:history="1">
        <w:r>
          <w:rPr>
            <w:rStyle w:val="Hyperlink"/>
          </w:rPr>
          <w:t xml:space="preserve">https://www.troutmanenergyreport.com/2026/05/ferc-accepts-pjm-capacity-market-price-collar-extension/</w:t>
        </w:r>
      </w:hyperlink>
    </w:p>
    <w:p>
      <w:pPr>
        <w:pStyle w:val="CardList"/>
        <w:numPr>
          <w:ilvl w:val="0"/>
          <w:numId w:val="1174"/>
        </w:numPr>
      </w:pPr>
      <w:hyperlink r:id="rId359" w:history="1">
        <w:r>
          <w:rPr>
            <w:rStyle w:val="Hyperlink"/>
          </w:rPr>
          <w:t xml:space="preserve">https://penncapital-star.com/economy/grid-operator-pjm-agrees-to-extension-of-wholesale-electricity-price-cap/</w:t>
        </w:r>
      </w:hyperlink>
    </w:p>
    <w:p>
      <w:pPr>
        <w:pStyle w:val="CardList"/>
        <w:numPr>
          <w:ilvl w:val="0"/>
          <w:numId w:val="1174"/>
        </w:numPr>
      </w:pPr>
      <w:hyperlink r:id="rId360" w:history="1">
        <w:r>
          <w:rPr>
            <w:rStyle w:val="Hyperlink"/>
          </w:rPr>
          <w:t xml:space="preserve">https://www.pa.gov/governor/newsroom/2026-press-releases/gov-shapiro-responds-to-pjm--calls-for-extension-price-collar-pr</w:t>
        </w:r>
      </w:hyperlink>
    </w:p>
    <w:p>
      <w:pPr>
        <w:pStyle w:val="CardField"/>
      </w:pPr>
      <w:r>
        <w:rPr>
          <w:b/>
          <w:bCs/>
        </w:rPr>
        <w:t xml:space="preserve">Used:</w:t>
      </w:r>
      <w:r>
        <w:t xml:space="preserve"> </w:t>
      </w:r>
      <w:hyperlink w:anchor="p1" w:history="1">
        <w:r>
          <w:rPr>
            <w:rStyle w:val="NavLinkChar"/>
          </w:rPr>
          <w:t xml:space="preserve">P1</w:t>
        </w:r>
      </w:hyperlink>
    </w:p>
    <w:bookmarkEnd w:id="361"/>
    <w:bookmarkStart w:id="364" w:name="src-S81"/>
    <w:p>
      <w:pPr>
        <w:pStyle w:val="Heading2"/>
      </w:pPr>
      <w:r>
        <w:t xml:space="preserve">S81 – MISO Planning Resource Auction 2025/26 and 2026/27</w:t>
      </w:r>
    </w:p>
    <w:p>
      <w:pPr>
        <w:pStyle w:val="CardField"/>
      </w:pPr>
      <w:r>
        <w:rPr>
          <w:b/>
          <w:bCs/>
        </w:rPr>
        <w:t xml:space="preserve">Who &amp; When:</w:t>
      </w:r>
      <w:r>
        <w:t xml:space="preserve"> </w:t>
      </w:r>
      <w:r>
        <w:t xml:space="preserve">MISO (Midcontinent Independent System Operator, the operator of the grid in the Midwest and parts of the South); auction results 2025 and 2026. Coverage: Enel North America (May 14, 2025), Utility Dive.</w:t>
      </w:r>
    </w:p>
    <w:p>
      <w:pPr>
        <w:pStyle w:val="CardField"/>
      </w:pPr>
      <w:r>
        <w:rPr>
          <w:b/>
          <w:bCs/>
        </w:rPr>
        <w:t xml:space="preserve">Key Takeaways:</w:t>
      </w:r>
    </w:p>
    <w:p>
      <w:pPr>
        <w:pStyle w:val="CardList"/>
        <w:numPr>
          <w:ilvl w:val="0"/>
          <w:numId w:val="1175"/>
        </w:numPr>
      </w:pPr>
      <w:r>
        <w:t xml:space="preserve">2025/26: the summer price was $666.50/MW-day in all zones – about 22 times the previous year (about $30).</w:t>
      </w:r>
    </w:p>
    <w:p>
      <w:pPr>
        <w:pStyle w:val="CardList"/>
        <w:numPr>
          <w:ilvl w:val="0"/>
          <w:numId w:val="1175"/>
        </w:numPr>
      </w:pPr>
      <w:r>
        <w:t xml:space="preserve">It was the first auction using MISO's new sloped "Reliability-Based Demand Curve".</w:t>
      </w:r>
    </w:p>
    <w:p>
      <w:pPr>
        <w:pStyle w:val="CardList"/>
        <w:numPr>
          <w:ilvl w:val="0"/>
          <w:numId w:val="1175"/>
        </w:numPr>
      </w:pPr>
      <w:r>
        <w:t xml:space="preserve">MISO's capacity surplus fell from 6.5 GW (2023) to 2.6 GW (2025).</w:t>
      </w:r>
    </w:p>
    <w:p>
      <w:pPr>
        <w:pStyle w:val="CardList"/>
        <w:numPr>
          <w:ilvl w:val="0"/>
          <w:numId w:val="1175"/>
        </w:numPr>
      </w:pPr>
      <w:r>
        <w:t xml:space="preserve">2026/27 summer prices: $424.30 (North/Central), $384.10 (Arkansas/Mississippi), $412.10 (Louisiana/Texas).</w:t>
      </w:r>
    </w:p>
    <w:p>
      <w:pPr>
        <w:pStyle w:val="CardField"/>
      </w:pPr>
      <w:r>
        <w:rPr>
          <w:b/>
          <w:bCs/>
        </w:rPr>
        <w:t xml:space="preserve">Potential Counterpoints/Vulnerabilities:</w:t>
      </w:r>
      <w:r>
        <w:t xml:space="preserve"> </w:t>
      </w:r>
      <w:r>
        <w:t xml:space="preserve">MISO's auction is designed differently (seasonal) → compare orders of magnitude, not every detail.</w:t>
      </w:r>
    </w:p>
    <w:p>
      <w:pPr>
        <w:pStyle w:val="CardField"/>
      </w:pPr>
      <w:r>
        <w:rPr>
          <w:b/>
          <w:bCs/>
        </w:rPr>
        <w:t xml:space="preserve">Verification:</w:t>
      </w:r>
      <w:r>
        <w:t xml:space="preserve"> </w:t>
      </w:r>
      <w:r>
        <w:t xml:space="preserve">✔ via several excerpts. ⚠ MISO's own maximum price was not checked.</w:t>
      </w:r>
    </w:p>
    <w:p>
      <w:pPr>
        <w:pStyle w:val="CardField"/>
      </w:pPr>
      <w:r>
        <w:rPr>
          <w:b/>
          <w:bCs/>
        </w:rPr>
        <w:t xml:space="preserve">Links:</w:t>
      </w:r>
    </w:p>
    <w:p>
      <w:pPr>
        <w:pStyle w:val="CardList"/>
        <w:numPr>
          <w:ilvl w:val="0"/>
          <w:numId w:val="1176"/>
        </w:numPr>
      </w:pPr>
      <w:hyperlink r:id="rId362" w:history="1">
        <w:r>
          <w:rPr>
            <w:rStyle w:val="Hyperlink"/>
          </w:rPr>
          <w:t xml:space="preserve">https://www.enelnorthamerica.com/insights/blogs/miso-2025-capacity-auction-results</w:t>
        </w:r>
      </w:hyperlink>
    </w:p>
    <w:p>
      <w:pPr>
        <w:pStyle w:val="CardList"/>
        <w:numPr>
          <w:ilvl w:val="0"/>
          <w:numId w:val="1176"/>
        </w:numPr>
      </w:pPr>
      <w:hyperlink r:id="rId363" w:history="1">
        <w:r>
          <w:rPr>
            <w:rStyle w:val="Hyperlink"/>
          </w:rPr>
          <w:t xml:space="preserve">https://www.utilitydive.com/news/miso-capacity-auction-nerc/818797/</w:t>
        </w:r>
      </w:hyperlink>
    </w:p>
    <w:p>
      <w:pPr>
        <w:pStyle w:val="CardField"/>
      </w:pPr>
      <w:r>
        <w:rPr>
          <w:b/>
          <w:bCs/>
        </w:rPr>
        <w:t xml:space="preserve">Used:</w:t>
      </w:r>
      <w:r>
        <w:t xml:space="preserve"> </w:t>
      </w:r>
      <w:hyperlink w:anchor="p1" w:history="1">
        <w:r>
          <w:rPr>
            <w:rStyle w:val="NavLinkChar"/>
          </w:rPr>
          <w:t xml:space="preserve">P1</w:t>
        </w:r>
      </w:hyperlink>
    </w:p>
    <w:bookmarkEnd w:id="364"/>
    <w:bookmarkStart w:id="367" w:name="src-S82"/>
    <w:p>
      <w:pPr>
        <w:pStyle w:val="Heading2"/>
      </w:pPr>
      <w:r>
        <w:t xml:space="preserve">S82 – Texas (ERCOT): no capacity market, but a price cap on electricity</w:t>
      </w:r>
    </w:p>
    <w:p>
      <w:pPr>
        <w:pStyle w:val="CardField"/>
      </w:pPr>
      <w:r>
        <w:rPr>
          <w:b/>
          <w:bCs/>
        </w:rPr>
        <w:t xml:space="preserve">Who &amp; When:</w:t>
      </w:r>
      <w:r>
        <w:t xml:space="preserve"> </w:t>
      </w:r>
      <w:r>
        <w:t xml:space="preserve">Public Utility Commission of Texas (PUCT, Texas' state utility regulator), decision of December 2021 (in effect since January 1, 2022); S&amp;P Global (December 2, 2021); 16 Tex. Admin. Code § 25.509 (via Cornell LII); Renewable Energy World.</w:t>
      </w:r>
    </w:p>
    <w:p>
      <w:pPr>
        <w:pStyle w:val="CardField"/>
      </w:pPr>
      <w:r>
        <w:rPr>
          <w:b/>
          <w:bCs/>
        </w:rPr>
        <w:t xml:space="preserve">Key Takeaways:</w:t>
      </w:r>
    </w:p>
    <w:p>
      <w:pPr>
        <w:pStyle w:val="CardList"/>
        <w:numPr>
          <w:ilvl w:val="0"/>
          <w:numId w:val="1177"/>
        </w:numPr>
      </w:pPr>
      <w:r>
        <w:t xml:space="preserve">ERCOT (Electric Reliability Council of Texas, the operator of most of Texas' grid) is an "energy-only" market with no capacity market: power plants are paid only for the electricity they actually deliver.</w:t>
      </w:r>
    </w:p>
    <w:p>
      <w:pPr>
        <w:pStyle w:val="CardList"/>
        <w:numPr>
          <w:ilvl w:val="0"/>
          <w:numId w:val="1177"/>
        </w:numPr>
      </w:pPr>
      <w:r>
        <w:t xml:space="preserve">Instead, the price of electricity itself is capped at $5,000 per MWh, lowered from $9,000 after Winter Storm Uri.</w:t>
      </w:r>
    </w:p>
    <w:p>
      <w:pPr>
        <w:pStyle w:val="CardList"/>
        <w:numPr>
          <w:ilvl w:val="0"/>
          <w:numId w:val="1177"/>
        </w:numPr>
      </w:pPr>
      <w:r>
        <w:t xml:space="preserve">Emergency Pricing Program: if prices sit at the cap for 12 hours within 24 hours, the cap falls to $2,000 per MWh.</w:t>
      </w:r>
    </w:p>
    <w:p>
      <w:pPr>
        <w:pStyle w:val="CardField"/>
      </w:pPr>
      <w:r>
        <w:rPr>
          <w:b/>
          <w:bCs/>
        </w:rPr>
        <w:t xml:space="preserve">Verification:</w:t>
      </w:r>
      <w:r>
        <w:t xml:space="preserve"> </w:t>
      </w:r>
      <w:r>
        <w:t xml:space="preserve">✔ via several excerpts.</w:t>
      </w:r>
    </w:p>
    <w:p>
      <w:pPr>
        <w:pStyle w:val="CardField"/>
      </w:pPr>
      <w:r>
        <w:rPr>
          <w:b/>
          <w:bCs/>
        </w:rPr>
        <w:t xml:space="preserve">Links:</w:t>
      </w:r>
    </w:p>
    <w:p>
      <w:pPr>
        <w:pStyle w:val="CardList"/>
        <w:numPr>
          <w:ilvl w:val="0"/>
          <w:numId w:val="1178"/>
        </w:numPr>
      </w:pPr>
      <w:hyperlink r:id="rId365" w:history="1">
        <w:r>
          <w:rPr>
            <w:rStyle w:val="Hyperlink"/>
          </w:rPr>
          <w:t xml:space="preserve">https://www.spglobal.com/energy/en/news-research/latest-news/natural-gas/120221-texas-regulators-ok-5000mwh-cap-jan-1-replacing-9000mwh</w:t>
        </w:r>
      </w:hyperlink>
    </w:p>
    <w:p>
      <w:pPr>
        <w:pStyle w:val="CardList"/>
        <w:numPr>
          <w:ilvl w:val="0"/>
          <w:numId w:val="1178"/>
        </w:numPr>
      </w:pPr>
      <w:hyperlink r:id="rId366" w:history="1">
        <w:r>
          <w:rPr>
            <w:rStyle w:val="Hyperlink"/>
          </w:rPr>
          <w:t xml:space="preserve">https://www.law.cornell.edu/regulations/texas/16-Tex-Admin-Code-SS-25-509</w:t>
        </w:r>
      </w:hyperlink>
    </w:p>
    <w:p>
      <w:pPr>
        <w:pStyle w:val="CardField"/>
      </w:pPr>
      <w:r>
        <w:rPr>
          <w:b/>
          <w:bCs/>
        </w:rPr>
        <w:t xml:space="preserve">Used:</w:t>
      </w:r>
      <w:r>
        <w:t xml:space="preserve"> </w:t>
      </w:r>
      <w:hyperlink w:anchor="p1" w:history="1">
        <w:r>
          <w:rPr>
            <w:rStyle w:val="NavLinkChar"/>
          </w:rPr>
          <w:t xml:space="preserve">P1</w:t>
        </w:r>
      </w:hyperlink>
    </w:p>
    <w:bookmarkEnd w:id="367"/>
    <w:bookmarkStart w:id="369" w:name="src-S83"/>
    <w:p>
      <w:pPr>
        <w:pStyle w:val="Heading2"/>
      </w:pPr>
      <w:r>
        <w:t xml:space="preserve">S83 – ACEEE: "How High Are Household Energy Burdens?" (2020)</w:t>
      </w:r>
    </w:p>
    <w:p>
      <w:pPr>
        <w:pStyle w:val="CardField"/>
      </w:pPr>
      <w:r>
        <w:rPr>
          <w:b/>
          <w:bCs/>
        </w:rPr>
        <w:t xml:space="preserve">Who &amp; When:</w:t>
      </w:r>
      <w:r>
        <w:t xml:space="preserve"> </w:t>
      </w:r>
      <w:r>
        <w:t xml:space="preserve">American Council for an Energy-Efficient Economy (ACEEE, a non-profit research organization); 2020 report based on data from the 2017 American Housing Survey.</w:t>
      </w:r>
    </w:p>
    <w:p>
      <w:pPr>
        <w:pStyle w:val="CardField"/>
      </w:pPr>
      <w:r>
        <w:rPr>
          <w:b/>
          <w:bCs/>
        </w:rPr>
        <w:t xml:space="preserve">Key Takeaways:</w:t>
      </w:r>
    </w:p>
    <w:p>
      <w:pPr>
        <w:pStyle w:val="CardList"/>
        <w:numPr>
          <w:ilvl w:val="0"/>
          <w:numId w:val="1179"/>
        </w:numPr>
      </w:pPr>
      <w:r>
        <w:t xml:space="preserve">The median "energy burden" (share of income spent on energy bills) is 3.1% for all households and 8.1% for low-income households (below 200% of the federal poverty line).</w:t>
      </w:r>
    </w:p>
    <w:p>
      <w:pPr>
        <w:pStyle w:val="CardList"/>
        <w:numPr>
          <w:ilvl w:val="0"/>
          <w:numId w:val="1179"/>
        </w:numPr>
      </w:pPr>
      <w:r>
        <w:t xml:space="preserve">The median burden of low-income households is 3.5 times that of other households.</w:t>
      </w:r>
    </w:p>
    <w:p>
      <w:pPr>
        <w:pStyle w:val="CardList"/>
        <w:numPr>
          <w:ilvl w:val="0"/>
          <w:numId w:val="1179"/>
        </w:numPr>
      </w:pPr>
      <w:r>
        <w:t xml:space="preserve">25% of all households have a high burden (above 6%); 13% have a severe burden (above 10%).</w:t>
      </w:r>
    </w:p>
    <w:p>
      <w:pPr>
        <w:pStyle w:val="CardField"/>
      </w:pPr>
      <w:r>
        <w:rPr>
          <w:b/>
          <w:bCs/>
        </w:rPr>
        <w:t xml:space="preserve">Potential Counterpoints/Vulnerabilities:</w:t>
      </w:r>
      <w:r>
        <w:t xml:space="preserve"> </w:t>
      </w:r>
      <w:r>
        <w:t xml:space="preserve">"The data is old (2017)." → A newer ACEEE study (2024) shows similar values (about 8.3–8.4% for low-income households) ⚠.</w:t>
      </w:r>
    </w:p>
    <w:p>
      <w:pPr>
        <w:pStyle w:val="CardField"/>
      </w:pPr>
      <w:r>
        <w:rPr>
          <w:b/>
          <w:bCs/>
        </w:rPr>
        <w:t xml:space="preserve">Verification:</w:t>
      </w:r>
      <w:r>
        <w:t xml:space="preserve"> </w:t>
      </w:r>
      <w:r>
        <w:t xml:space="preserve">✔ via the ACEEE fact sheet.</w:t>
      </w:r>
    </w:p>
    <w:p>
      <w:pPr>
        <w:pStyle w:val="CardField"/>
      </w:pPr>
      <w:r>
        <w:rPr>
          <w:b/>
          <w:bCs/>
        </w:rPr>
        <w:t xml:space="preserve">Link:</w:t>
      </w:r>
      <w:r>
        <w:t xml:space="preserve"> </w:t>
      </w:r>
      <w:hyperlink r:id="rId368" w:history="1">
        <w:r>
          <w:rPr>
            <w:rStyle w:val="Hyperlink"/>
          </w:rPr>
          <w:t xml:space="preserve">https://www.aceee.org/sites/default/files/pdfs/ACEEE-01%20Energy%20Burden%20-%20National.pdf</w:t>
        </w:r>
      </w:hyperlink>
    </w:p>
    <w:p>
      <w:pPr>
        <w:pStyle w:val="CardField"/>
      </w:pPr>
      <w:r>
        <w:rPr>
          <w:b/>
          <w:bCs/>
        </w:rPr>
        <w:t xml:space="preserve">Used:</w:t>
      </w:r>
      <w:r>
        <w:t xml:space="preserve"> </w:t>
      </w:r>
      <w:hyperlink w:anchor="p1" w:history="1">
        <w:r>
          <w:rPr>
            <w:rStyle w:val="NavLinkChar"/>
          </w:rPr>
          <w:t xml:space="preserve">P1</w:t>
        </w:r>
      </w:hyperlink>
    </w:p>
    <w:bookmarkEnd w:id="369"/>
    <w:bookmarkStart w:id="372" w:name="src-S84"/>
    <w:p>
      <w:pPr>
        <w:pStyle w:val="Heading2"/>
      </w:pPr>
      <w:r>
        <w:t xml:space="preserve">S84 – Chevron–Microsoft: "Project Kilby" (June 22, 2026)</w:t>
      </w:r>
    </w:p>
    <w:p>
      <w:pPr>
        <w:pStyle w:val="CardField"/>
      </w:pPr>
      <w:r>
        <w:rPr>
          <w:b/>
          <w:bCs/>
        </w:rPr>
        <w:t xml:space="preserve">Who &amp; When:</w:t>
      </w:r>
      <w:r>
        <w:t xml:space="preserve"> </w:t>
      </w:r>
      <w:r>
        <w:t xml:space="preserve">Chevron (US oil and gas company), press release of June 22, 2026; E&amp;E News; Bloomberg Law; World Oil.</w:t>
      </w:r>
    </w:p>
    <w:p>
      <w:pPr>
        <w:pStyle w:val="CardField"/>
      </w:pPr>
      <w:r>
        <w:rPr>
          <w:b/>
          <w:bCs/>
        </w:rPr>
        <w:t xml:space="preserve">Origin:</w:t>
      </w:r>
      <w:r>
        <w:t xml:space="preserve"> </w:t>
      </w:r>
      <w:r>
        <w:t xml:space="preserve">Company announcement plus reporting.</w:t>
      </w:r>
    </w:p>
    <w:p>
      <w:pPr>
        <w:pStyle w:val="CardField"/>
      </w:pPr>
      <w:r>
        <w:rPr>
          <w:b/>
          <w:bCs/>
        </w:rPr>
        <w:t xml:space="preserve">Key Takeaways:</w:t>
      </w:r>
    </w:p>
    <w:p>
      <w:pPr>
        <w:pStyle w:val="CardList"/>
        <w:numPr>
          <w:ilvl w:val="0"/>
          <w:numId w:val="1180"/>
        </w:numPr>
      </w:pPr>
      <w:r>
        <w:t xml:space="preserve">The Chevron subsidiary Energy Forge One, together with the investment firm Engine No. 1, signs a 20-year power supply contract with Microsoft.</w:t>
      </w:r>
    </w:p>
    <w:p>
      <w:pPr>
        <w:pStyle w:val="CardList"/>
        <w:numPr>
          <w:ilvl w:val="0"/>
          <w:numId w:val="1180"/>
        </w:numPr>
      </w:pPr>
      <w:r>
        <w:t xml:space="preserve">About 2.67 GW of gas generation in Reeves County (Permian Basin, West Texas), mostly with GE Vernova turbines; power expected by 2028.</w:t>
      </w:r>
    </w:p>
    <w:p>
      <w:pPr>
        <w:pStyle w:val="CardList"/>
        <w:numPr>
          <w:ilvl w:val="0"/>
          <w:numId w:val="1180"/>
        </w:numPr>
      </w:pPr>
      <w:r>
        <w:t xml:space="preserve">Final investment decision expected by the end of 2026.</w:t>
      </w:r>
    </w:p>
    <w:p>
      <w:pPr>
        <w:pStyle w:val="CardList"/>
        <w:numPr>
          <w:ilvl w:val="0"/>
          <w:numId w:val="1180"/>
        </w:numPr>
      </w:pPr>
      <w:r>
        <w:t xml:space="preserve">Operation with non-potable brackish water.</w:t>
      </w:r>
    </w:p>
    <w:p>
      <w:pPr>
        <w:pStyle w:val="CardList"/>
        <w:numPr>
          <w:ilvl w:val="0"/>
          <w:numId w:val="1180"/>
        </w:numPr>
      </w:pPr>
      <w:r>
        <w:t xml:space="preserve">According to E&amp;E News, the plant will initially not be connected to the grid.</w:t>
      </w:r>
    </w:p>
    <w:p>
      <w:pPr>
        <w:pStyle w:val="CardField"/>
      </w:pPr>
      <w:r>
        <w:rPr>
          <w:b/>
          <w:bCs/>
        </w:rPr>
        <w:t xml:space="preserve">Potential Counterpoints/Vulnerabilities:</w:t>
      </w:r>
      <w:r>
        <w:t xml:space="preserve"> </w:t>
      </w:r>
      <w:r>
        <w:t xml:space="preserve">Gas = emissions (→ Pro's P3); not built yet (decision still pending).</w:t>
      </w:r>
    </w:p>
    <w:p>
      <w:pPr>
        <w:pStyle w:val="CardField"/>
      </w:pPr>
      <w:r>
        <w:rPr>
          <w:b/>
          <w:bCs/>
        </w:rPr>
        <w:t xml:space="preserve">Verification:</w:t>
      </w:r>
      <w:r>
        <w:t xml:space="preserve"> </w:t>
      </w:r>
      <w:r>
        <w:t xml:space="preserve">✔ via several excerpts.</w:t>
      </w:r>
    </w:p>
    <w:p>
      <w:pPr>
        <w:pStyle w:val="CardField"/>
      </w:pPr>
      <w:r>
        <w:rPr>
          <w:b/>
          <w:bCs/>
        </w:rPr>
        <w:t xml:space="preserve">Links:</w:t>
      </w:r>
    </w:p>
    <w:p>
      <w:pPr>
        <w:pStyle w:val="CardList"/>
        <w:numPr>
          <w:ilvl w:val="0"/>
          <w:numId w:val="1181"/>
        </w:numPr>
      </w:pPr>
      <w:hyperlink r:id="rId370" w:history="1">
        <w:r>
          <w:rPr>
            <w:rStyle w:val="Hyperlink"/>
          </w:rPr>
          <w:t xml:space="preserve">https://www.eenews.net/articles/chevron-inks-deal-to-power-microsoft-data-center-in-texas/</w:t>
        </w:r>
      </w:hyperlink>
    </w:p>
    <w:p>
      <w:pPr>
        <w:pStyle w:val="CardList"/>
        <w:numPr>
          <w:ilvl w:val="0"/>
          <w:numId w:val="1181"/>
        </w:numPr>
      </w:pPr>
      <w:hyperlink r:id="rId371" w:history="1">
        <w:r>
          <w:rPr>
            <w:rStyle w:val="Hyperlink"/>
          </w:rPr>
          <w:t xml:space="preserve">https://worldoil.com/news/2026/6/22/chevron-signs-20-year-microsoft-power-deal-for-west-texas-ai-project/</w:t>
        </w:r>
      </w:hyperlink>
    </w:p>
    <w:p>
      <w:pPr>
        <w:pStyle w:val="CardField"/>
      </w:pPr>
      <w:r>
        <w:rPr>
          <w:b/>
          <w:bCs/>
        </w:rPr>
        <w:t xml:space="preserve">Used:</w:t>
      </w:r>
      <w:r>
        <w:t xml:space="preserve"> </w:t>
      </w:r>
      <w:hyperlink w:anchor="p2" w:history="1">
        <w:r>
          <w:rPr>
            <w:rStyle w:val="NavLinkChar"/>
          </w:rPr>
          <w:t xml:space="preserve">P2</w:t>
        </w:r>
      </w:hyperlink>
    </w:p>
    <w:bookmarkEnd w:id="372"/>
    <w:bookmarkStart w:id="375" w:name="src-S85"/>
    <w:p>
      <w:pPr>
        <w:pStyle w:val="Heading2"/>
      </w:pPr>
      <w:r>
        <w:t xml:space="preserve">S85 – Own generation ("behind the meter"): Cleanview and RBC Capital Markets (2026)</w:t>
      </w:r>
    </w:p>
    <w:p>
      <w:pPr>
        <w:pStyle w:val="CardField"/>
      </w:pPr>
      <w:r>
        <w:rPr>
          <w:b/>
          <w:bCs/>
        </w:rPr>
        <w:t xml:space="preserve">Who &amp; When:</w:t>
      </w:r>
      <w:r>
        <w:t xml:space="preserve"> </w:t>
      </w:r>
      <w:r>
        <w:t xml:space="preserve">Cleanview (an energy data platform that tracks projects via satellite images), report "Bypassing the Grid: How Data Center Developers Are Building Their Own Power Plants"; RBC Capital Markets (the investment bank of the Royal Bank of Canada), "Natural gas powers the data center boom" (May 2026).</w:t>
      </w:r>
    </w:p>
    <w:p>
      <w:pPr>
        <w:pStyle w:val="CardField"/>
      </w:pPr>
      <w:r>
        <w:rPr>
          <w:b/>
          <w:bCs/>
        </w:rPr>
        <w:t xml:space="preserve">Key Takeaways:</w:t>
      </w:r>
    </w:p>
    <w:p>
      <w:pPr>
        <w:pStyle w:val="CardList"/>
        <w:numPr>
          <w:ilvl w:val="0"/>
          <w:numId w:val="1182"/>
        </w:numPr>
      </w:pPr>
      <w:r>
        <w:t xml:space="preserve">RBC: about 101 GW of own gas generation for data centers announced in the US (some possibly speculative).</w:t>
      </w:r>
    </w:p>
    <w:p>
      <w:pPr>
        <w:pStyle w:val="CardList"/>
        <w:numPr>
          <w:ilvl w:val="0"/>
          <w:numId w:val="1182"/>
        </w:numPr>
      </w:pPr>
      <w:r>
        <w:t xml:space="preserve">Cleanview: about 90 GW across all projects, but only about 2 GW (2.2%) in operation; 2.8–3.2 GW expected by the end of 2026; 5–13 GW by the end of 2027.</w:t>
      </w:r>
    </w:p>
    <w:p>
      <w:pPr>
        <w:pStyle w:val="CardField"/>
      </w:pPr>
      <w:r>
        <w:rPr>
          <w:b/>
          <w:bCs/>
        </w:rPr>
        <w:t xml:space="preserve">Potential Counterpoints/Vulnerabilities:</w:t>
      </w:r>
      <w:r>
        <w:t xml:space="preserve"> </w:t>
      </w:r>
      <w:r>
        <w:t xml:space="preserve">⚠</w:t>
      </w:r>
      <w:r>
        <w:t xml:space="preserve"> </w:t>
      </w:r>
      <w:r>
        <w:rPr>
          <w:b/>
          <w:bCs/>
        </w:rPr>
        <w:t xml:space="preserve">Double-edged:</w:t>
      </w:r>
      <w:r>
        <w:t xml:space="preserve"> </w:t>
      </w:r>
      <w:r>
        <w:t xml:space="preserve">Pro can use the 2 GW to show that own generation has barely started → in R1, only argue "increasingly".</w:t>
      </w:r>
    </w:p>
    <w:p>
      <w:pPr>
        <w:pStyle w:val="CardField"/>
      </w:pPr>
      <w:r>
        <w:rPr>
          <w:b/>
          <w:bCs/>
        </w:rPr>
        <w:t xml:space="preserve">Links:</w:t>
      </w:r>
    </w:p>
    <w:p>
      <w:pPr>
        <w:pStyle w:val="CardList"/>
        <w:numPr>
          <w:ilvl w:val="0"/>
          <w:numId w:val="1183"/>
        </w:numPr>
      </w:pPr>
      <w:hyperlink r:id="rId373" w:history="1">
        <w:r>
          <w:rPr>
            <w:rStyle w:val="Hyperlink"/>
          </w:rPr>
          <w:t xml:space="preserve">https://cleanview.co/reports/behind-the-meter-data-centers</w:t>
        </w:r>
      </w:hyperlink>
    </w:p>
    <w:p>
      <w:pPr>
        <w:pStyle w:val="CardList"/>
        <w:numPr>
          <w:ilvl w:val="0"/>
          <w:numId w:val="1183"/>
        </w:numPr>
      </w:pPr>
      <w:hyperlink r:id="rId374" w:history="1">
        <w:r>
          <w:rPr>
            <w:rStyle w:val="Hyperlink"/>
          </w:rPr>
          <w:t xml:space="preserve">https://www.rbccm.com/en/insights/2026/05/natural-gas-powers-the-data-center-boom</w:t>
        </w:r>
      </w:hyperlink>
    </w:p>
    <w:p>
      <w:pPr>
        <w:pStyle w:val="CardField"/>
      </w:pPr>
      <w:r>
        <w:rPr>
          <w:b/>
          <w:bCs/>
        </w:rPr>
        <w:t xml:space="preserve">Used:</w:t>
      </w:r>
      <w:r>
        <w:t xml:space="preserve"> </w:t>
      </w:r>
      <w:r>
        <w:t xml:space="preserve">– (not cited in Parts A–C)</w:t>
      </w:r>
    </w:p>
    <w:bookmarkEnd w:id="375"/>
    <w:bookmarkStart w:id="377" w:name="src-S86"/>
    <w:p>
      <w:pPr>
        <w:pStyle w:val="Heading2"/>
      </w:pPr>
      <w:r>
        <w:t xml:space="preserve">S86 – Bloom Energy: "2026 Data Center Power Report" (January 20, 2026)</w:t>
      </w:r>
    </w:p>
    <w:p>
      <w:pPr>
        <w:pStyle w:val="CardField"/>
      </w:pPr>
      <w:r>
        <w:rPr>
          <w:b/>
          <w:bCs/>
        </w:rPr>
        <w:t xml:space="preserve">Who &amp; When:</w:t>
      </w:r>
      <w:r>
        <w:t xml:space="preserve"> </w:t>
      </w:r>
      <w:r>
        <w:t xml:space="preserve">Bloom Energy (a maker of fuel cells for on-site power); survey of 152 decision-makers (hyperscalers, colocation providers, utilities) in November 2025.</w:t>
      </w:r>
    </w:p>
    <w:p>
      <w:pPr>
        <w:pStyle w:val="CardField"/>
      </w:pPr>
      <w:r>
        <w:rPr>
          <w:b/>
          <w:bCs/>
        </w:rPr>
        <w:t xml:space="preserve">Key Takeaways:</w:t>
      </w:r>
      <w:r>
        <w:t xml:space="preserve"> </w:t>
      </w:r>
      <w:r>
        <w:t xml:space="preserve">About one third of data centers expect to run 100% on on-site power by 2030 – 22% more than in the survey six months earlier.</w:t>
      </w:r>
    </w:p>
    <w:p>
      <w:pPr>
        <w:pStyle w:val="CardField"/>
      </w:pPr>
      <w:r>
        <w:rPr>
          <w:b/>
          <w:bCs/>
        </w:rPr>
        <w:t xml:space="preserve">Potential Counterpoints/Vulnerabilities:</w:t>
      </w:r>
      <w:r>
        <w:t xml:space="preserve"> </w:t>
      </w:r>
      <w:r>
        <w:t xml:space="preserve">Vendor with a commercial interest; expectations, not built plants → use only as a sign of the trend.</w:t>
      </w:r>
    </w:p>
    <w:p>
      <w:pPr>
        <w:pStyle w:val="CardField"/>
      </w:pPr>
      <w:r>
        <w:rPr>
          <w:b/>
          <w:bCs/>
        </w:rPr>
        <w:t xml:space="preserve">Link:</w:t>
      </w:r>
      <w:r>
        <w:t xml:space="preserve"> </w:t>
      </w:r>
      <w:hyperlink r:id="rId376" w:history="1">
        <w:r>
          <w:rPr>
            <w:rStyle w:val="Hyperlink"/>
          </w:rPr>
          <w:t xml:space="preserve">https://www.bloomenergy.com/news/data-centers-plan-to-reduce-reliance-on-grid-finds-bloom-energys-2026-power-report/</w:t>
        </w:r>
      </w:hyperlink>
    </w:p>
    <w:p>
      <w:pPr>
        <w:pStyle w:val="CardField"/>
      </w:pPr>
      <w:r>
        <w:rPr>
          <w:b/>
          <w:bCs/>
        </w:rPr>
        <w:t xml:space="preserve">Used:</w:t>
      </w:r>
      <w:r>
        <w:t xml:space="preserve"> </w:t>
      </w:r>
      <w:hyperlink w:anchor="p2" w:history="1">
        <w:r>
          <w:rPr>
            <w:rStyle w:val="NavLinkChar"/>
          </w:rPr>
          <w:t xml:space="preserve">P2</w:t>
        </w:r>
      </w:hyperlink>
    </w:p>
    <w:bookmarkEnd w:id="377"/>
    <w:bookmarkStart w:id="379" w:name="src-S87"/>
    <w:p>
      <w:pPr>
        <w:pStyle w:val="Heading2"/>
      </w:pPr>
      <w:r>
        <w:t xml:space="preserve">S87 – U.S. Energy Information Administration (EIA): planned new capacity in 2026 (Today in Energy, February 2026)</w:t>
      </w:r>
    </w:p>
    <w:p>
      <w:pPr>
        <w:pStyle w:val="CardField"/>
      </w:pPr>
      <w:r>
        <w:rPr>
          <w:b/>
          <w:bCs/>
        </w:rPr>
        <w:t xml:space="preserve">Who &amp; When:</w:t>
      </w:r>
      <w:r>
        <w:t xml:space="preserve"> </w:t>
      </w:r>
      <w:r>
        <w:t xml:space="preserve">EIA (the statistics agency of the US Department of Energy), February 2026.</w:t>
      </w:r>
    </w:p>
    <w:p>
      <w:pPr>
        <w:pStyle w:val="CardField"/>
      </w:pPr>
      <w:r>
        <w:rPr>
          <w:b/>
          <w:bCs/>
        </w:rPr>
        <w:t xml:space="preserve">Key Takeaways:</w:t>
      </w:r>
    </w:p>
    <w:p>
      <w:pPr>
        <w:pStyle w:val="CardList"/>
        <w:numPr>
          <w:ilvl w:val="0"/>
          <w:numId w:val="1184"/>
        </w:numPr>
      </w:pPr>
      <w:r>
        <w:t xml:space="preserve">Developers plan a record 86 GW of new utility-scale capacity in 2026.</w:t>
      </w:r>
    </w:p>
    <w:p>
      <w:pPr>
        <w:pStyle w:val="CardList"/>
        <w:numPr>
          <w:ilvl w:val="0"/>
          <w:numId w:val="1184"/>
        </w:numPr>
      </w:pPr>
      <w:r>
        <w:t xml:space="preserve">53 GW were added in 2025, the most since 2002.</w:t>
      </w:r>
    </w:p>
    <w:p>
      <w:pPr>
        <w:pStyle w:val="CardList"/>
        <w:numPr>
          <w:ilvl w:val="0"/>
          <w:numId w:val="1184"/>
        </w:numPr>
      </w:pPr>
      <w:r>
        <w:t xml:space="preserve">2026 by technology: solar 43.4 GW (51%), batteries 24 GW (28%), wind 11.8 GW (14%); gas about 7% (⚠ gas share only via secondary source).</w:t>
      </w:r>
    </w:p>
    <w:p>
      <w:pPr>
        <w:pStyle w:val="CardField"/>
      </w:pPr>
      <w:r>
        <w:rPr>
          <w:b/>
          <w:bCs/>
        </w:rPr>
        <w:t xml:space="preserve">Potential Counterpoints/Vulnerabilities:</w:t>
      </w:r>
      <w:r>
        <w:t xml:space="preserve"> </w:t>
      </w:r>
      <w:r>
        <w:t xml:space="preserve">These are plans, not finished plants; solar and batteries do not deliver around the clock → Pro could argue reliability at night.</w:t>
      </w:r>
    </w:p>
    <w:p>
      <w:pPr>
        <w:pStyle w:val="CardField"/>
      </w:pPr>
      <w:r>
        <w:rPr>
          <w:b/>
          <w:bCs/>
        </w:rPr>
        <w:t xml:space="preserve">Link:</w:t>
      </w:r>
      <w:r>
        <w:t xml:space="preserve"> </w:t>
      </w:r>
      <w:hyperlink r:id="rId378" w:history="1">
        <w:r>
          <w:rPr>
            <w:rStyle w:val="Hyperlink"/>
          </w:rPr>
          <w:t xml:space="preserve">https://www.eia.gov/todayinenergy/detail.php?id=67205</w:t>
        </w:r>
      </w:hyperlink>
    </w:p>
    <w:p>
      <w:pPr>
        <w:pStyle w:val="CardField"/>
      </w:pPr>
      <w:r>
        <w:rPr>
          <w:b/>
          <w:bCs/>
        </w:rPr>
        <w:t xml:space="preserve">Used:</w:t>
      </w:r>
      <w:r>
        <w:t xml:space="preserve"> </w:t>
      </w:r>
      <w:hyperlink w:anchor="p5" w:history="1">
        <w:r>
          <w:rPr>
            <w:rStyle w:val="NavLinkChar"/>
          </w:rPr>
          <w:t xml:space="preserve">P5</w:t>
        </w:r>
      </w:hyperlink>
    </w:p>
    <w:bookmarkEnd w:id="379"/>
    <w:bookmarkStart w:id="381" w:name="src-S88"/>
    <w:p>
      <w:pPr>
        <w:pStyle w:val="Heading2"/>
      </w:pPr>
      <w:r>
        <w:t xml:space="preserve">S88 – PJM: "PJM Chooses 51 Generation Resource Projects to Address Near-Term Electricity Demand Growth" (May 2, 2025)</w:t>
      </w:r>
    </w:p>
    <w:p>
      <w:pPr>
        <w:pStyle w:val="CardField"/>
      </w:pPr>
      <w:r>
        <w:rPr>
          <w:b/>
          <w:bCs/>
        </w:rPr>
        <w:t xml:space="preserve">Who &amp; When:</w:t>
      </w:r>
      <w:r>
        <w:t xml:space="preserve"> </w:t>
      </w:r>
      <w:r>
        <w:t xml:space="preserve">PJM Interconnection (the non-profit operator of the largest US power grid), Inside Lines, May 2, 2025.</w:t>
      </w:r>
    </w:p>
    <w:p>
      <w:pPr>
        <w:pStyle w:val="CardField"/>
      </w:pPr>
      <w:r>
        <w:rPr>
          <w:b/>
          <w:bCs/>
        </w:rPr>
        <w:t xml:space="preserve">Origin:</w:t>
      </w:r>
      <w:r>
        <w:t xml:space="preserve"> </w:t>
      </w:r>
      <w:r>
        <w:t xml:space="preserve">Primary source.</w:t>
      </w:r>
    </w:p>
    <w:p>
      <w:pPr>
        <w:pStyle w:val="CardField"/>
      </w:pPr>
      <w:r>
        <w:rPr>
          <w:b/>
          <w:bCs/>
        </w:rPr>
        <w:t xml:space="preserve">Key Takeaways:</w:t>
      </w:r>
    </w:p>
    <w:p>
      <w:pPr>
        <w:pStyle w:val="CardList"/>
        <w:numPr>
          <w:ilvl w:val="0"/>
          <w:numId w:val="1185"/>
        </w:numPr>
      </w:pPr>
      <w:r>
        <w:t xml:space="preserve">51 projects selected from 94 applications for the one-time "Reliability Resource Initiative": 9,361 MW in total (39 upgrades of existing plants plus 12 new builds, of which half are gas, five batteries and one nuclear).</w:t>
      </w:r>
    </w:p>
    <w:p>
      <w:pPr>
        <w:pStyle w:val="CardList"/>
        <w:numPr>
          <w:ilvl w:val="0"/>
          <w:numId w:val="1185"/>
        </w:numPr>
      </w:pPr>
      <w:r>
        <w:t xml:space="preserve">90% expected online by 2030, all by 2031.</w:t>
      </w:r>
    </w:p>
    <w:p>
      <w:pPr>
        <w:pStyle w:val="CardField"/>
      </w:pPr>
      <w:r>
        <w:rPr>
          <w:b/>
          <w:bCs/>
        </w:rPr>
        <w:t xml:space="preserve">Link:</w:t>
      </w:r>
      <w:r>
        <w:t xml:space="preserve"> </w:t>
      </w:r>
      <w:hyperlink r:id="rId380" w:history="1">
        <w:r>
          <w:rPr>
            <w:rStyle w:val="Hyperlink"/>
          </w:rPr>
          <w:t xml:space="preserve">https://insidelines.pjm.com/pjm-chooses-51-generation-resource-projects-to-address-near-term-electricity-demand-growth/</w:t>
        </w:r>
      </w:hyperlink>
    </w:p>
    <w:p>
      <w:pPr>
        <w:pStyle w:val="CardField"/>
      </w:pPr>
      <w:r>
        <w:rPr>
          <w:b/>
          <w:bCs/>
        </w:rPr>
        <w:t xml:space="preserve">Used:</w:t>
      </w:r>
      <w:r>
        <w:t xml:space="preserve"> </w:t>
      </w:r>
      <w:r>
        <w:t xml:space="preserve">– (not cited in Parts A–C)</w:t>
      </w:r>
    </w:p>
    <w:bookmarkEnd w:id="381"/>
    <w:bookmarkStart w:id="384" w:name="src-S89"/>
    <w:p>
      <w:pPr>
        <w:pStyle w:val="Heading2"/>
      </w:pPr>
      <w:r>
        <w:t xml:space="preserve">S89 – Grid Strategies: "Review of NERC's 2025 Long-Term Reliability Assessment" (March 9, 2026)</w:t>
      </w:r>
    </w:p>
    <w:p>
      <w:pPr>
        <w:pStyle w:val="CardField"/>
      </w:pPr>
      <w:r>
        <w:rPr>
          <w:b/>
          <w:bCs/>
        </w:rPr>
        <w:t xml:space="preserve">Who &amp; When:</w:t>
      </w:r>
      <w:r>
        <w:t xml:space="preserve"> </w:t>
      </w:r>
      <w:r>
        <w:t xml:space="preserve">Grid Strategies (a consulting firm for power grids and electricity markets), on behalf of Earthjustice, NRDC, Sierra Club and EDF (environmental organizations); reported by Utility Dive and RTO Insider, March 2026.</w:t>
      </w:r>
    </w:p>
    <w:p>
      <w:pPr>
        <w:pStyle w:val="CardField"/>
      </w:pPr>
      <w:r>
        <w:rPr>
          <w:b/>
          <w:bCs/>
        </w:rPr>
        <w:t xml:space="preserve">Key Takeaways:</w:t>
      </w:r>
    </w:p>
    <w:p>
      <w:pPr>
        <w:pStyle w:val="CardList"/>
        <w:numPr>
          <w:ilvl w:val="0"/>
          <w:numId w:val="1186"/>
        </w:numPr>
      </w:pPr>
      <w:r>
        <w:t xml:space="preserve">NERC combines a high demand forecast with low assumptions for new power plants and for power exchanged between regions.</w:t>
      </w:r>
    </w:p>
    <w:p>
      <w:pPr>
        <w:pStyle w:val="CardList"/>
        <w:numPr>
          <w:ilvl w:val="0"/>
          <w:numId w:val="1186"/>
        </w:numPr>
      </w:pPr>
      <w:r>
        <w:t xml:space="preserve">When resources likely to connect are counted, most regions would probably have enough generation.</w:t>
      </w:r>
    </w:p>
    <w:p>
      <w:pPr>
        <w:pStyle w:val="CardList"/>
        <w:numPr>
          <w:ilvl w:val="0"/>
          <w:numId w:val="1186"/>
        </w:numPr>
      </w:pPr>
      <w:r>
        <w:t xml:space="preserve">Grid Strategies still names delays in connecting new plants and missing transmission lines between regions as real risks.</w:t>
      </w:r>
    </w:p>
    <w:p>
      <w:pPr>
        <w:pStyle w:val="CardList"/>
        <w:numPr>
          <w:ilvl w:val="0"/>
          <w:numId w:val="1186"/>
        </w:numPr>
      </w:pPr>
      <w:r>
        <w:t xml:space="preserve">NERC replied that it assessed all regions using published criteria.</w:t>
      </w:r>
    </w:p>
    <w:p>
      <w:pPr>
        <w:pStyle w:val="CardField"/>
      </w:pPr>
      <w:r>
        <w:rPr>
          <w:b/>
          <w:bCs/>
        </w:rPr>
        <w:t xml:space="preserve">Potential Counterpoints/Vulnerabilities:</w:t>
      </w:r>
      <w:r>
        <w:t xml:space="preserve"> </w:t>
      </w:r>
      <w:r>
        <w:t xml:space="preserve">Commissioned by environmental groups → but that makes it stronger for Contra, since even groups critical of data centers say the risk is overstated.</w:t>
      </w:r>
    </w:p>
    <w:p>
      <w:pPr>
        <w:pStyle w:val="CardField"/>
      </w:pPr>
      <w:r>
        <w:rPr>
          <w:b/>
          <w:bCs/>
        </w:rPr>
        <w:t xml:space="preserve">Links:</w:t>
      </w:r>
    </w:p>
    <w:p>
      <w:pPr>
        <w:pStyle w:val="CardList"/>
        <w:numPr>
          <w:ilvl w:val="0"/>
          <w:numId w:val="1187"/>
        </w:numPr>
      </w:pPr>
      <w:hyperlink r:id="rId382" w:history="1">
        <w:r>
          <w:rPr>
            <w:rStyle w:val="Hyperlink"/>
          </w:rPr>
          <w:t xml:space="preserve">https://www.utilitydive.com/news/nerc-overstates-reliability-risks-ltra-grid-strategies/814292/</w:t>
        </w:r>
      </w:hyperlink>
    </w:p>
    <w:p>
      <w:pPr>
        <w:pStyle w:val="CardList"/>
        <w:numPr>
          <w:ilvl w:val="0"/>
          <w:numId w:val="1187"/>
        </w:numPr>
      </w:pPr>
      <w:hyperlink r:id="rId383" w:history="1">
        <w:r>
          <w:rPr>
            <w:rStyle w:val="Hyperlink"/>
          </w:rPr>
          <w:t xml:space="preserve">https://gridstrategiesllc.com/review-of-nercs-2025-ltra/</w:t>
        </w:r>
      </w:hyperlink>
    </w:p>
    <w:p>
      <w:pPr>
        <w:pStyle w:val="CardField"/>
      </w:pPr>
      <w:r>
        <w:rPr>
          <w:b/>
          <w:bCs/>
        </w:rPr>
        <w:t xml:space="preserve">Used:</w:t>
      </w:r>
      <w:r>
        <w:t xml:space="preserve"> </w:t>
      </w:r>
      <w:r>
        <w:t xml:space="preserve">– (not cited in Parts A–C)</w:t>
      </w:r>
    </w:p>
    <w:bookmarkEnd w:id="384"/>
    <w:bookmarkStart w:id="386" w:name="src-S90"/>
    <w:p>
      <w:pPr>
        <w:pStyle w:val="Heading2"/>
      </w:pPr>
      <w:r>
        <w:t xml:space="preserve">S90 – Studies on inflated data center demand forecasts (2025)</w:t>
      </w:r>
    </w:p>
    <w:p>
      <w:pPr>
        <w:pStyle w:val="CardField"/>
      </w:pPr>
      <w:r>
        <w:rPr>
          <w:b/>
          <w:bCs/>
        </w:rPr>
        <w:t xml:space="preserve">Who &amp; When:</w:t>
      </w:r>
    </w:p>
    <w:p>
      <w:pPr>
        <w:pStyle w:val="CardList"/>
        <w:numPr>
          <w:ilvl w:val="0"/>
          <w:numId w:val="1188"/>
        </w:numPr>
      </w:pPr>
      <w:r>
        <w:t xml:space="preserve">London Economics International (an economic consulting firm), commissioned by the Southern Environmental Law Center (SELC, an environmental law organization): "Uncertainty and upward bias are inherent in data center electricity demand projections" (July 2025).</w:t>
      </w:r>
    </w:p>
    <w:p>
      <w:pPr>
        <w:pStyle w:val="CardList"/>
        <w:numPr>
          <w:ilvl w:val="0"/>
          <w:numId w:val="1188"/>
        </w:numPr>
      </w:pPr>
      <w:r>
        <w:t xml:space="preserve">Greenlink Analytics and Science for Georgia (non-profit research organizations), SELC press release of December 16, 2025.</w:t>
      </w:r>
    </w:p>
    <w:p>
      <w:pPr>
        <w:pStyle w:val="CardField"/>
      </w:pPr>
      <w:r>
        <w:rPr>
          <w:b/>
          <w:bCs/>
        </w:rPr>
        <w:t xml:space="preserve">Key Takeaways:</w:t>
      </w:r>
    </w:p>
    <w:p>
      <w:pPr>
        <w:pStyle w:val="CardList"/>
        <w:numPr>
          <w:ilvl w:val="0"/>
          <w:numId w:val="1189"/>
        </w:numPr>
      </w:pPr>
      <w:r>
        <w:t xml:space="preserve">LEI: data center demand forecasts are highly uncertain and systematically overstated; one reason is duplicate requests by developers.</w:t>
      </w:r>
    </w:p>
    <w:p>
      <w:pPr>
        <w:pStyle w:val="CardList"/>
        <w:numPr>
          <w:ilvl w:val="0"/>
          <w:numId w:val="1189"/>
        </w:numPr>
      </w:pPr>
      <w:r>
        <w:t xml:space="preserve">Greenlink: utilities in Alabama, Georgia, North Carolina and South Carolina are planning for data center growth with only about a 0.2% chance of actually happening.</w:t>
      </w:r>
    </w:p>
    <w:p>
      <w:pPr>
        <w:pStyle w:val="CardField"/>
      </w:pPr>
      <w:r>
        <w:rPr>
          <w:b/>
          <w:bCs/>
        </w:rPr>
        <w:t xml:space="preserve">Verification:</w:t>
      </w:r>
      <w:r>
        <w:t xml:space="preserve"> </w:t>
      </w:r>
      <w:r>
        <w:t xml:space="preserve">✔ via SELC excerpts. ⚠ A frequently cited "57 GW" figure and the claim about global chip supply are not confirmed, so don't use them.</w:t>
      </w:r>
    </w:p>
    <w:p>
      <w:pPr>
        <w:pStyle w:val="CardField"/>
      </w:pPr>
      <w:r>
        <w:rPr>
          <w:b/>
          <w:bCs/>
        </w:rPr>
        <w:t xml:space="preserve">Link:</w:t>
      </w:r>
      <w:r>
        <w:t xml:space="preserve"> </w:t>
      </w:r>
      <w:hyperlink r:id="rId385" w:history="1">
        <w:r>
          <w:rPr>
            <w:rStyle w:val="Hyperlink"/>
          </w:rPr>
          <w:t xml:space="preserve">https://www.selc.org/resource/uncertainty-and-upward-bias-are-inherent-in-data-center-electricity-demand-projections/</w:t>
        </w:r>
      </w:hyperlink>
    </w:p>
    <w:p>
      <w:pPr>
        <w:pStyle w:val="CardField"/>
      </w:pPr>
      <w:r>
        <w:rPr>
          <w:b/>
          <w:bCs/>
        </w:rPr>
        <w:t xml:space="preserve">Used:</w:t>
      </w:r>
      <w:r>
        <w:t xml:space="preserve"> </w:t>
      </w:r>
      <w:r>
        <w:t xml:space="preserve">– (not cited in Parts A–C)</w:t>
      </w:r>
    </w:p>
    <w:bookmarkEnd w:id="386"/>
    <w:bookmarkStart w:id="388" w:name="src-S91"/>
    <w:p>
      <w:pPr>
        <w:pStyle w:val="Heading2"/>
      </w:pPr>
      <w:r>
        <w:t xml:space="preserve">S91 – FERC: "Reliability Explainer" (what NERC is)</w:t>
      </w:r>
    </w:p>
    <w:p>
      <w:pPr>
        <w:pStyle w:val="CardField"/>
      </w:pPr>
      <w:r>
        <w:rPr>
          <w:b/>
          <w:bCs/>
        </w:rPr>
        <w:t xml:space="preserve">Who &amp; When:</w:t>
      </w:r>
      <w:r>
        <w:t xml:space="preserve"> </w:t>
      </w:r>
      <w:r>
        <w:t xml:space="preserve">FERC (the federal agency that oversees interstate electricity markets), explainer page.</w:t>
      </w:r>
    </w:p>
    <w:p>
      <w:pPr>
        <w:pStyle w:val="CardField"/>
      </w:pPr>
      <w:r>
        <w:rPr>
          <w:b/>
          <w:bCs/>
        </w:rPr>
        <w:t xml:space="preserve">Key Takeaways:</w:t>
      </w:r>
    </w:p>
    <w:p>
      <w:pPr>
        <w:pStyle w:val="CardList"/>
        <w:numPr>
          <w:ilvl w:val="0"/>
          <w:numId w:val="1190"/>
        </w:numPr>
      </w:pPr>
      <w:r>
        <w:t xml:space="preserve">The Energy Policy Act of 2005 created the framework for mandatory reliability standards.</w:t>
      </w:r>
    </w:p>
    <w:p>
      <w:pPr>
        <w:pStyle w:val="CardList"/>
        <w:numPr>
          <w:ilvl w:val="0"/>
          <w:numId w:val="1190"/>
        </w:numPr>
      </w:pPr>
      <w:r>
        <w:t xml:space="preserve">In 2006, FERC certified NERC as the "Electric Reliability Organization".</w:t>
      </w:r>
    </w:p>
    <w:p>
      <w:pPr>
        <w:pStyle w:val="CardList"/>
        <w:numPr>
          <w:ilvl w:val="0"/>
          <w:numId w:val="1190"/>
        </w:numPr>
      </w:pPr>
      <w:r>
        <w:t xml:space="preserve">NERC drafts the standards; FERC must approve them before they become mandatory; violations can be fined.</w:t>
      </w:r>
    </w:p>
    <w:p>
      <w:pPr>
        <w:pStyle w:val="CardList"/>
        <w:numPr>
          <w:ilvl w:val="0"/>
          <w:numId w:val="1190"/>
        </w:numPr>
      </w:pPr>
      <w:r>
        <w:t xml:space="preserve">Coverage: continental US, most of Canada, northern Baja California (Mexico).</w:t>
      </w:r>
    </w:p>
    <w:p>
      <w:pPr>
        <w:pStyle w:val="CardField"/>
      </w:pPr>
      <w:r>
        <w:rPr>
          <w:b/>
          <w:bCs/>
        </w:rPr>
        <w:t xml:space="preserve">Link:</w:t>
      </w:r>
      <w:r>
        <w:t xml:space="preserve"> </w:t>
      </w:r>
      <w:hyperlink r:id="rId387" w:history="1">
        <w:r>
          <w:rPr>
            <w:rStyle w:val="Hyperlink"/>
          </w:rPr>
          <w:t xml:space="preserve">https://ferc.gov/reliability-explainer</w:t>
        </w:r>
      </w:hyperlink>
    </w:p>
    <w:p>
      <w:pPr>
        <w:pStyle w:val="CardField"/>
      </w:pPr>
      <w:r>
        <w:rPr>
          <w:b/>
          <w:bCs/>
        </w:rPr>
        <w:t xml:space="preserve">Used:</w:t>
      </w:r>
      <w:r>
        <w:t xml:space="preserve"> </w:t>
      </w:r>
      <w:r>
        <w:t xml:space="preserve">– (not cited in Parts A–C)</w:t>
      </w:r>
    </w:p>
    <w:bookmarkEnd w:id="388"/>
    <w:bookmarkStart w:id="391" w:name="src-S92"/>
    <w:p>
      <w:pPr>
        <w:pStyle w:val="Heading2"/>
      </w:pPr>
      <w:r>
        <w:t xml:space="preserve">S92 – Floodlight: "One of East Coast's largest data centers accused of 'violating federal law'" (August 2026)</w:t>
      </w:r>
    </w:p>
    <w:p>
      <w:pPr>
        <w:pStyle w:val="CardField"/>
      </w:pPr>
      <w:r>
        <w:rPr>
          <w:b/>
          <w:bCs/>
        </w:rPr>
        <w:t xml:space="preserve">Who &amp; When:</w:t>
      </w:r>
      <w:r>
        <w:t xml:space="preserve"> </w:t>
      </w:r>
      <w:r>
        <w:t xml:space="preserve">Floodlight, an independent, nonpartisan nonprofit newsroom focused on climate accountability, founded by Emily Holden; published with The Guardian at the end of August 2026.</w:t>
      </w:r>
    </w:p>
    <w:p>
      <w:pPr>
        <w:pStyle w:val="CardField"/>
      </w:pPr>
      <w:r>
        <w:rPr>
          <w:b/>
          <w:bCs/>
        </w:rPr>
        <w:t xml:space="preserve">Origin:</w:t>
      </w:r>
      <w:r>
        <w:t xml:space="preserve"> </w:t>
      </w:r>
      <w:r>
        <w:t xml:space="preserve">Investigative reporting with thermal drone footage.</w:t>
      </w:r>
    </w:p>
    <w:p>
      <w:pPr>
        <w:pStyle w:val="CardField"/>
      </w:pPr>
      <w:r>
        <w:rPr>
          <w:b/>
          <w:bCs/>
        </w:rPr>
        <w:t xml:space="preserve">Key Takeaways:</w:t>
      </w:r>
    </w:p>
    <w:p>
      <w:pPr>
        <w:pStyle w:val="CardList"/>
        <w:numPr>
          <w:ilvl w:val="0"/>
          <w:numId w:val="1191"/>
        </w:numPr>
      </w:pPr>
      <w:r>
        <w:t xml:space="preserve">The drone footage from mid-August 2026 showed at least 45 of the 62 generators at DataOne's Vineland site running, none of them permitted.</w:t>
      </w:r>
    </w:p>
    <w:p>
      <w:pPr>
        <w:pStyle w:val="CardList"/>
        <w:numPr>
          <w:ilvl w:val="0"/>
          <w:numId w:val="1191"/>
        </w:numPr>
      </w:pPr>
      <w:r>
        <w:t xml:space="preserve">The generators stand about a mile from two schools; Floodlight links their emissions to asthma, heart attacks and premature death.</w:t>
      </w:r>
    </w:p>
    <w:p>
      <w:pPr>
        <w:pStyle w:val="CardList"/>
        <w:numPr>
          <w:ilvl w:val="0"/>
          <w:numId w:val="1191"/>
        </w:numPr>
      </w:pPr>
      <w:r>
        <w:t xml:space="preserve">Bruce Buckheit, the EPA's former head of air enforcement, said the facility appears to violate federal law.</w:t>
      </w:r>
    </w:p>
    <w:p>
      <w:pPr>
        <w:pStyle w:val="CardList"/>
        <w:numPr>
          <w:ilvl w:val="0"/>
          <w:numId w:val="1191"/>
        </w:numPr>
      </w:pPr>
      <w:r>
        <w:t xml:space="preserve">The data center is meant to supply Microsoft through a $17 billion deal with Nebius.</w:t>
      </w:r>
    </w:p>
    <w:p>
      <w:pPr>
        <w:pStyle w:val="CardField"/>
      </w:pPr>
      <w:r>
        <w:rPr>
          <w:b/>
          <w:bCs/>
        </w:rPr>
        <w:t xml:space="preserve">Potential Counterpoints/Vulnerabilities:</w:t>
      </w:r>
      <w:r>
        <w:t xml:space="preserve"> </w:t>
      </w:r>
      <w:r>
        <w:t xml:space="preserve">Floodlight's own investigation; the company disputes the allegations → combine with the official fine [</w:t>
      </w:r>
      <w:hyperlink w:anchor="src-S76" w:history="1">
        <w:r>
          <w:rPr>
            <w:rStyle w:val="SourceLink"/>
          </w:rPr>
          <w:t xml:space="preserve">S76</w:t>
        </w:r>
      </w:hyperlink>
      <w:r>
        <w:t xml:space="preserve">].</w:t>
      </w:r>
    </w:p>
    <w:p>
      <w:pPr>
        <w:pStyle w:val="CardField"/>
      </w:pPr>
      <w:r>
        <w:rPr>
          <w:b/>
          <w:bCs/>
        </w:rPr>
        <w:t xml:space="preserve">Links:</w:t>
      </w:r>
    </w:p>
    <w:p>
      <w:pPr>
        <w:pStyle w:val="CardList"/>
        <w:numPr>
          <w:ilvl w:val="0"/>
          <w:numId w:val="1192"/>
        </w:numPr>
      </w:pPr>
      <w:hyperlink r:id="rId389" w:history="1">
        <w:r>
          <w:rPr>
            <w:rStyle w:val="Hyperlink"/>
          </w:rPr>
          <w:t xml:space="preserve">https://floodlightnews.org/new-jersey-data-center-federal-violation/</w:t>
        </w:r>
      </w:hyperlink>
    </w:p>
    <w:p>
      <w:pPr>
        <w:pStyle w:val="CardList"/>
        <w:numPr>
          <w:ilvl w:val="0"/>
          <w:numId w:val="1192"/>
        </w:numPr>
      </w:pPr>
      <w:hyperlink r:id="rId390" w:history="1">
        <w:r>
          <w:rPr>
            <w:rStyle w:val="Hyperlink"/>
          </w:rPr>
          <w:t xml:space="preserve">https://floodlightnews.org/about-floodlight/</w:t>
        </w:r>
      </w:hyperlink>
    </w:p>
    <w:p>
      <w:pPr>
        <w:pStyle w:val="CardField"/>
      </w:pPr>
      <w:r>
        <w:rPr>
          <w:b/>
          <w:bCs/>
        </w:rPr>
        <w:t xml:space="preserve">Used:</w:t>
      </w:r>
      <w:r>
        <w:t xml:space="preserve"> </w:t>
      </w:r>
      <w:hyperlink w:anchor="p3" w:history="1">
        <w:r>
          <w:rPr>
            <w:rStyle w:val="NavLinkChar"/>
          </w:rPr>
          <w:t xml:space="preserve">P3</w:t>
        </w:r>
      </w:hyperlink>
      <w:r>
        <w:t xml:space="preserve">,</w:t>
      </w:r>
      <w:r>
        <w:t xml:space="preserve"> </w:t>
      </w:r>
      <w:hyperlink w:anchor="p5" w:history="1">
        <w:r>
          <w:rPr>
            <w:rStyle w:val="NavLinkChar"/>
          </w:rPr>
          <w:t xml:space="preserve">P5</w:t>
        </w:r>
      </w:hyperlink>
    </w:p>
    <w:bookmarkEnd w:id="391"/>
    <w:bookmarkStart w:id="394" w:name="src-S93"/>
    <w:p>
      <w:pPr>
        <w:pStyle w:val="Heading2"/>
      </w:pPr>
      <w:r>
        <w:t xml:space="preserve">S93 – Clean Air Act: thresholds for a "major source"</w:t>
      </w:r>
    </w:p>
    <w:p>
      <w:pPr>
        <w:pStyle w:val="CardField"/>
      </w:pPr>
      <w:r>
        <w:rPr>
          <w:b/>
          <w:bCs/>
        </w:rPr>
        <w:t xml:space="preserve">Who &amp; When:</w:t>
      </w:r>
      <w:r>
        <w:t xml:space="preserve"> </w:t>
      </w:r>
      <w:r>
        <w:t xml:space="preserve">US Clean Air Act §302 and §182; EPA rulemaking notices on New Jersey (1990s).</w:t>
      </w:r>
    </w:p>
    <w:p>
      <w:pPr>
        <w:pStyle w:val="CardField"/>
      </w:pPr>
      <w:r>
        <w:rPr>
          <w:b/>
          <w:bCs/>
        </w:rPr>
        <w:t xml:space="preserve">Key Takeaways:</w:t>
      </w:r>
    </w:p>
    <w:p>
      <w:pPr>
        <w:pStyle w:val="CardList"/>
        <w:numPr>
          <w:ilvl w:val="0"/>
          <w:numId w:val="1193"/>
        </w:numPr>
      </w:pPr>
      <w:r>
        <w:t xml:space="preserve">A "major stationary source" is a facility with the potential to emit 100 tons per year of a pollutant.</w:t>
      </w:r>
    </w:p>
    <w:p>
      <w:pPr>
        <w:pStyle w:val="CardList"/>
        <w:numPr>
          <w:ilvl w:val="0"/>
          <w:numId w:val="1193"/>
        </w:numPr>
      </w:pPr>
      <w:r>
        <w:t xml:space="preserve">In areas with worse ozone pollution, lower limits apply: 50, 25 or 10 tons per year.</w:t>
      </w:r>
    </w:p>
    <w:p>
      <w:pPr>
        <w:pStyle w:val="CardList"/>
        <w:numPr>
          <w:ilvl w:val="0"/>
          <w:numId w:val="1193"/>
        </w:numPr>
      </w:pPr>
      <w:r>
        <w:t xml:space="preserve">New Jersey defines a major NOx source at 25 tons per year.</w:t>
      </w:r>
    </w:p>
    <w:p>
      <w:pPr>
        <w:pStyle w:val="CardField"/>
      </w:pPr>
      <w:r>
        <w:rPr>
          <w:b/>
          <w:bCs/>
        </w:rPr>
        <w:t xml:space="preserve">Verification:</w:t>
      </w:r>
      <w:r>
        <w:t xml:space="preserve"> </w:t>
      </w:r>
      <w:r>
        <w:t xml:space="preserve">✔ 100-ton threshold. ⚠ The New Jersey figure comes from older EPA notices → check the current N.J.A.C. 7:27.</w:t>
      </w:r>
    </w:p>
    <w:p>
      <w:pPr>
        <w:pStyle w:val="CardField"/>
      </w:pPr>
      <w:r>
        <w:rPr>
          <w:b/>
          <w:bCs/>
        </w:rPr>
        <w:t xml:space="preserve">Links:</w:t>
      </w:r>
    </w:p>
    <w:p>
      <w:pPr>
        <w:pStyle w:val="CardList"/>
        <w:numPr>
          <w:ilvl w:val="0"/>
          <w:numId w:val="1194"/>
        </w:numPr>
      </w:pPr>
      <w:hyperlink r:id="rId392" w:history="1">
        <w:r>
          <w:rPr>
            <w:rStyle w:val="Hyperlink"/>
          </w:rPr>
          <w:t xml:space="preserve">https://jjkellercompliancenetwork.com/regsense/40-cfr-51-appendix-s-appendix-s-to-part-51-emission-offset-interpretative-ruling</w:t>
        </w:r>
      </w:hyperlink>
    </w:p>
    <w:p>
      <w:pPr>
        <w:pStyle w:val="CardList"/>
        <w:numPr>
          <w:ilvl w:val="0"/>
          <w:numId w:val="1194"/>
        </w:numPr>
      </w:pPr>
      <w:hyperlink r:id="rId393" w:history="1">
        <w:r>
          <w:rPr>
            <w:rStyle w:val="Hyperlink"/>
          </w:rPr>
          <w:t xml:space="preserve">https://regulations.vlex.com/vid/quality-promulgation-various-jersey-22633075</w:t>
        </w:r>
      </w:hyperlink>
    </w:p>
    <w:p>
      <w:pPr>
        <w:pStyle w:val="CardField"/>
      </w:pPr>
      <w:r>
        <w:rPr>
          <w:b/>
          <w:bCs/>
        </w:rPr>
        <w:t xml:space="preserve">Used:</w:t>
      </w:r>
      <w:r>
        <w:t xml:space="preserve"> </w:t>
      </w:r>
      <w:hyperlink w:anchor="p3" w:history="1">
        <w:r>
          <w:rPr>
            <w:rStyle w:val="NavLinkChar"/>
          </w:rPr>
          <w:t xml:space="preserve">P3</w:t>
        </w:r>
      </w:hyperlink>
    </w:p>
    <w:bookmarkEnd w:id="394"/>
    <w:bookmarkStart w:id="396" w:name="src-S94"/>
    <w:p>
      <w:pPr>
        <w:pStyle w:val="Heading2"/>
      </w:pPr>
      <w:r>
        <w:t xml:space="preserve">S94 – EPA: "Greenhouse Gas Emissions from a Typical Passenger Vehicle"</w:t>
      </w:r>
    </w:p>
    <w:p>
      <w:pPr>
        <w:pStyle w:val="CardField"/>
      </w:pPr>
      <w:r>
        <w:rPr>
          <w:b/>
          <w:bCs/>
        </w:rPr>
        <w:t xml:space="preserve">Who &amp; When:</w:t>
      </w:r>
      <w:r>
        <w:t xml:space="preserve"> </w:t>
      </w:r>
      <w:r>
        <w:t xml:space="preserve">US Environmental Protection Agency (EPA, the federal agency for environmental protection); current version of the page.</w:t>
      </w:r>
    </w:p>
    <w:p>
      <w:pPr>
        <w:pStyle w:val="CardField"/>
      </w:pPr>
      <w:r>
        <w:rPr>
          <w:b/>
          <w:bCs/>
        </w:rPr>
        <w:t xml:space="preserve">Key Takeaways:</w:t>
      </w:r>
      <w:r>
        <w:t xml:space="preserve"> </w:t>
      </w:r>
      <w:r>
        <w:t xml:space="preserve">A typical passenger car emits about 4.6 metric tons of CO2 per year (assuming 22.2 miles per gallon and 11,500 miles per year).</w:t>
      </w:r>
    </w:p>
    <w:p>
      <w:pPr>
        <w:pStyle w:val="CardField"/>
      </w:pPr>
      <w:r>
        <w:rPr>
          <w:b/>
          <w:bCs/>
        </w:rPr>
        <w:t xml:space="preserve">Use:</w:t>
      </w:r>
      <w:r>
        <w:t xml:space="preserve"> </w:t>
      </w:r>
      <w:r>
        <w:t xml:space="preserve">120 million t ÷ 4.6 t ≈ 26 million cars (own calculation).</w:t>
      </w:r>
    </w:p>
    <w:p>
      <w:pPr>
        <w:pStyle w:val="CardField"/>
      </w:pPr>
      <w:r>
        <w:rPr>
          <w:b/>
          <w:bCs/>
        </w:rPr>
        <w:t xml:space="preserve">Link:</w:t>
      </w:r>
      <w:r>
        <w:t xml:space="preserve"> </w:t>
      </w:r>
      <w:hyperlink r:id="rId395" w:history="1">
        <w:r>
          <w:rPr>
            <w:rStyle w:val="Hyperlink"/>
          </w:rPr>
          <w:t xml:space="preserve">https://www.epa.gov/greenvehicles/greenhouse-gas-emissions-typical-passenger-vehicle</w:t>
        </w:r>
      </w:hyperlink>
    </w:p>
    <w:p>
      <w:pPr>
        <w:pStyle w:val="CardField"/>
      </w:pPr>
      <w:r>
        <w:rPr>
          <w:b/>
          <w:bCs/>
        </w:rPr>
        <w:t xml:space="preserve">Used:</w:t>
      </w:r>
      <w:r>
        <w:t xml:space="preserve"> </w:t>
      </w:r>
      <w:hyperlink w:anchor="p3" w:history="1">
        <w:r>
          <w:rPr>
            <w:rStyle w:val="NavLinkChar"/>
          </w:rPr>
          <w:t xml:space="preserve">P3</w:t>
        </w:r>
      </w:hyperlink>
    </w:p>
    <w:bookmarkEnd w:id="396"/>
    <w:bookmarkStart w:id="399" w:name="src-S95"/>
    <w:p>
      <w:pPr>
        <w:pStyle w:val="Heading2"/>
      </w:pPr>
      <w:r>
        <w:t xml:space="preserve">S95 – IPCC: AR6 Synthesis Report, Summary for Policymakers (2023)</w:t>
      </w:r>
    </w:p>
    <w:p>
      <w:pPr>
        <w:pStyle w:val="CardField"/>
      </w:pPr>
      <w:r>
        <w:rPr>
          <w:b/>
          <w:bCs/>
        </w:rPr>
        <w:t xml:space="preserve">Who &amp; When:</w:t>
      </w:r>
      <w:r>
        <w:t xml:space="preserve"> </w:t>
      </w:r>
      <w:r>
        <w:t xml:space="preserve">Intergovernmental Panel on Climate Change (IPCC, the UN body that assesses climate science); 2023.</w:t>
      </w:r>
    </w:p>
    <w:p>
      <w:pPr>
        <w:pStyle w:val="CardField"/>
      </w:pPr>
      <w:r>
        <w:rPr>
          <w:b/>
          <w:bCs/>
        </w:rPr>
        <w:t xml:space="preserve">Key Takeaways:</w:t>
      </w:r>
      <w:r>
        <w:t xml:space="preserve"> </w:t>
      </w:r>
      <w:r>
        <w:t xml:space="preserve">"Every increment of global warming will intensify multiple and concurrent hazards" (high confidence). Risks and losses rise with every additional increment of warming (very high confidence).</w:t>
      </w:r>
    </w:p>
    <w:p>
      <w:pPr>
        <w:pStyle w:val="CardField"/>
      </w:pPr>
      <w:r>
        <w:rPr>
          <w:b/>
          <w:bCs/>
        </w:rPr>
        <w:t xml:space="preserve">Verification:</w:t>
      </w:r>
      <w:r>
        <w:t xml:space="preserve"> </w:t>
      </w:r>
      <w:r>
        <w:t xml:space="preserve">✔ via several reproductions. ⚠ Check the exact wording in the official SPM PDF.</w:t>
      </w:r>
    </w:p>
    <w:p>
      <w:pPr>
        <w:pStyle w:val="CardField"/>
      </w:pPr>
      <w:r>
        <w:rPr>
          <w:b/>
          <w:bCs/>
        </w:rPr>
        <w:t xml:space="preserve">Links:</w:t>
      </w:r>
    </w:p>
    <w:p>
      <w:pPr>
        <w:pStyle w:val="CardList"/>
        <w:numPr>
          <w:ilvl w:val="0"/>
          <w:numId w:val="1195"/>
        </w:numPr>
      </w:pPr>
      <w:hyperlink r:id="rId397" w:history="1">
        <w:r>
          <w:rPr>
            <w:rStyle w:val="Hyperlink"/>
          </w:rPr>
          <w:t xml:space="preserve">https://knowledge4policy.ec.europa.eu/publication/ar6-synthesis-report-climate-change-2023_en</w:t>
        </w:r>
      </w:hyperlink>
    </w:p>
    <w:p>
      <w:pPr>
        <w:pStyle w:val="CardList"/>
        <w:numPr>
          <w:ilvl w:val="0"/>
          <w:numId w:val="1195"/>
        </w:numPr>
      </w:pPr>
      <w:hyperlink r:id="rId398" w:history="1">
        <w:r>
          <w:rPr>
            <w:rStyle w:val="Hyperlink"/>
          </w:rPr>
          <w:t xml:space="preserve">https://ieaghg.org/insights/ipcc-synthesis-report-of-the-6th-assessment-cycle-2023-07/</w:t>
        </w:r>
      </w:hyperlink>
    </w:p>
    <w:p>
      <w:pPr>
        <w:pStyle w:val="CardField"/>
      </w:pPr>
      <w:r>
        <w:rPr>
          <w:b/>
          <w:bCs/>
        </w:rPr>
        <w:t xml:space="preserve">Used:</w:t>
      </w:r>
      <w:r>
        <w:t xml:space="preserve"> </w:t>
      </w:r>
      <w:hyperlink w:anchor="p3" w:history="1">
        <w:r>
          <w:rPr>
            <w:rStyle w:val="NavLinkChar"/>
          </w:rPr>
          <w:t xml:space="preserve">P3</w:t>
        </w:r>
      </w:hyperlink>
    </w:p>
    <w:bookmarkEnd w:id="399"/>
    <w:bookmarkStart w:id="402" w:name="src-S96"/>
    <w:p>
      <w:pPr>
        <w:pStyle w:val="Heading2"/>
      </w:pPr>
      <w:r>
        <w:t xml:space="preserve">S96 – BloombergNEF: "Corporate Clean Energy Buying Fell in 2025 After Nearly a Decade of Growth" (1H 2026 Corporate Energy Market Outlook)</w:t>
      </w:r>
    </w:p>
    <w:p>
      <w:pPr>
        <w:pStyle w:val="CardField"/>
      </w:pPr>
      <w:r>
        <w:rPr>
          <w:b/>
          <w:bCs/>
        </w:rPr>
        <w:t xml:space="preserve">Who &amp; When:</w:t>
      </w:r>
      <w:r>
        <w:t xml:space="preserve"> </w:t>
      </w:r>
      <w:r>
        <w:t xml:space="preserve">BloombergNEF (the energy research service of Bloomberg); 2026; reported by Utility Dive and ESG Today.</w:t>
      </w:r>
    </w:p>
    <w:p>
      <w:pPr>
        <w:pStyle w:val="CardField"/>
      </w:pPr>
      <w:r>
        <w:rPr>
          <w:b/>
          <w:bCs/>
        </w:rPr>
        <w:t xml:space="preserve">Key Takeaways:</w:t>
      </w:r>
    </w:p>
    <w:p>
      <w:pPr>
        <w:pStyle w:val="CardList"/>
        <w:numPr>
          <w:ilvl w:val="0"/>
          <w:numId w:val="1196"/>
        </w:numPr>
      </w:pPr>
      <w:r>
        <w:t xml:space="preserve">In 2025, Meta contracted 10.24 GW and Amazon 10.22 GW of clean power, the two largest corporate buyers.</w:t>
      </w:r>
    </w:p>
    <w:p>
      <w:pPr>
        <w:pStyle w:val="CardList"/>
        <w:numPr>
          <w:ilvl w:val="0"/>
          <w:numId w:val="1196"/>
        </w:numPr>
      </w:pPr>
      <w:r>
        <w:t xml:space="preserve">Meta, Amazon, Google and Microsoft together accounted for 49% of global corporate clean PPAs.</w:t>
      </w:r>
    </w:p>
    <w:p>
      <w:pPr>
        <w:pStyle w:val="CardList"/>
        <w:numPr>
          <w:ilvl w:val="0"/>
          <w:numId w:val="1196"/>
        </w:numPr>
      </w:pPr>
      <w:r>
        <w:t xml:space="preserve">The global total fell 10% to 55.9 GW, the first decline after eight years of growth.</w:t>
      </w:r>
    </w:p>
    <w:p>
      <w:pPr>
        <w:pStyle w:val="CardList"/>
        <w:numPr>
          <w:ilvl w:val="0"/>
          <w:numId w:val="1196"/>
        </w:numPr>
      </w:pPr>
      <w:r>
        <w:t xml:space="preserve">23% of Meta's and Amazon's contracts were for nuclear power.</w:t>
      </w:r>
    </w:p>
    <w:p>
      <w:pPr>
        <w:pStyle w:val="CardField"/>
      </w:pPr>
      <w:r>
        <w:rPr>
          <w:b/>
          <w:bCs/>
        </w:rPr>
        <w:t xml:space="preserve">Potential Counterpoints/Vulnerabilities:</w:t>
      </w:r>
      <w:r>
        <w:t xml:space="preserve"> </w:t>
      </w:r>
      <w:r>
        <w:t xml:space="preserve">Contracts are not the electricity actually used [</w:t>
      </w:r>
      <w:hyperlink w:anchor="src-S15" w:history="1">
        <w:r>
          <w:rPr>
            <w:rStyle w:val="SourceLink"/>
          </w:rPr>
          <w:t xml:space="preserve">S15</w:t>
        </w:r>
      </w:hyperlink>
      <w:r>
        <w:t xml:space="preserve">]; Amazon's often-quoted 40 GW is a cumulative total, not the 2025 figure.</w:t>
      </w:r>
    </w:p>
    <w:p>
      <w:pPr>
        <w:pStyle w:val="CardField"/>
      </w:pPr>
      <w:r>
        <w:rPr>
          <w:b/>
          <w:bCs/>
        </w:rPr>
        <w:t xml:space="preserve">Links:</w:t>
      </w:r>
    </w:p>
    <w:p>
      <w:pPr>
        <w:pStyle w:val="CardList"/>
        <w:numPr>
          <w:ilvl w:val="0"/>
          <w:numId w:val="1197"/>
        </w:numPr>
      </w:pPr>
      <w:hyperlink r:id="rId400" w:history="1">
        <w:r>
          <w:rPr>
            <w:rStyle w:val="Hyperlink"/>
          </w:rPr>
          <w:t xml:space="preserve">https://about.bnef.com/insights/clean-energy/corporate-clean-energy-buying-fell-in-2025-after-nearly-a-decade-of-growth/</w:t>
        </w:r>
      </w:hyperlink>
    </w:p>
    <w:p>
      <w:pPr>
        <w:pStyle w:val="CardList"/>
        <w:numPr>
          <w:ilvl w:val="0"/>
          <w:numId w:val="1197"/>
        </w:numPr>
      </w:pPr>
      <w:hyperlink r:id="rId401" w:history="1">
        <w:r>
          <w:rPr>
            <w:rStyle w:val="Hyperlink"/>
          </w:rPr>
          <w:t xml:space="preserve">https://www.utilitydive.com/news/corporate-clean-energy-procurement-ppa-meta-amazon-google/812591/</w:t>
        </w:r>
      </w:hyperlink>
    </w:p>
    <w:p>
      <w:pPr>
        <w:pStyle w:val="CardField"/>
      </w:pPr>
      <w:r>
        <w:rPr>
          <w:b/>
          <w:bCs/>
        </w:rPr>
        <w:t xml:space="preserve">Used:</w:t>
      </w:r>
      <w:r>
        <w:t xml:space="preserve"> </w:t>
      </w:r>
      <w:hyperlink w:anchor="p3" w:history="1">
        <w:r>
          <w:rPr>
            <w:rStyle w:val="NavLinkChar"/>
          </w:rPr>
          <w:t xml:space="preserve">P3</w:t>
        </w:r>
      </w:hyperlink>
    </w:p>
    <w:bookmarkEnd w:id="402"/>
    <w:bookmarkStart w:id="404" w:name="src-S97"/>
    <w:p>
      <w:pPr>
        <w:pStyle w:val="Heading2"/>
      </w:pPr>
      <w:r>
        <w:t xml:space="preserve">S97 – IEA: "Energy and AI", chapter "AI and climate change" (April 2025)</w:t>
      </w:r>
    </w:p>
    <w:p>
      <w:pPr>
        <w:pStyle w:val="CardField"/>
      </w:pPr>
      <w:r>
        <w:rPr>
          <w:b/>
          <w:bCs/>
        </w:rPr>
        <w:t xml:space="preserve">Who &amp; When:</w:t>
      </w:r>
      <w:r>
        <w:t xml:space="preserve"> </w:t>
      </w:r>
      <w:r>
        <w:t xml:space="preserve">International Energy Agency (the intergovernmental energy organization in Paris); April 2025.</w:t>
      </w:r>
    </w:p>
    <w:p>
      <w:pPr>
        <w:pStyle w:val="CardField"/>
      </w:pPr>
      <w:r>
        <w:rPr>
          <w:b/>
          <w:bCs/>
        </w:rPr>
        <w:t xml:space="preserve">Key Takeaways:</w:t>
      </w:r>
    </w:p>
    <w:p>
      <w:pPr>
        <w:pStyle w:val="CardList"/>
        <w:numPr>
          <w:ilvl w:val="0"/>
          <w:numId w:val="1198"/>
        </w:numPr>
      </w:pPr>
      <w:r>
        <w:t xml:space="preserve">If existing AI applications were widely adopted, emissions could fall by about 1,400 million tonnes in 2035 (about 5% of energy-related emissions; "Widespread Adoption Case"; breakthroughs not included).</w:t>
      </w:r>
    </w:p>
    <w:p>
      <w:pPr>
        <w:pStyle w:val="CardList"/>
        <w:numPr>
          <w:ilvl w:val="0"/>
          <w:numId w:val="1198"/>
        </w:numPr>
      </w:pPr>
      <w:r>
        <w:t xml:space="preserve">Examples: AI control of heating, ventilation and air conditioning saves about 10% of energy in buildings; better routes and driving bring 5–10% efficiency gains in transport.</w:t>
      </w:r>
    </w:p>
    <w:p>
      <w:pPr>
        <w:pStyle w:val="CardList"/>
        <w:numPr>
          <w:ilvl w:val="0"/>
          <w:numId w:val="1198"/>
        </w:numPr>
      </w:pPr>
      <w:r>
        <w:t xml:space="preserve">Rebound effects are possible, and there is currently no momentum to ensure widespread adoption.</w:t>
      </w:r>
    </w:p>
    <w:p>
      <w:pPr>
        <w:pStyle w:val="CardList"/>
        <w:numPr>
          <w:ilvl w:val="0"/>
          <w:numId w:val="1198"/>
        </w:numPr>
      </w:pPr>
      <w:r>
        <w:t xml:space="preserve">Data center emissions: about 180 million t today (0.5% of combustion emissions), rising to about 1% in 2035.</w:t>
      </w:r>
    </w:p>
    <w:p>
      <w:pPr>
        <w:pStyle w:val="CardField"/>
      </w:pPr>
      <w:r>
        <w:rPr>
          <w:b/>
          <w:bCs/>
        </w:rPr>
        <w:t xml:space="preserve">Use:</w:t>
      </w:r>
      <w:r>
        <w:t xml:space="preserve"> </w:t>
      </w:r>
      <w:r>
        <w:t xml:space="preserve">Explains R2 (Contra), supports F2 (Pro), and gives the honest context for the 1% figure.</w:t>
      </w:r>
    </w:p>
    <w:p>
      <w:pPr>
        <w:pStyle w:val="CardField"/>
      </w:pPr>
      <w:r>
        <w:rPr>
          <w:b/>
          <w:bCs/>
        </w:rPr>
        <w:t xml:space="preserve">Link:</w:t>
      </w:r>
      <w:r>
        <w:t xml:space="preserve"> </w:t>
      </w:r>
      <w:hyperlink r:id="rId403" w:history="1">
        <w:r>
          <w:rPr>
            <w:rStyle w:val="Hyperlink"/>
          </w:rPr>
          <w:t xml:space="preserve">https://www.iea.org/reports/energy-and-ai/ai-and-climate-change</w:t>
        </w:r>
      </w:hyperlink>
    </w:p>
    <w:p>
      <w:pPr>
        <w:pStyle w:val="CardField"/>
      </w:pPr>
      <w:r>
        <w:rPr>
          <w:b/>
          <w:bCs/>
        </w:rPr>
        <w:t xml:space="preserve">Used:</w:t>
      </w:r>
      <w:r>
        <w:t xml:space="preserve"> </w:t>
      </w:r>
      <w:hyperlink w:anchor="p3" w:history="1">
        <w:r>
          <w:rPr>
            <w:rStyle w:val="NavLinkChar"/>
          </w:rPr>
          <w:t xml:space="preserve">P3</w:t>
        </w:r>
      </w:hyperlink>
    </w:p>
    <w:bookmarkEnd w:id="404"/>
    <w:bookmarkStart w:id="408" w:name="src-S98"/>
    <w:p>
      <w:pPr>
        <w:pStyle w:val="Heading2"/>
      </w:pPr>
      <w:r>
        <w:t xml:space="preserve">S98 – City of Memphis: air quality tests (June 2025) and criticism</w:t>
      </w:r>
    </w:p>
    <w:p>
      <w:pPr>
        <w:pStyle w:val="CardField"/>
      </w:pPr>
      <w:r>
        <w:rPr>
          <w:b/>
          <w:bCs/>
        </w:rPr>
        <w:t xml:space="preserve">Who &amp; When:</w:t>
      </w:r>
      <w:r>
        <w:t xml:space="preserve"> </w:t>
      </w:r>
      <w:r>
        <w:t xml:space="preserve">City of Memphis (city government), tests on June 13 and 16, 2025; Local Memphis, TechCrunch (June 25, 2025); Action News 5 (May 22, 2026).</w:t>
      </w:r>
    </w:p>
    <w:p>
      <w:pPr>
        <w:pStyle w:val="CardField"/>
      </w:pPr>
      <w:r>
        <w:rPr>
          <w:b/>
          <w:bCs/>
        </w:rPr>
        <w:t xml:space="preserve">Key Takeaways:</w:t>
      </w:r>
    </w:p>
    <w:p>
      <w:pPr>
        <w:pStyle w:val="CardList"/>
        <w:numPr>
          <w:ilvl w:val="0"/>
          <w:numId w:val="1199"/>
        </w:numPr>
      </w:pPr>
      <w:r>
        <w:t xml:space="preserve">An independent, accredited laboratory tested the air at three sites: Macedonia Church in Boxtown, The Links at Whitehaven, and City Hall.</w:t>
      </w:r>
    </w:p>
    <w:p>
      <w:pPr>
        <w:pStyle w:val="CardList"/>
        <w:numPr>
          <w:ilvl w:val="0"/>
          <w:numId w:val="1199"/>
        </w:numPr>
      </w:pPr>
      <w:r>
        <w:t xml:space="preserve">Every pollutant tested was either undetectable or well below safety limits.</w:t>
      </w:r>
    </w:p>
    <w:p>
      <w:pPr>
        <w:pStyle w:val="CardList"/>
        <w:numPr>
          <w:ilvl w:val="0"/>
          <w:numId w:val="1199"/>
        </w:numPr>
      </w:pPr>
      <w:r>
        <w:t xml:space="preserve">Criticism from SELC (Southern Environmental Law Center, an environmental law organization): ozone was not measured; the closest site was two miles from xAI; the sensors were placed close to buildings.</w:t>
      </w:r>
    </w:p>
    <w:p>
      <w:pPr>
        <w:pStyle w:val="CardList"/>
        <w:numPr>
          <w:ilvl w:val="0"/>
          <w:numId w:val="1199"/>
        </w:numPr>
      </w:pPr>
      <w:r>
        <w:t xml:space="preserve">May 2026: Memphis Community Against Pollution (a local residents' group) found ozone peaks with its own sensors.</w:t>
      </w:r>
    </w:p>
    <w:p>
      <w:pPr>
        <w:pStyle w:val="CardField"/>
      </w:pPr>
      <w:r>
        <w:rPr>
          <w:b/>
          <w:bCs/>
        </w:rPr>
        <w:t xml:space="preserve">Links:</w:t>
      </w:r>
    </w:p>
    <w:p>
      <w:pPr>
        <w:pStyle w:val="CardList"/>
        <w:numPr>
          <w:ilvl w:val="0"/>
          <w:numId w:val="1200"/>
        </w:numPr>
      </w:pPr>
      <w:hyperlink r:id="rId405" w:history="1">
        <w:r>
          <w:rPr>
            <w:rStyle w:val="Hyperlink"/>
          </w:rPr>
          <w:t xml:space="preserve">https://www.localmemphis.com/article/news/local/city-of-memphis-announces-initial-air-quality-testing/522-2f46c313-6717-4a85-b5fd-7831b3cba84a</w:t>
        </w:r>
      </w:hyperlink>
    </w:p>
    <w:p>
      <w:pPr>
        <w:pStyle w:val="CardList"/>
        <w:numPr>
          <w:ilvl w:val="0"/>
          <w:numId w:val="1200"/>
        </w:numPr>
      </w:pPr>
      <w:hyperlink r:id="rId406" w:history="1">
        <w:r>
          <w:rPr>
            <w:rStyle w:val="Hyperlink"/>
          </w:rPr>
          <w:t xml:space="preserve">https://techcrunch.com/2025/06/25/air-quality-tests-around-xais-memphis-data-center-raise-questions</w:t>
        </w:r>
      </w:hyperlink>
    </w:p>
    <w:p>
      <w:pPr>
        <w:pStyle w:val="CardList"/>
        <w:numPr>
          <w:ilvl w:val="0"/>
          <w:numId w:val="1200"/>
        </w:numPr>
      </w:pPr>
      <w:hyperlink r:id="rId407" w:history="1">
        <w:r>
          <w:rPr>
            <w:rStyle w:val="Hyperlink"/>
          </w:rPr>
          <w:t xml:space="preserve">https://www.actionnews5.com/2026/05/22/environmental-groups-present-data-air-quality-around-xai-southwest-memphis/</w:t>
        </w:r>
      </w:hyperlink>
    </w:p>
    <w:p>
      <w:pPr>
        <w:pStyle w:val="CardField"/>
      </w:pPr>
      <w:r>
        <w:rPr>
          <w:b/>
          <w:bCs/>
        </w:rPr>
        <w:t xml:space="preserve">Used:</w:t>
      </w:r>
      <w:r>
        <w:t xml:space="preserve"> </w:t>
      </w:r>
      <w:hyperlink w:anchor="p3" w:history="1">
        <w:r>
          <w:rPr>
            <w:rStyle w:val="NavLinkChar"/>
          </w:rPr>
          <w:t xml:space="preserve">P3</w:t>
        </w:r>
      </w:hyperlink>
    </w:p>
    <w:bookmarkEnd w:id="408"/>
    <w:bookmarkStart w:id="411" w:name="src-S99"/>
    <w:p>
      <w:pPr>
        <w:pStyle w:val="Heading2"/>
      </w:pPr>
      <w:r>
        <w:t xml:space="preserve">S99 – EIA: "Nuclear explained"</w:t>
      </w:r>
    </w:p>
    <w:p>
      <w:pPr>
        <w:pStyle w:val="CardField"/>
      </w:pPr>
      <w:r>
        <w:rPr>
          <w:b/>
          <w:bCs/>
        </w:rPr>
        <w:t xml:space="preserve">Who &amp; When:</w:t>
      </w:r>
      <w:r>
        <w:t xml:space="preserve"> </w:t>
      </w:r>
      <w:r>
        <w:t xml:space="preserve">US Energy Information Administration (EIA, the statistics agency of the Department of Energy).</w:t>
      </w:r>
    </w:p>
    <w:p>
      <w:pPr>
        <w:pStyle w:val="CardField"/>
      </w:pPr>
      <w:r>
        <w:rPr>
          <w:b/>
          <w:bCs/>
        </w:rPr>
        <w:t xml:space="preserve">Key Takeaways:</w:t>
      </w:r>
      <w:r>
        <w:t xml:space="preserve"> </w:t>
      </w:r>
      <w:r>
        <w:t xml:space="preserve">Nuclear power comes from uranium, "a nonrenewable energy source". Uranium is not a fossil fuel, but it is classified as nonrenewable.</w:t>
      </w:r>
    </w:p>
    <w:p>
      <w:pPr>
        <w:pStyle w:val="CardField"/>
      </w:pPr>
      <w:r>
        <w:rPr>
          <w:b/>
          <w:bCs/>
        </w:rPr>
        <w:t xml:space="preserve">Links:</w:t>
      </w:r>
    </w:p>
    <w:p>
      <w:pPr>
        <w:pStyle w:val="CardList"/>
        <w:numPr>
          <w:ilvl w:val="0"/>
          <w:numId w:val="1201"/>
        </w:numPr>
      </w:pPr>
      <w:hyperlink r:id="rId409" w:history="1">
        <w:r>
          <w:rPr>
            <w:rStyle w:val="Hyperlink"/>
          </w:rPr>
          <w:t xml:space="preserve">https://www.eia.gov/energyexplained/nuclear/</w:t>
        </w:r>
      </w:hyperlink>
    </w:p>
    <w:p>
      <w:pPr>
        <w:pStyle w:val="CardList"/>
        <w:numPr>
          <w:ilvl w:val="0"/>
          <w:numId w:val="1201"/>
        </w:numPr>
      </w:pPr>
      <w:hyperlink r:id="rId410" w:history="1">
        <w:r>
          <w:rPr>
            <w:rStyle w:val="Hyperlink"/>
          </w:rPr>
          <w:t xml:space="preserve">https://www.eia.gov/kids/energy-sources/nonrenewable.php</w:t>
        </w:r>
      </w:hyperlink>
    </w:p>
    <w:p>
      <w:pPr>
        <w:pStyle w:val="CardField"/>
      </w:pPr>
      <w:r>
        <w:rPr>
          <w:b/>
          <w:bCs/>
        </w:rPr>
        <w:t xml:space="preserve">Used:</w:t>
      </w:r>
      <w:r>
        <w:t xml:space="preserve"> </w:t>
      </w:r>
      <w:hyperlink w:anchor="p3" w:history="1">
        <w:r>
          <w:rPr>
            <w:rStyle w:val="NavLinkChar"/>
          </w:rPr>
          <w:t xml:space="preserve">P3</w:t>
        </w:r>
      </w:hyperlink>
    </w:p>
    <w:bookmarkEnd w:id="411"/>
    <w:bookmarkStart w:id="414" w:name="src-S100"/>
    <w:p>
      <w:pPr>
        <w:pStyle w:val="Heading2"/>
      </w:pPr>
      <w:r>
        <w:t xml:space="preserve">S100 – GAO: commercial spent nuclear fuel</w:t>
      </w:r>
    </w:p>
    <w:p>
      <w:pPr>
        <w:pStyle w:val="CardField"/>
      </w:pPr>
      <w:r>
        <w:rPr>
          <w:b/>
          <w:bCs/>
        </w:rPr>
        <w:t xml:space="preserve">Who &amp; When:</w:t>
      </w:r>
      <w:r>
        <w:t xml:space="preserve"> </w:t>
      </w:r>
      <w:r>
        <w:t xml:space="preserve">US Government Accountability Office (GAO, the independent audit agency of Congress).</w:t>
      </w:r>
    </w:p>
    <w:p>
      <w:pPr>
        <w:pStyle w:val="CardField"/>
      </w:pPr>
      <w:r>
        <w:rPr>
          <w:b/>
          <w:bCs/>
        </w:rPr>
        <w:t xml:space="preserve">Key Takeaways:</w:t>
      </w:r>
      <w:r>
        <w:t xml:space="preserve"> </w:t>
      </w:r>
      <w:r>
        <w:t xml:space="preserve">The US has no permanent disposal site; about 86,000 metric tons of spent fuel from commercial reactors are stored at 75 sites in 33 states (in 2012 it was about 70,000 t in 33 states; about 2,000 t are added each year).</w:t>
      </w:r>
    </w:p>
    <w:p>
      <w:pPr>
        <w:pStyle w:val="CardField"/>
      </w:pPr>
      <w:r>
        <w:rPr>
          <w:b/>
          <w:bCs/>
        </w:rPr>
        <w:t xml:space="preserve">Verification:</w:t>
      </w:r>
      <w:r>
        <w:t xml:space="preserve"> </w:t>
      </w:r>
      <w:r>
        <w:t xml:space="preserve">⚠ The 86,000 t comes from a later GAO review (the year was not confirmed in the search excerpts) → check on gao.gov.</w:t>
      </w:r>
    </w:p>
    <w:p>
      <w:pPr>
        <w:pStyle w:val="CardField"/>
      </w:pPr>
      <w:r>
        <w:rPr>
          <w:b/>
          <w:bCs/>
        </w:rPr>
        <w:t xml:space="preserve">Links:</w:t>
      </w:r>
    </w:p>
    <w:p>
      <w:pPr>
        <w:pStyle w:val="CardList"/>
        <w:numPr>
          <w:ilvl w:val="0"/>
          <w:numId w:val="1202"/>
        </w:numPr>
      </w:pPr>
      <w:hyperlink r:id="rId412" w:history="1">
        <w:r>
          <w:rPr>
            <w:rStyle w:val="Hyperlink"/>
          </w:rPr>
          <w:t xml:space="preserve">https://gao.gov/assets/gao-12-797.pdf</w:t>
        </w:r>
      </w:hyperlink>
    </w:p>
    <w:p>
      <w:pPr>
        <w:pStyle w:val="CardList"/>
        <w:numPr>
          <w:ilvl w:val="0"/>
          <w:numId w:val="1202"/>
        </w:numPr>
      </w:pPr>
      <w:hyperlink r:id="rId413" w:history="1">
        <w:r>
          <w:rPr>
            <w:rStyle w:val="Hyperlink"/>
          </w:rPr>
          <w:t xml:space="preserve">https://www.hstoday.us/subject-matter-areas/climate-security/gao-calls-for-congressional-action-on-spent-nuclear-fuel/</w:t>
        </w:r>
      </w:hyperlink>
    </w:p>
    <w:p>
      <w:pPr>
        <w:pStyle w:val="CardField"/>
      </w:pPr>
      <w:r>
        <w:rPr>
          <w:b/>
          <w:bCs/>
        </w:rPr>
        <w:t xml:space="preserve">Used:</w:t>
      </w:r>
      <w:r>
        <w:t xml:space="preserve"> </w:t>
      </w:r>
      <w:hyperlink w:anchor="p3" w:history="1">
        <w:r>
          <w:rPr>
            <w:rStyle w:val="NavLinkChar"/>
          </w:rPr>
          <w:t xml:space="preserve">P3</w:t>
        </w:r>
      </w:hyperlink>
    </w:p>
    <w:bookmarkEnd w:id="414"/>
    <w:bookmarkStart w:id="416" w:name="src-S101"/>
    <w:p>
      <w:pPr>
        <w:pStyle w:val="Heading2"/>
      </w:pPr>
      <w:r>
        <w:t xml:space="preserve">S101 – Inside Climate News: "Two Years After Completion, Plant Vogtle Still Looms Over the Nuclear Debate" (May 10, 2026)</w:t>
      </w:r>
    </w:p>
    <w:p>
      <w:pPr>
        <w:pStyle w:val="CardField"/>
      </w:pPr>
      <w:r>
        <w:rPr>
          <w:b/>
          <w:bCs/>
        </w:rPr>
        <w:t xml:space="preserve">Key Takeaways:</w:t>
      </w:r>
      <w:r>
        <w:t xml:space="preserve"> </w:t>
      </w:r>
      <w:r>
        <w:t xml:space="preserve">Plant Vogtle units 3 and 4 (Georgia) were finished in 2024, seven years behind schedule; final cost $36.8 billion, the most expensive power project in US history; the original estimate was about $14 billion; much of the cost was passed on to ratepayers.</w:t>
      </w:r>
    </w:p>
    <w:p>
      <w:pPr>
        <w:pStyle w:val="CardField"/>
      </w:pPr>
      <w:r>
        <w:rPr>
          <w:b/>
          <w:bCs/>
        </w:rPr>
        <w:t xml:space="preserve">Link:</w:t>
      </w:r>
      <w:r>
        <w:t xml:space="preserve"> </w:t>
      </w:r>
      <w:hyperlink r:id="rId415" w:history="1">
        <w:r>
          <w:rPr>
            <w:rStyle w:val="Hyperlink"/>
          </w:rPr>
          <w:t xml:space="preserve">https://insideclimatenews.org/news/10052026/plant-vogtle-nuclear-debate-two-years-after-completion/</w:t>
        </w:r>
      </w:hyperlink>
    </w:p>
    <w:p>
      <w:pPr>
        <w:pStyle w:val="CardField"/>
      </w:pPr>
      <w:r>
        <w:rPr>
          <w:b/>
          <w:bCs/>
        </w:rPr>
        <w:t xml:space="preserve">Used:</w:t>
      </w:r>
      <w:r>
        <w:t xml:space="preserve"> </w:t>
      </w:r>
      <w:hyperlink w:anchor="p3" w:history="1">
        <w:r>
          <w:rPr>
            <w:rStyle w:val="NavLinkChar"/>
          </w:rPr>
          <w:t xml:space="preserve">P3</w:t>
        </w:r>
      </w:hyperlink>
    </w:p>
    <w:bookmarkEnd w:id="416"/>
    <w:bookmarkStart w:id="418" w:name="src-S102"/>
    <w:p>
      <w:pPr>
        <w:pStyle w:val="Heading2"/>
      </w:pPr>
      <w:r>
        <w:t xml:space="preserve">S102 – E&amp;E News: "NuScale cancels first-of-a-kind nuclear project as costs surge" (November 2023)</w:t>
      </w:r>
    </w:p>
    <w:p>
      <w:pPr>
        <w:pStyle w:val="CardField"/>
      </w:pPr>
      <w:r>
        <w:rPr>
          <w:b/>
          <w:bCs/>
        </w:rPr>
        <w:t xml:space="preserve">Key Takeaways:</w:t>
      </w:r>
      <w:r>
        <w:t xml:space="preserve"> </w:t>
      </w:r>
      <w:r>
        <w:t xml:space="preserve">The Carbon Free Power Project (six small modular reactors, 462 MW, at Idaho National Laboratory) by NuScale (a maker of small modular reactors) and UAMPS (an association of municipal utilities) was canceled; the expected power price had risen from $58 to $89 per MWh (+53%); the Department of Energy had contributed $232 million.</w:t>
      </w:r>
    </w:p>
    <w:p>
      <w:pPr>
        <w:pStyle w:val="CardField"/>
      </w:pPr>
      <w:r>
        <w:rPr>
          <w:b/>
          <w:bCs/>
        </w:rPr>
        <w:t xml:space="preserve">Link:</w:t>
      </w:r>
      <w:r>
        <w:t xml:space="preserve"> </w:t>
      </w:r>
      <w:hyperlink r:id="rId417" w:history="1">
        <w:r>
          <w:rPr>
            <w:rStyle w:val="Hyperlink"/>
          </w:rPr>
          <w:t xml:space="preserve">https://www.eenews.net/articles/nuscale-cancels-first-of-a-kind-nuclear-project-as-costs-surge/</w:t>
        </w:r>
      </w:hyperlink>
    </w:p>
    <w:p>
      <w:pPr>
        <w:pStyle w:val="CardField"/>
      </w:pPr>
      <w:r>
        <w:rPr>
          <w:b/>
          <w:bCs/>
        </w:rPr>
        <w:t xml:space="preserve">Used:</w:t>
      </w:r>
      <w:r>
        <w:t xml:space="preserve"> </w:t>
      </w:r>
      <w:hyperlink w:anchor="p3" w:history="1">
        <w:r>
          <w:rPr>
            <w:rStyle w:val="NavLinkChar"/>
          </w:rPr>
          <w:t xml:space="preserve">P3</w:t>
        </w:r>
      </w:hyperlink>
    </w:p>
    <w:bookmarkEnd w:id="418"/>
    <w:bookmarkStart w:id="421" w:name="src-S103"/>
    <w:p>
      <w:pPr>
        <w:pStyle w:val="Heading2"/>
      </w:pPr>
      <w:r>
        <w:t xml:space="preserve">S103 – Microsoft Sustainability Report 2026 (via Fortune/Bloomberg, July 9, 2026)</w:t>
      </w:r>
    </w:p>
    <w:p>
      <w:pPr>
        <w:pStyle w:val="CardField"/>
      </w:pPr>
      <w:r>
        <w:rPr>
          <w:b/>
          <w:bCs/>
        </w:rPr>
        <w:t xml:space="preserve">Key Takeaways:</w:t>
      </w:r>
    </w:p>
    <w:p>
      <w:pPr>
        <w:pStyle w:val="CardList"/>
        <w:numPr>
          <w:ilvl w:val="0"/>
          <w:numId w:val="1203"/>
        </w:numPr>
      </w:pPr>
      <w:r>
        <w:t xml:space="preserve">Microsoft's emissions rose 25% in 2025, to 20 million t CO2e (net, after carbon removal credits; gross about 34 million t).</w:t>
      </w:r>
    </w:p>
    <w:p>
      <w:pPr>
        <w:pStyle w:val="CardList"/>
        <w:numPr>
          <w:ilvl w:val="0"/>
          <w:numId w:val="1203"/>
        </w:numPr>
      </w:pPr>
      <w:r>
        <w:t xml:space="preserve">Reasons: new data center construction and a pause in buying certain renewable energy certificates.</w:t>
      </w:r>
    </w:p>
    <w:p>
      <w:pPr>
        <w:pStyle w:val="CardList"/>
        <w:numPr>
          <w:ilvl w:val="0"/>
          <w:numId w:val="1203"/>
        </w:numPr>
      </w:pPr>
      <w:r>
        <w:t xml:space="preserve">Brad Smith and Melanie Nakagawa (Microsoft's president and its chief sustainability officer): "sustainability solutions are not scaling fast enough to meet demand".</w:t>
      </w:r>
    </w:p>
    <w:p>
      <w:pPr>
        <w:pStyle w:val="CardField"/>
      </w:pPr>
      <w:r>
        <w:rPr>
          <w:b/>
          <w:bCs/>
        </w:rPr>
        <w:t xml:space="preserve">Links:</w:t>
      </w:r>
    </w:p>
    <w:p>
      <w:pPr>
        <w:pStyle w:val="CardList"/>
        <w:numPr>
          <w:ilvl w:val="0"/>
          <w:numId w:val="1204"/>
        </w:numPr>
      </w:pPr>
      <w:hyperlink r:id="rId419" w:history="1">
        <w:r>
          <w:rPr>
            <w:rStyle w:val="Hyperlink"/>
          </w:rPr>
          <w:t xml:space="preserve">https://fortune.com/2026/07/09/microsoft-carbon-emissions-2025-data-centers/</w:t>
        </w:r>
      </w:hyperlink>
    </w:p>
    <w:p>
      <w:pPr>
        <w:pStyle w:val="CardList"/>
        <w:numPr>
          <w:ilvl w:val="0"/>
          <w:numId w:val="1204"/>
        </w:numPr>
      </w:pPr>
      <w:hyperlink r:id="rId420" w:history="1">
        <w:r>
          <w:rPr>
            <w:rStyle w:val="Hyperlink"/>
          </w:rPr>
          <w:t xml:space="preserve">https://www.techradar.com/pro/microsoft-admits-its-carbon-emissions-grew-25-percent-in-2025-including-a-rise-in-fossil-fuel-use</w:t>
        </w:r>
      </w:hyperlink>
    </w:p>
    <w:p>
      <w:pPr>
        <w:pStyle w:val="CardField"/>
      </w:pPr>
      <w:r>
        <w:rPr>
          <w:b/>
          <w:bCs/>
        </w:rPr>
        <w:t xml:space="preserve">Used:</w:t>
      </w:r>
      <w:r>
        <w:t xml:space="preserve"> </w:t>
      </w:r>
      <w:hyperlink w:anchor="p3" w:history="1">
        <w:r>
          <w:rPr>
            <w:rStyle w:val="NavLinkChar"/>
          </w:rPr>
          <w:t xml:space="preserve">P3</w:t>
        </w:r>
      </w:hyperlink>
    </w:p>
    <w:bookmarkEnd w:id="421"/>
    <w:bookmarkStart w:id="423" w:name="src-S104"/>
    <w:p>
      <w:pPr>
        <w:pStyle w:val="Heading2"/>
      </w:pPr>
      <w:r>
        <w:t xml:space="preserve">S104 – Environmental and Energy Study Institute (EESI): "Data Centers and Water Consumption" (June 2025)</w:t>
      </w:r>
    </w:p>
    <w:p>
      <w:pPr>
        <w:pStyle w:val="CardField"/>
      </w:pPr>
      <w:r>
        <w:rPr>
          <w:b/>
          <w:bCs/>
        </w:rPr>
        <w:t xml:space="preserve">Who &amp; When:</w:t>
      </w:r>
      <w:r>
        <w:t xml:space="preserve"> </w:t>
      </w:r>
      <w:r>
        <w:t xml:space="preserve">EESI (a nonprofit policy institute in Washington, D.C.), June 2025.</w:t>
      </w:r>
    </w:p>
    <w:p>
      <w:pPr>
        <w:pStyle w:val="CardField"/>
      </w:pPr>
      <w:r>
        <w:rPr>
          <w:b/>
          <w:bCs/>
        </w:rPr>
        <w:t xml:space="preserve">Key Takeaways:</w:t>
      </w:r>
      <w:r>
        <w:t xml:space="preserve"> </w:t>
      </w:r>
      <w:r>
        <w:t xml:space="preserve">Large data centers can use up to 5 million gallons of water per day (about 1.8 billion a year) – roughly the water use of a town of 10,000 to 50,000 people.</w:t>
      </w:r>
    </w:p>
    <w:p>
      <w:pPr>
        <w:pStyle w:val="CardField"/>
      </w:pPr>
      <w:r>
        <w:rPr>
          <w:b/>
          <w:bCs/>
        </w:rPr>
        <w:t xml:space="preserve">Potential Counterpoints/Vulnerabilities:</w:t>
      </w:r>
      <w:r>
        <w:t xml:space="preserve"> </w:t>
      </w:r>
      <w:r>
        <w:t xml:space="preserve">This is an upper bound for the largest facilities, not the average. EESI's totals for all data centers include other water (e.g. for generating the electricity) → don't mix them with S15.</w:t>
      </w:r>
    </w:p>
    <w:p>
      <w:pPr>
        <w:pStyle w:val="CardField"/>
      </w:pPr>
      <w:r>
        <w:rPr>
          <w:b/>
          <w:bCs/>
        </w:rPr>
        <w:t xml:space="preserve">Link:</w:t>
      </w:r>
      <w:r>
        <w:t xml:space="preserve"> </w:t>
      </w:r>
      <w:hyperlink r:id="rId422" w:history="1">
        <w:r>
          <w:rPr>
            <w:rStyle w:val="Hyperlink"/>
          </w:rPr>
          <w:t xml:space="preserve">https://www.eesi.org/articles/view/data-centers-and-water-consumption</w:t>
        </w:r>
      </w:hyperlink>
    </w:p>
    <w:p>
      <w:pPr>
        <w:pStyle w:val="CardField"/>
      </w:pPr>
      <w:r>
        <w:rPr>
          <w:b/>
          <w:bCs/>
        </w:rPr>
        <w:t xml:space="preserve">Used:</w:t>
      </w:r>
      <w:r>
        <w:t xml:space="preserve"> </w:t>
      </w:r>
      <w:hyperlink w:anchor="p4" w:history="1">
        <w:r>
          <w:rPr>
            <w:rStyle w:val="NavLinkChar"/>
          </w:rPr>
          <w:t xml:space="preserve">P4</w:t>
        </w:r>
      </w:hyperlink>
    </w:p>
    <w:bookmarkEnd w:id="423"/>
    <w:bookmarkStart w:id="425" w:name="src-S105"/>
    <w:p>
      <w:pPr>
        <w:pStyle w:val="Heading2"/>
      </w:pPr>
      <w:r>
        <w:t xml:space="preserve">S105 – Fast Company: "What it's like living next to one of Meta's largest data centers" (2025)</w:t>
      </w:r>
    </w:p>
    <w:p>
      <w:pPr>
        <w:pStyle w:val="CardField"/>
      </w:pPr>
      <w:r>
        <w:rPr>
          <w:b/>
          <w:bCs/>
        </w:rPr>
        <w:t xml:space="preserve">Key Takeaways:</w:t>
      </w:r>
      <w:r>
        <w:t xml:space="preserve"> </w:t>
      </w:r>
      <w:r>
        <w:t xml:space="preserve">By 2023, the Morris family's pipes were clogged with sediment; the well is about 1,000 feet from the site. Beverly Morris: "neither Meta nor anyone else came on my property to do a groundwater study." Meta (to the NYT): an impact on local groundwater is "unlikely".</w:t>
      </w:r>
    </w:p>
    <w:p>
      <w:pPr>
        <w:pStyle w:val="CardField"/>
      </w:pPr>
      <w:r>
        <w:rPr>
          <w:b/>
          <w:bCs/>
        </w:rPr>
        <w:t xml:space="preserve">Verification:</w:t>
      </w:r>
      <w:r>
        <w:t xml:space="preserve"> </w:t>
      </w:r>
      <w:r>
        <w:t xml:space="preserve">✔ via search excerpts. ⚠ Check the exact publication date.</w:t>
      </w:r>
    </w:p>
    <w:p>
      <w:pPr>
        <w:pStyle w:val="CardField"/>
      </w:pPr>
      <w:r>
        <w:rPr>
          <w:b/>
          <w:bCs/>
        </w:rPr>
        <w:t xml:space="preserve">Link:</w:t>
      </w:r>
      <w:r>
        <w:t xml:space="preserve"> </w:t>
      </w:r>
      <w:hyperlink r:id="rId424" w:history="1">
        <w:r>
          <w:rPr>
            <w:rStyle w:val="Hyperlink"/>
          </w:rPr>
          <w:t xml:space="preserve">https://www.fastcompany.com/91396678/meta-georgia-data-center-stanton-springs</w:t>
        </w:r>
      </w:hyperlink>
    </w:p>
    <w:p>
      <w:pPr>
        <w:pStyle w:val="CardField"/>
      </w:pPr>
      <w:r>
        <w:rPr>
          <w:b/>
          <w:bCs/>
        </w:rPr>
        <w:t xml:space="preserve">Used:</w:t>
      </w:r>
      <w:r>
        <w:t xml:space="preserve"> </w:t>
      </w:r>
      <w:hyperlink w:anchor="p4" w:history="1">
        <w:r>
          <w:rPr>
            <w:rStyle w:val="NavLinkChar"/>
          </w:rPr>
          <w:t xml:space="preserve">P4</w:t>
        </w:r>
      </w:hyperlink>
    </w:p>
    <w:bookmarkEnd w:id="425"/>
    <w:bookmarkStart w:id="429" w:name="src-S106"/>
    <w:p>
      <w:pPr>
        <w:pStyle w:val="Heading2"/>
      </w:pPr>
      <w:r>
        <w:t xml:space="preserve">S106 – Google: 2026 Environmental Report (via Axios, June 3, 2026, and Data Center Dynamics)</w:t>
      </w:r>
    </w:p>
    <w:p>
      <w:pPr>
        <w:pStyle w:val="CardField"/>
      </w:pPr>
      <w:r>
        <w:rPr>
          <w:b/>
          <w:bCs/>
        </w:rPr>
        <w:t xml:space="preserve">Who &amp; When:</w:t>
      </w:r>
      <w:r>
        <w:t xml:space="preserve"> </w:t>
      </w:r>
      <w:r>
        <w:t xml:space="preserve">Google, environmental report 2026 (covering 2025); Axios (June 3, 2026); Data Center Dynamics.</w:t>
      </w:r>
    </w:p>
    <w:p>
      <w:pPr>
        <w:pStyle w:val="CardField"/>
      </w:pPr>
      <w:r>
        <w:rPr>
          <w:b/>
          <w:bCs/>
        </w:rPr>
        <w:t xml:space="preserve">Key Takeaways:</w:t>
      </w:r>
      <w:r>
        <w:t xml:space="preserve"> </w:t>
      </w:r>
      <w:r>
        <w:t xml:space="preserve">Google's water consumption grew 34% to 10.9 billion gallons in 2025. Google says it replenished about 7.7 billion gallons (about 78% of its freshwater consumption).</w:t>
      </w:r>
    </w:p>
    <w:p>
      <w:pPr>
        <w:pStyle w:val="CardField"/>
      </w:pPr>
      <w:r>
        <w:rPr>
          <w:b/>
          <w:bCs/>
        </w:rPr>
        <w:t xml:space="preserve">Potential Counterpoints/Vulnerabilities:</w:t>
      </w:r>
      <w:r>
        <w:t xml:space="preserve"> </w:t>
      </w:r>
      <w:r>
        <w:t xml:space="preserve">⚠ The reports mix total and freshwater consumption (for 2024, sources give 6 to 7.2 billion gallons) → in the debate, only quote "+34% to 10.9 billion gallons in 2025".</w:t>
      </w:r>
    </w:p>
    <w:p>
      <w:pPr>
        <w:pStyle w:val="CardField"/>
      </w:pPr>
      <w:r>
        <w:rPr>
          <w:b/>
          <w:bCs/>
        </w:rPr>
        <w:t xml:space="preserve">Links:</w:t>
      </w:r>
    </w:p>
    <w:p>
      <w:pPr>
        <w:pStyle w:val="CardList"/>
        <w:numPr>
          <w:ilvl w:val="0"/>
          <w:numId w:val="1205"/>
        </w:numPr>
      </w:pPr>
      <w:hyperlink r:id="rId426" w:history="1">
        <w:r>
          <w:rPr>
            <w:rStyle w:val="Hyperlink"/>
          </w:rPr>
          <w:t xml:space="preserve">https://sustainability.google/google-2026-environmental-report/</w:t>
        </w:r>
      </w:hyperlink>
    </w:p>
    <w:p>
      <w:pPr>
        <w:pStyle w:val="CardList"/>
        <w:numPr>
          <w:ilvl w:val="0"/>
          <w:numId w:val="1205"/>
        </w:numPr>
      </w:pPr>
      <w:hyperlink r:id="rId427" w:history="1">
        <w:r>
          <w:rPr>
            <w:rStyle w:val="Hyperlink"/>
          </w:rPr>
          <w:t xml:space="preserve">https://www.axios.com/2026/06/03/google-pushes-water-standards-data-center-backlash</w:t>
        </w:r>
      </w:hyperlink>
    </w:p>
    <w:p>
      <w:pPr>
        <w:pStyle w:val="CardList"/>
        <w:numPr>
          <w:ilvl w:val="0"/>
          <w:numId w:val="1205"/>
        </w:numPr>
      </w:pPr>
      <w:hyperlink r:id="rId428" w:history="1">
        <w:r>
          <w:rPr>
            <w:rStyle w:val="Hyperlink"/>
          </w:rPr>
          <w:t xml:space="preserve">https://www.datacenterdynamics.com/en/news/googles-electricity-use-grew-37-percent-in-2025-largest-annual-rise-to-date/</w:t>
        </w:r>
      </w:hyperlink>
    </w:p>
    <w:p>
      <w:pPr>
        <w:pStyle w:val="CardField"/>
      </w:pPr>
      <w:r>
        <w:rPr>
          <w:b/>
          <w:bCs/>
        </w:rPr>
        <w:t xml:space="preserve">Used:</w:t>
      </w:r>
      <w:r>
        <w:t xml:space="preserve"> </w:t>
      </w:r>
      <w:hyperlink w:anchor="p4" w:history="1">
        <w:r>
          <w:rPr>
            <w:rStyle w:val="NavLinkChar"/>
          </w:rPr>
          <w:t xml:space="preserve">P4</w:t>
        </w:r>
      </w:hyperlink>
    </w:p>
    <w:bookmarkEnd w:id="429"/>
    <w:bookmarkStart w:id="434" w:name="src-S107"/>
    <w:p>
      <w:pPr>
        <w:pStyle w:val="Heading2"/>
      </w:pPr>
      <w:r>
        <w:t xml:space="preserve">S107 – Monitoring Analytics: data centers and the 2028/29 capacity auction (July 2026)</w:t>
      </w:r>
    </w:p>
    <w:p>
      <w:pPr>
        <w:pStyle w:val="CardField"/>
      </w:pPr>
      <w:r>
        <w:rPr>
          <w:b/>
          <w:bCs/>
        </w:rPr>
        <w:t xml:space="preserve">Who &amp; When:</w:t>
      </w:r>
      <w:r>
        <w:t xml:space="preserve"> </w:t>
      </w:r>
      <w:r>
        <w:t xml:space="preserve">Monitoring Analytics, LLC (the official Independent Market Monitor for PJM; President Joseph Bowring). Statements after the auction of July 14, 2026; presentation to PJM's Members Committee (July 27/28, 2026). Coverage: Utility Dive (July 2026), Conduit Street of the Maryland Association of Counties (July 21, 2026), mgrid (July 23, 2026).</w:t>
      </w:r>
    </w:p>
    <w:p>
      <w:pPr>
        <w:pStyle w:val="CardField"/>
      </w:pPr>
      <w:r>
        <w:rPr>
          <w:b/>
          <w:bCs/>
        </w:rPr>
        <w:t xml:space="preserve">Origin:</w:t>
      </w:r>
      <w:r>
        <w:t xml:space="preserve"> </w:t>
      </w:r>
      <w:r>
        <w:t xml:space="preserve">Statements and presentation by the market monitor, plus trade press.</w:t>
      </w:r>
    </w:p>
    <w:p>
      <w:pPr>
        <w:pStyle w:val="CardField"/>
      </w:pPr>
      <w:r>
        <w:rPr>
          <w:b/>
          <w:bCs/>
        </w:rPr>
        <w:t xml:space="preserve">Context &amp; Classification:</w:t>
      </w:r>
      <w:r>
        <w:t xml:space="preserve"> </w:t>
      </w:r>
      <w:r>
        <w:t xml:space="preserve">Same author and method as S16 and S42 (each auction calculated with and without data centers). Updates S42 by one auction.</w:t>
      </w:r>
    </w:p>
    <w:p>
      <w:pPr>
        <w:pStyle w:val="CardField"/>
      </w:pPr>
      <w:r>
        <w:rPr>
          <w:b/>
          <w:bCs/>
        </w:rPr>
        <w:t xml:space="preserve">Key Takeaways:</w:t>
      </w:r>
    </w:p>
    <w:p>
      <w:pPr>
        <w:pStyle w:val="CardList"/>
        <w:numPr>
          <w:ilvl w:val="0"/>
          <w:numId w:val="1206"/>
        </w:numPr>
      </w:pPr>
      <w:r>
        <w:t xml:space="preserve">2028/29 auction (delivery year June 2028 – May 2029): data centers are responsible for $6.3 billion (38%) of $16.4 billion in capacity charges.</w:t>
      </w:r>
    </w:p>
    <w:p>
      <w:pPr>
        <w:pStyle w:val="CardList"/>
        <w:numPr>
          <w:ilvl w:val="0"/>
          <w:numId w:val="1206"/>
        </w:numPr>
      </w:pPr>
      <w:r>
        <w:t xml:space="preserve">Last four auctions: $29.4 billion of $63.6 billion (46%).</w:t>
      </w:r>
    </w:p>
    <w:p>
      <w:pPr>
        <w:pStyle w:val="CardList"/>
        <w:numPr>
          <w:ilvl w:val="0"/>
          <w:numId w:val="1206"/>
        </w:numPr>
      </w:pPr>
      <w:r>
        <w:t xml:space="preserve">The auction cleared at the $325 cap and was still 6,831 MW short of the reliability requirement [</w:t>
      </w:r>
      <w:hyperlink w:anchor="src-S14" w:history="1">
        <w:r>
          <w:rPr>
            <w:rStyle w:val="SourceLink"/>
          </w:rPr>
          <w:t xml:space="preserve">S14</w:t>
        </w:r>
      </w:hyperlink>
      <w:r>
        <w:t xml:space="preserve">].</w:t>
      </w:r>
    </w:p>
    <w:p>
      <w:pPr>
        <w:pStyle w:val="CardList"/>
        <w:numPr>
          <w:ilvl w:val="0"/>
          <w:numId w:val="1206"/>
        </w:numPr>
      </w:pPr>
      <w:r>
        <w:t xml:space="preserve">The monitor proposes that new large data centers bring their own generation or be served through a separate auction. PJM has not adopted this.</w:t>
      </w:r>
    </w:p>
    <w:p>
      <w:pPr>
        <w:pStyle w:val="CardField"/>
      </w:pPr>
      <w:r>
        <w:rPr>
          <w:b/>
          <w:bCs/>
        </w:rPr>
        <w:t xml:space="preserve">Potential Counterpoints/Vulnerabilities:</w:t>
      </w:r>
    </w:p>
    <w:p>
      <w:pPr>
        <w:pStyle w:val="CardList"/>
        <w:numPr>
          <w:ilvl w:val="0"/>
          <w:numId w:val="1207"/>
        </w:numPr>
      </w:pPr>
      <w:r>
        <w:t xml:space="preserve">"$16.4 billion is not the cost to customers." → Correct (some load is hedged), so we say "capacity charges", not exact bill amounts.</w:t>
      </w:r>
    </w:p>
    <w:p>
      <w:pPr>
        <w:pStyle w:val="CardList"/>
        <w:numPr>
          <w:ilvl w:val="0"/>
          <w:numId w:val="1207"/>
        </w:numPr>
      </w:pPr>
      <w:r>
        <w:t xml:space="preserve">"The analysis isn't published." → ⚠ Check whether the monitor has published it since. Otherwise use $23.1 billion over three auctions [</w:t>
      </w:r>
      <w:hyperlink w:anchor="src-S42" w:history="1">
        <w:r>
          <w:rPr>
            <w:rStyle w:val="SourceLink"/>
          </w:rPr>
          <w:t xml:space="preserve">S42</w:t>
        </w:r>
      </w:hyperlink>
      <w:r>
        <w:t xml:space="preserve">].</w:t>
      </w:r>
    </w:p>
    <w:p>
      <w:pPr>
        <w:pStyle w:val="CardField"/>
      </w:pPr>
      <w:r>
        <w:rPr>
          <w:b/>
          <w:bCs/>
        </w:rPr>
        <w:t xml:space="preserve">Verification:</w:t>
      </w:r>
      <w:r>
        <w:t xml:space="preserve"> </w:t>
      </w:r>
      <w:r>
        <w:t xml:space="preserve">✔ The figures ($6.3B, $29.4B, $63.6B) match across several outlets. ⚠ I have not seen the detailed analysis.</w:t>
      </w:r>
    </w:p>
    <w:p>
      <w:pPr>
        <w:pStyle w:val="CardField"/>
      </w:pPr>
      <w:r>
        <w:rPr>
          <w:b/>
          <w:bCs/>
        </w:rPr>
        <w:t xml:space="preserve">Links:</w:t>
      </w:r>
    </w:p>
    <w:p>
      <w:pPr>
        <w:pStyle w:val="CardList"/>
        <w:numPr>
          <w:ilvl w:val="0"/>
          <w:numId w:val="1208"/>
        </w:numPr>
      </w:pPr>
      <w:hyperlink r:id="rId430" w:history="1">
        <w:r>
          <w:rPr>
            <w:rStyle w:val="Hyperlink"/>
          </w:rPr>
          <w:t xml:space="preserve">https://www.utilitydive.com/news/pjm-data-centers-capacity-auction-imm-bowring/825626/</w:t>
        </w:r>
      </w:hyperlink>
    </w:p>
    <w:p>
      <w:pPr>
        <w:pStyle w:val="CardList"/>
        <w:numPr>
          <w:ilvl w:val="0"/>
          <w:numId w:val="1208"/>
        </w:numPr>
      </w:pPr>
      <w:hyperlink r:id="rId431" w:history="1">
        <w:r>
          <w:rPr>
            <w:rStyle w:val="Hyperlink"/>
          </w:rPr>
          <w:t xml:space="preserve">https://conduitstreet.mdcounties.org/2026/07/21/data-center-demand-drives-higher-pjm-capacity-costs/</w:t>
        </w:r>
      </w:hyperlink>
    </w:p>
    <w:p>
      <w:pPr>
        <w:pStyle w:val="CardList"/>
        <w:numPr>
          <w:ilvl w:val="0"/>
          <w:numId w:val="1208"/>
        </w:numPr>
      </w:pPr>
      <w:hyperlink r:id="rId432" w:history="1">
        <w:r>
          <w:rPr>
            <w:rStyle w:val="Hyperlink"/>
          </w:rPr>
          <w:t xml:space="preserve">https://mgrid.org/2026/07/23/data-centers-drove-6-3-billion-of-pjms-latest-capacity-auction-cost-market-monitor-says/</w:t>
        </w:r>
      </w:hyperlink>
    </w:p>
    <w:p>
      <w:pPr>
        <w:pStyle w:val="CardList"/>
        <w:numPr>
          <w:ilvl w:val="0"/>
          <w:numId w:val="1208"/>
        </w:numPr>
      </w:pPr>
      <w:hyperlink r:id="rId433" w:history="1">
        <w:r>
          <w:rPr>
            <w:rStyle w:val="Hyperlink"/>
          </w:rPr>
          <w:t xml:space="preserve">https://www.monitoringanalytics.com/reports/presentations/2026/IMM_MC_Market_Monitor_Report_20260728.pdf</w:t>
        </w:r>
      </w:hyperlink>
    </w:p>
    <w:p>
      <w:pPr>
        <w:pStyle w:val="CardField"/>
      </w:pPr>
      <w:r>
        <w:rPr>
          <w:b/>
          <w:bCs/>
        </w:rPr>
        <w:t xml:space="preserve">Used:</w:t>
      </w:r>
      <w:r>
        <w:t xml:space="preserve"> </w:t>
      </w:r>
      <w:hyperlink w:anchor="p5" w:history="1">
        <w:r>
          <w:rPr>
            <w:rStyle w:val="NavLinkChar"/>
          </w:rPr>
          <w:t xml:space="preserve">P5</w:t>
        </w:r>
      </w:hyperlink>
      <w:r>
        <w:t xml:space="preserve">,</w:t>
      </w:r>
      <w:r>
        <w:t xml:space="preserve"> </w:t>
      </w:r>
      <w:hyperlink w:anchor="p7" w:history="1">
        <w:r>
          <w:rPr>
            <w:rStyle w:val="NavLinkChar"/>
          </w:rPr>
          <w:t xml:space="preserve">P7</w:t>
        </w:r>
      </w:hyperlink>
    </w:p>
    <w:bookmarkEnd w:id="434"/>
    <w:bookmarkStart w:id="437" w:name="src-S108"/>
    <w:p>
      <w:pPr>
        <w:pStyle w:val="Heading2"/>
      </w:pPr>
      <w:r>
        <w:t xml:space="preserve">S108 – FERC denies the market monitor's large-load complaint (Docket EL26-30, March 23, 2026)</w:t>
      </w:r>
    </w:p>
    <w:p>
      <w:pPr>
        <w:pStyle w:val="CardField"/>
      </w:pPr>
      <w:r>
        <w:rPr>
          <w:b/>
          <w:bCs/>
        </w:rPr>
        <w:t xml:space="preserve">Who &amp; When:</w:t>
      </w:r>
      <w:r>
        <w:t xml:space="preserve"> </w:t>
      </w:r>
      <w:r>
        <w:t xml:space="preserve">FERC, order of March 23, 2026 (unanimous). Coverage: RTO Insider; summary by the New York State Reliability Council (NYSRC, April 2026).</w:t>
      </w:r>
    </w:p>
    <w:p>
      <w:pPr>
        <w:pStyle w:val="CardField"/>
      </w:pPr>
      <w:r>
        <w:rPr>
          <w:b/>
          <w:bCs/>
        </w:rPr>
        <w:t xml:space="preserve">Origin:</w:t>
      </w:r>
      <w:r>
        <w:t xml:space="preserve"> </w:t>
      </w:r>
      <w:r>
        <w:t xml:space="preserve">Regulatory order (primary source, via secondary coverage).</w:t>
      </w:r>
    </w:p>
    <w:p>
      <w:pPr>
        <w:pStyle w:val="CardField"/>
      </w:pPr>
      <w:r>
        <w:rPr>
          <w:b/>
          <w:bCs/>
        </w:rPr>
        <w:t xml:space="preserve">Context &amp; Classification:</w:t>
      </w:r>
      <w:r>
        <w:t xml:space="preserve"> </w:t>
      </w:r>
      <w:r>
        <w:t xml:space="preserve">The complaint was filed by Monitoring Analytics on November 25, 2025 [</w:t>
      </w:r>
      <w:hyperlink w:anchor="src-S46" w:history="1">
        <w:r>
          <w:rPr>
            <w:rStyle w:val="SourceLink"/>
          </w:rPr>
          <w:t xml:space="preserve">S46</w:t>
        </w:r>
      </w:hyperlink>
      <w:r>
        <w:t xml:space="preserve">].</w:t>
      </w:r>
    </w:p>
    <w:p>
      <w:pPr>
        <w:pStyle w:val="CardField"/>
      </w:pPr>
      <w:r>
        <w:rPr>
          <w:b/>
          <w:bCs/>
        </w:rPr>
        <w:t xml:space="preserve">Key Takeaways:</w:t>
      </w:r>
    </w:p>
    <w:p>
      <w:pPr>
        <w:pStyle w:val="CardList"/>
        <w:numPr>
          <w:ilvl w:val="0"/>
          <w:numId w:val="1209"/>
        </w:numPr>
      </w:pPr>
      <w:r>
        <w:t xml:space="preserve">The monitor asked FERC to rule that PJM may add large new data center loads only when they can be served reliably, and to require tariff language saying so.</w:t>
      </w:r>
    </w:p>
    <w:p>
      <w:pPr>
        <w:pStyle w:val="CardList"/>
        <w:numPr>
          <w:ilvl w:val="0"/>
          <w:numId w:val="1209"/>
        </w:numPr>
      </w:pPr>
      <w:r>
        <w:t xml:space="preserve">FERC denied it: under Section 206 of the Federal Power Act, the monitor had not proven that PJM's rules are unjust and unreasonable.</w:t>
      </w:r>
    </w:p>
    <w:p>
      <w:pPr>
        <w:pStyle w:val="CardList"/>
        <w:numPr>
          <w:ilvl w:val="0"/>
          <w:numId w:val="1209"/>
        </w:numPr>
      </w:pPr>
      <w:r>
        <w:t xml:space="preserve">FERC acknowledged "very important issues" from large load additions and pointed to PJM reforms that are still underway.</w:t>
      </w:r>
    </w:p>
    <w:p>
      <w:pPr>
        <w:pStyle w:val="CardField"/>
      </w:pPr>
      <w:r>
        <w:rPr>
          <w:b/>
          <w:bCs/>
        </w:rPr>
        <w:t xml:space="preserve">Potential Counterpoints/Vulnerabilities:</w:t>
      </w:r>
      <w:r>
        <w:t xml:space="preserve"> </w:t>
      </w:r>
      <w:r>
        <w:t xml:space="preserve">"Denied on procedure, not on substance." → Correct, and that is our point: under today's rules, nobody has clear authority to make data centers wait, and the reforms are still "underway".</w:t>
      </w:r>
    </w:p>
    <w:p>
      <w:pPr>
        <w:pStyle w:val="CardField"/>
      </w:pPr>
      <w:r>
        <w:rPr>
          <w:b/>
          <w:bCs/>
        </w:rPr>
        <w:t xml:space="preserve">Verification:</w:t>
      </w:r>
      <w:r>
        <w:t xml:space="preserve"> </w:t>
      </w:r>
      <w:r>
        <w:t xml:space="preserve">✔ via RTO Insider and NYSRC excerpts. ⚠ The order itself was not opened.</w:t>
      </w:r>
    </w:p>
    <w:p>
      <w:pPr>
        <w:pStyle w:val="CardField"/>
      </w:pPr>
      <w:r>
        <w:rPr>
          <w:b/>
          <w:bCs/>
        </w:rPr>
        <w:t xml:space="preserve">Links:</w:t>
      </w:r>
    </w:p>
    <w:p>
      <w:pPr>
        <w:pStyle w:val="CardList"/>
        <w:numPr>
          <w:ilvl w:val="0"/>
          <w:numId w:val="1210"/>
        </w:numPr>
      </w:pPr>
      <w:hyperlink r:id="rId435" w:history="1">
        <w:r>
          <w:rPr>
            <w:rStyle w:val="Hyperlink"/>
          </w:rPr>
          <w:t xml:space="preserve">https://www.rtoinsider.com/128871-ferc-denies-imm-complaint-establish-pjm-authority-reject-large-loads/</w:t>
        </w:r>
      </w:hyperlink>
    </w:p>
    <w:p>
      <w:pPr>
        <w:pStyle w:val="CardList"/>
        <w:numPr>
          <w:ilvl w:val="0"/>
          <w:numId w:val="1210"/>
        </w:numPr>
      </w:pPr>
      <w:hyperlink r:id="rId436" w:history="1">
        <w:r>
          <w:rPr>
            <w:rStyle w:val="Hyperlink"/>
          </w:rPr>
          <w:t xml:space="preserve">https://www.nysrc.org/wp-content/uploads/2026/04/NYSRC-LLWG-4-Att.-9-FERC-Denies-PJM-LL-Complaint.pdf</w:t>
        </w:r>
      </w:hyperlink>
    </w:p>
    <w:p>
      <w:pPr>
        <w:pStyle w:val="CardField"/>
      </w:pPr>
      <w:r>
        <w:rPr>
          <w:b/>
          <w:bCs/>
        </w:rPr>
        <w:t xml:space="preserve">Used:</w:t>
      </w:r>
      <w:r>
        <w:t xml:space="preserve"> </w:t>
      </w:r>
      <w:hyperlink w:anchor="p5" w:history="1">
        <w:r>
          <w:rPr>
            <w:rStyle w:val="NavLinkChar"/>
          </w:rPr>
          <w:t xml:space="preserve">P5</w:t>
        </w:r>
      </w:hyperlink>
    </w:p>
    <w:bookmarkEnd w:id="437"/>
    <w:bookmarkStart w:id="442" w:name="src-S109"/>
    <w:p>
      <w:pPr>
        <w:pStyle w:val="Heading2"/>
      </w:pPr>
      <w:r>
        <w:t xml:space="preserve">S109 – Maryland Office of People's Counsel: FERC complaint on data-center-driven transmission costs (May 7, 2026)</w:t>
      </w:r>
    </w:p>
    <w:p>
      <w:pPr>
        <w:pStyle w:val="CardField"/>
      </w:pPr>
      <w:r>
        <w:rPr>
          <w:b/>
          <w:bCs/>
        </w:rPr>
        <w:t xml:space="preserve">Who &amp; When:</w:t>
      </w:r>
      <w:r>
        <w:t xml:space="preserve"> </w:t>
      </w:r>
      <w:r>
        <w:t xml:space="preserve">Maryland Office of People's Counsel (OPC, the state agency that represents residential utility customers). Complaint filed May 7, 2026. Backed by 80 Maryland state lawmakers (June 17, 2026) and the state's congressional delegation (letter of July 27, 2026). Coverage: Utility Dive, American Public Power Association, Inside Climate News (June 30, 2026).</w:t>
      </w:r>
    </w:p>
    <w:p>
      <w:pPr>
        <w:pStyle w:val="CardField"/>
      </w:pPr>
      <w:r>
        <w:rPr>
          <w:b/>
          <w:bCs/>
        </w:rPr>
        <w:t xml:space="preserve">Origin:</w:t>
      </w:r>
      <w:r>
        <w:t xml:space="preserve"> </w:t>
      </w:r>
      <w:r>
        <w:t xml:space="preserve">Regulatory complaint with an expert affidavit.</w:t>
      </w:r>
    </w:p>
    <w:p>
      <w:pPr>
        <w:pStyle w:val="CardField"/>
      </w:pPr>
      <w:r>
        <w:rPr>
          <w:b/>
          <w:bCs/>
        </w:rPr>
        <w:t xml:space="preserve">Context &amp; Classification:</w:t>
      </w:r>
      <w:r>
        <w:t xml:space="preserve"> </w:t>
      </w:r>
      <w:r>
        <w:t xml:space="preserve">A party to the dispute, so the numbers are its own estimates. No FERC ruling found (as of October 2026).</w:t>
      </w:r>
    </w:p>
    <w:p>
      <w:pPr>
        <w:pStyle w:val="CardField"/>
      </w:pPr>
      <w:r>
        <w:rPr>
          <w:b/>
          <w:bCs/>
        </w:rPr>
        <w:t xml:space="preserve">Key Takeaways:</w:t>
      </w:r>
    </w:p>
    <w:p>
      <w:pPr>
        <w:pStyle w:val="CardList"/>
        <w:numPr>
          <w:ilvl w:val="0"/>
          <w:numId w:val="1211"/>
        </w:numPr>
      </w:pPr>
      <w:r>
        <w:t xml:space="preserve">PJM's "hybrid" method spreads half the costs of high-voltage projects (500 kV and more) across all zones by their share of demand.</w:t>
      </w:r>
    </w:p>
    <w:p>
      <w:pPr>
        <w:pStyle w:val="CardList"/>
        <w:numPr>
          <w:ilvl w:val="0"/>
          <w:numId w:val="1211"/>
        </w:numPr>
      </w:pPr>
      <w:r>
        <w:t xml:space="preserve">According to the affidavit, Maryland customers will pay about $1.6 billion in added transmission costs over ten years (about $823 million residential, $146 million commercial, $629 million industrial).</w:t>
      </w:r>
    </w:p>
    <w:p>
      <w:pPr>
        <w:pStyle w:val="CardList"/>
        <w:numPr>
          <w:ilvl w:val="0"/>
          <w:numId w:val="1211"/>
        </w:numPr>
      </w:pPr>
      <w:r>
        <w:t xml:space="preserve">Maryland's own demand grows only modestly; the growth comes from data centers in Virginia, Ohio, Pennsylvania and Illinois.</w:t>
      </w:r>
    </w:p>
    <w:p>
      <w:pPr>
        <w:pStyle w:val="CardList"/>
        <w:numPr>
          <w:ilvl w:val="0"/>
          <w:numId w:val="1211"/>
        </w:numPr>
      </w:pPr>
      <w:r>
        <w:t xml:space="preserve">The congressional delegation says PJM approved $22 billion in transmission projects mainly for data centers in its last three planning rounds (lawmakers' figure).</w:t>
      </w:r>
    </w:p>
    <w:p>
      <w:pPr>
        <w:pStyle w:val="CardField"/>
      </w:pPr>
      <w:r>
        <w:rPr>
          <w:b/>
          <w:bCs/>
        </w:rPr>
        <w:t xml:space="preserve">Potential Counterpoints/Vulnerabilities:</w:t>
      </w:r>
      <w:r>
        <w:t xml:space="preserve"> </w:t>
      </w:r>
      <w:r>
        <w:t xml:space="preserve">"Transmission lines benefit everyone." → That is PJM's reason for spreading the costs. But FERC itself said in June 2026 that other customers may be paying for data centers' transmission costs [</w:t>
      </w:r>
      <w:hyperlink w:anchor="src-S28" w:history="1">
        <w:r>
          <w:rPr>
            <w:rStyle w:val="SourceLink"/>
          </w:rPr>
          <w:t xml:space="preserve">S28</w:t>
        </w:r>
      </w:hyperlink>
      <w:r>
        <w:t xml:space="preserve">].</w:t>
      </w:r>
    </w:p>
    <w:p>
      <w:pPr>
        <w:pStyle w:val="CardField"/>
      </w:pPr>
      <w:r>
        <w:rPr>
          <w:b/>
          <w:bCs/>
        </w:rPr>
        <w:t xml:space="preserve">Verification:</w:t>
      </w:r>
      <w:r>
        <w:t xml:space="preserve"> </w:t>
      </w:r>
      <w:r>
        <w:t xml:space="preserve">✔ via several excerpts. ⚠ OPC's own press release speaks of $2 billion; use the affidavit figure of $1.6 billion over ten years.</w:t>
      </w:r>
    </w:p>
    <w:p>
      <w:pPr>
        <w:pStyle w:val="CardField"/>
      </w:pPr>
      <w:r>
        <w:rPr>
          <w:b/>
          <w:bCs/>
        </w:rPr>
        <w:t xml:space="preserve">Links:</w:t>
      </w:r>
    </w:p>
    <w:p>
      <w:pPr>
        <w:pStyle w:val="CardList"/>
        <w:numPr>
          <w:ilvl w:val="0"/>
          <w:numId w:val="1212"/>
        </w:numPr>
      </w:pPr>
      <w:hyperlink r:id="rId438" w:history="1">
        <w:r>
          <w:rPr>
            <w:rStyle w:val="Hyperlink"/>
          </w:rPr>
          <w:t xml:space="preserve">https://www.utilitydive.com/news/maryland-ratepayer-advocate-ferc-data-center-complaint-transmission/823244/</w:t>
        </w:r>
      </w:hyperlink>
    </w:p>
    <w:p>
      <w:pPr>
        <w:pStyle w:val="CardList"/>
        <w:numPr>
          <w:ilvl w:val="0"/>
          <w:numId w:val="1212"/>
        </w:numPr>
      </w:pPr>
      <w:hyperlink r:id="rId439" w:history="1">
        <w:r>
          <w:rPr>
            <w:rStyle w:val="Hyperlink"/>
          </w:rPr>
          <w:t xml:space="preserve">https://www.publicpower.org/periodical/article/complaint-filed-ferc-challenges-pjm-rules-tied-data-center-driven-transmission-costs</w:t>
        </w:r>
      </w:hyperlink>
    </w:p>
    <w:p>
      <w:pPr>
        <w:pStyle w:val="CardList"/>
        <w:numPr>
          <w:ilvl w:val="0"/>
          <w:numId w:val="1212"/>
        </w:numPr>
      </w:pPr>
      <w:hyperlink r:id="rId440" w:history="1">
        <w:r>
          <w:rPr>
            <w:rStyle w:val="Hyperlink"/>
          </w:rPr>
          <w:t xml:space="preserve">https://content.govdelivery.com/accounts/MDOPC/bulletins/415c9b6</w:t>
        </w:r>
      </w:hyperlink>
    </w:p>
    <w:p>
      <w:pPr>
        <w:pStyle w:val="CardList"/>
        <w:numPr>
          <w:ilvl w:val="0"/>
          <w:numId w:val="1212"/>
        </w:numPr>
      </w:pPr>
      <w:hyperlink r:id="rId441" w:history="1">
        <w:r>
          <w:rPr>
            <w:rStyle w:val="Hyperlink"/>
          </w:rPr>
          <w:t xml:space="preserve">https://insideclimatenews.org/news/30062026/ferc-order-data-center-grid-costs/</w:t>
        </w:r>
      </w:hyperlink>
    </w:p>
    <w:p>
      <w:pPr>
        <w:pStyle w:val="CardField"/>
      </w:pPr>
      <w:r>
        <w:rPr>
          <w:b/>
          <w:bCs/>
        </w:rPr>
        <w:t xml:space="preserve">Used:</w:t>
      </w:r>
      <w:r>
        <w:t xml:space="preserve"> </w:t>
      </w:r>
      <w:hyperlink w:anchor="p5" w:history="1">
        <w:r>
          <w:rPr>
            <w:rStyle w:val="NavLinkChar"/>
          </w:rPr>
          <w:t xml:space="preserve">P5</w:t>
        </w:r>
      </w:hyperlink>
    </w:p>
    <w:bookmarkEnd w:id="442"/>
    <w:bookmarkStart w:id="446" w:name="src-S110"/>
    <w:p>
      <w:pPr>
        <w:pStyle w:val="Heading2"/>
      </w:pPr>
      <w:r>
        <w:t xml:space="preserve">S110 – FERC's large-load proceeding: status in October 2026</w:t>
      </w:r>
    </w:p>
    <w:p>
      <w:pPr>
        <w:pStyle w:val="CardField"/>
      </w:pPr>
      <w:r>
        <w:rPr>
          <w:b/>
          <w:bCs/>
        </w:rPr>
        <w:t xml:space="preserve">Who &amp; When:</w:t>
      </w:r>
      <w:r>
        <w:t xml:space="preserve"> </w:t>
      </w:r>
      <w:r>
        <w:t xml:space="preserve">FERC order of August 14, 2026 granting a pause (abeyance) in docket EL26-67 (PJM); PJM documents (August 18, 2026). Utility Dive (July 2026) on a filing of July 17, 2026 by the Pennsylvania Office of Consumer Advocate, joined by the consumer advocates of Delaware, Illinois, Maryland and Ohio.</w:t>
      </w:r>
    </w:p>
    <w:p>
      <w:pPr>
        <w:pStyle w:val="CardField"/>
      </w:pPr>
      <w:r>
        <w:rPr>
          <w:b/>
          <w:bCs/>
        </w:rPr>
        <w:t xml:space="preserve">Key Takeaways:</w:t>
      </w:r>
    </w:p>
    <w:p>
      <w:pPr>
        <w:pStyle w:val="CardList"/>
        <w:numPr>
          <w:ilvl w:val="0"/>
          <w:numId w:val="1213"/>
        </w:numPr>
      </w:pPr>
      <w:r>
        <w:t xml:space="preserve">On July 28, 2026, PJM and its transmission owners asked FERC to pause the show-cause proceeding for 90 days; FERC agreed on August 14, 2026.</w:t>
      </w:r>
    </w:p>
    <w:p>
      <w:pPr>
        <w:pStyle w:val="CardList"/>
        <w:numPr>
          <w:ilvl w:val="0"/>
          <w:numId w:val="1213"/>
        </w:numPr>
      </w:pPr>
      <w:r>
        <w:t xml:space="preserve">Responses are now due November 16, 2026, and answers December 16, 2026.</w:t>
      </w:r>
    </w:p>
    <w:p>
      <w:pPr>
        <w:pStyle w:val="CardList"/>
        <w:numPr>
          <w:ilvl w:val="0"/>
          <w:numId w:val="1213"/>
        </w:numPr>
      </w:pPr>
      <w:r>
        <w:t xml:space="preserve">PJM plans its own proposal (a "Section 205 filing") by early to mid-November. PJM's Members Committee holds an advisory vote on October 28, 2026.</w:t>
      </w:r>
    </w:p>
    <w:p>
      <w:pPr>
        <w:pStyle w:val="CardList"/>
        <w:numPr>
          <w:ilvl w:val="0"/>
          <w:numId w:val="1213"/>
        </w:numPr>
      </w:pPr>
      <w:r>
        <w:t xml:space="preserve">July 17, 2026: consumer advocates from five states told FERC that its orders do not address who pays for grid upgrades caused by data centers, leaving existing customers on the hook.</w:t>
      </w:r>
    </w:p>
    <w:p>
      <w:pPr>
        <w:pStyle w:val="CardField"/>
      </w:pPr>
      <w:r>
        <w:rPr>
          <w:b/>
          <w:bCs/>
        </w:rPr>
        <w:t xml:space="preserve">Potential Counterpoints/Vulnerabilities:</w:t>
      </w:r>
      <w:r>
        <w:t xml:space="preserve"> </w:t>
      </w:r>
      <w:r>
        <w:t xml:space="preserve">"So the rules arrive in November." → A proposal is not a final rule. FERC still has to decide, and the consumer advocates say the core cost question is not even addressed.</w:t>
      </w:r>
    </w:p>
    <w:p>
      <w:pPr>
        <w:pStyle w:val="CardField"/>
      </w:pPr>
      <w:r>
        <w:rPr>
          <w:b/>
          <w:bCs/>
        </w:rPr>
        <w:t xml:space="preserve">Verification:</w:t>
      </w:r>
      <w:r>
        <w:t xml:space="preserve"> </w:t>
      </w:r>
      <w:r>
        <w:t xml:space="preserve">✔ via excerpts from PJM documents and Utility Dive. ⚠ Check the docket again shortly before the tournament.</w:t>
      </w:r>
    </w:p>
    <w:p>
      <w:pPr>
        <w:pStyle w:val="CardField"/>
      </w:pPr>
      <w:r>
        <w:rPr>
          <w:b/>
          <w:bCs/>
        </w:rPr>
        <w:t xml:space="preserve">Links:</w:t>
      </w:r>
    </w:p>
    <w:p>
      <w:pPr>
        <w:pStyle w:val="CardList"/>
        <w:numPr>
          <w:ilvl w:val="0"/>
          <w:numId w:val="1214"/>
        </w:numPr>
      </w:pPr>
      <w:hyperlink r:id="rId443" w:history="1">
        <w:r>
          <w:rPr>
            <w:rStyle w:val="Hyperlink"/>
          </w:rPr>
          <w:t xml:space="preserve">https://www.pjm.com/-/media/DotCom/committees-groups/workshops/cllsco/2026/20260818/20260818-granted-abeyance---docket-el26-67-000.pdf</w:t>
        </w:r>
      </w:hyperlink>
    </w:p>
    <w:p>
      <w:pPr>
        <w:pStyle w:val="CardList"/>
        <w:numPr>
          <w:ilvl w:val="0"/>
          <w:numId w:val="1214"/>
        </w:numPr>
      </w:pPr>
      <w:hyperlink r:id="rId444" w:history="1">
        <w:r>
          <w:rPr>
            <w:rStyle w:val="Hyperlink"/>
          </w:rPr>
          <w:t xml:space="preserve">https://www.pjm.com/-/media/DotCom/documents/ferc/orders/2026/20260814-el26-67-000.pdf</w:t>
        </w:r>
      </w:hyperlink>
    </w:p>
    <w:p>
      <w:pPr>
        <w:pStyle w:val="CardList"/>
        <w:numPr>
          <w:ilvl w:val="0"/>
          <w:numId w:val="1214"/>
        </w:numPr>
      </w:pPr>
      <w:hyperlink r:id="rId445" w:history="1">
        <w:r>
          <w:rPr>
            <w:rStyle w:val="Hyperlink"/>
          </w:rPr>
          <w:t xml:space="preserve">https://www.utilitydive.com/news/ferc-data-center-pjm-transmission-costs/825760/</w:t>
        </w:r>
      </w:hyperlink>
    </w:p>
    <w:p>
      <w:pPr>
        <w:pStyle w:val="CardField"/>
      </w:pPr>
      <w:r>
        <w:rPr>
          <w:b/>
          <w:bCs/>
        </w:rPr>
        <w:t xml:space="preserve">Used:</w:t>
      </w:r>
      <w:r>
        <w:t xml:space="preserve"> </w:t>
      </w:r>
      <w:hyperlink w:anchor="p5" w:history="1">
        <w:r>
          <w:rPr>
            <w:rStyle w:val="NavLinkChar"/>
          </w:rPr>
          <w:t xml:space="preserve">P5</w:t>
        </w:r>
      </w:hyperlink>
    </w:p>
    <w:bookmarkEnd w:id="446"/>
    <w:bookmarkStart w:id="450" w:name="src-S111"/>
    <w:p>
      <w:pPr>
        <w:pStyle w:val="Heading2"/>
      </w:pPr>
      <w:r>
        <w:t xml:space="preserve">S111 – China: new power capacity in 2025</w:t>
      </w:r>
    </w:p>
    <w:p>
      <w:pPr>
        <w:pStyle w:val="CardField"/>
      </w:pPr>
      <w:r>
        <w:rPr>
          <w:b/>
          <w:bCs/>
        </w:rPr>
        <w:t xml:space="preserve">Who &amp; When:</w:t>
      </w:r>
      <w:r>
        <w:t xml:space="preserve"> </w:t>
      </w:r>
      <w:r>
        <w:t xml:space="preserve">China's National Energy Administration (NEA, the state energy authority), annual statistics for 2025 (January 2026). Coverage: OilPrice.com, Mercom, pv magazine (January 28, 2026).</w:t>
      </w:r>
    </w:p>
    <w:p>
      <w:pPr>
        <w:pStyle w:val="CardField"/>
      </w:pPr>
      <w:r>
        <w:rPr>
          <w:b/>
          <w:bCs/>
        </w:rPr>
        <w:t xml:space="preserve">Key Takeaways:</w:t>
      </w:r>
    </w:p>
    <w:p>
      <w:pPr>
        <w:pStyle w:val="CardList"/>
        <w:numPr>
          <w:ilvl w:val="0"/>
          <w:numId w:val="1215"/>
        </w:numPr>
      </w:pPr>
      <w:r>
        <w:t xml:space="preserve">China added about 543 GW of new generation capacity in 2025 (+16.1% year on year), including about 311–315 GW of solar, 119 GW of wind, and 93 GW of coal and gas.</w:t>
      </w:r>
    </w:p>
    <w:p>
      <w:pPr>
        <w:pStyle w:val="CardList"/>
        <w:numPr>
          <w:ilvl w:val="0"/>
          <w:numId w:val="1215"/>
        </w:numPr>
      </w:pPr>
      <w:r>
        <w:t xml:space="preserve">Total installed capacity reached 3,890 GW at the end of 2025.</w:t>
      </w:r>
    </w:p>
    <w:p>
      <w:pPr>
        <w:pStyle w:val="CardList"/>
        <w:numPr>
          <w:ilvl w:val="0"/>
          <w:numId w:val="1215"/>
        </w:numPr>
      </w:pPr>
      <w:r>
        <w:t xml:space="preserve">For comparison, the US added 53 GW in 2025 [</w:t>
      </w:r>
      <w:hyperlink w:anchor="src-S87" w:history="1">
        <w:r>
          <w:rPr>
            <w:rStyle w:val="SourceLink"/>
          </w:rPr>
          <w:t xml:space="preserve">S87</w:t>
        </w:r>
      </w:hyperlink>
      <w:r>
        <w:t xml:space="preserve">], so China added about ten times as much.</w:t>
      </w:r>
    </w:p>
    <w:p>
      <w:pPr>
        <w:pStyle w:val="CardField"/>
      </w:pPr>
      <w:r>
        <w:rPr>
          <w:b/>
          <w:bCs/>
        </w:rPr>
        <w:t xml:space="preserve">Potential Counterpoints/Vulnerabilities:</w:t>
      </w:r>
      <w:r>
        <w:t xml:space="preserve"> </w:t>
      </w:r>
      <w:r>
        <w:t xml:space="preserve">Capacity is not electricity produced: solar and wind run fewer hours than coal or nuclear, so compare additions, not output. The figures are official Chinese statistics.</w:t>
      </w:r>
    </w:p>
    <w:p>
      <w:pPr>
        <w:pStyle w:val="CardField"/>
      </w:pPr>
      <w:r>
        <w:rPr>
          <w:b/>
          <w:bCs/>
        </w:rPr>
        <w:t xml:space="preserve">Verification:</w:t>
      </w:r>
      <w:r>
        <w:t xml:space="preserve"> </w:t>
      </w:r>
      <w:r>
        <w:t xml:space="preserve">✔ via several excerpts (543 GW, 3,890 GW). ⚠ The solar figure differs slightly by source (311 vs. 315 GW).</w:t>
      </w:r>
    </w:p>
    <w:p>
      <w:pPr>
        <w:pStyle w:val="CardField"/>
      </w:pPr>
      <w:r>
        <w:rPr>
          <w:b/>
          <w:bCs/>
        </w:rPr>
        <w:t xml:space="preserve">Links:</w:t>
      </w:r>
    </w:p>
    <w:p>
      <w:pPr>
        <w:pStyle w:val="CardList"/>
        <w:numPr>
          <w:ilvl w:val="0"/>
          <w:numId w:val="1216"/>
        </w:numPr>
      </w:pPr>
      <w:hyperlink r:id="rId447" w:history="1">
        <w:r>
          <w:rPr>
            <w:rStyle w:val="Hyperlink"/>
          </w:rPr>
          <w:t xml:space="preserve">https://oilprice.com/Latest-Energy-News/World-News/China-Added-543-Gigawatts-in-New-Power-Capacity-in-2025.html</w:t>
        </w:r>
      </w:hyperlink>
    </w:p>
    <w:p>
      <w:pPr>
        <w:pStyle w:val="CardList"/>
        <w:numPr>
          <w:ilvl w:val="0"/>
          <w:numId w:val="1216"/>
        </w:numPr>
      </w:pPr>
      <w:hyperlink r:id="rId448" w:history="1">
        <w:r>
          <w:rPr>
            <w:rStyle w:val="Hyperlink"/>
          </w:rPr>
          <w:t xml:space="preserve">https://www.mercomindia.com/strong-solar-buildout-pushes-chinas-power-capacity-to-3890-gw</w:t>
        </w:r>
      </w:hyperlink>
    </w:p>
    <w:p>
      <w:pPr>
        <w:pStyle w:val="CardList"/>
        <w:numPr>
          <w:ilvl w:val="0"/>
          <w:numId w:val="1216"/>
        </w:numPr>
      </w:pPr>
      <w:hyperlink r:id="rId449" w:history="1">
        <w:r>
          <w:rPr>
            <w:rStyle w:val="Hyperlink"/>
          </w:rPr>
          <w:t xml:space="preserve">https://www.pv-magazine.com/2026/01/28/china-adds-315-gw-of-solar-in-2025/</w:t>
        </w:r>
      </w:hyperlink>
    </w:p>
    <w:p>
      <w:pPr>
        <w:pStyle w:val="CardField"/>
      </w:pPr>
      <w:r>
        <w:rPr>
          <w:b/>
          <w:bCs/>
        </w:rPr>
        <w:t xml:space="preserve">Used:</w:t>
      </w:r>
      <w:r>
        <w:t xml:space="preserve"> </w:t>
      </w:r>
      <w:hyperlink w:anchor="p5" w:history="1">
        <w:r>
          <w:rPr>
            <w:rStyle w:val="NavLinkChar"/>
          </w:rPr>
          <w:t xml:space="preserve">P5</w:t>
        </w:r>
      </w:hyperlink>
    </w:p>
    <w:bookmarkEnd w:id="450"/>
    <w:bookmarkStart w:id="453" w:name="src-S112"/>
    <w:p>
      <w:pPr>
        <w:pStyle w:val="Heading2"/>
      </w:pPr>
      <w:r>
        <w:t xml:space="preserve">S112 – The White House: "Winning the Race: America's AI Action Plan" (July 23, 2025)</w:t>
      </w:r>
    </w:p>
    <w:p>
      <w:pPr>
        <w:pStyle w:val="CardField"/>
      </w:pPr>
      <w:r>
        <w:rPr>
          <w:b/>
          <w:bCs/>
        </w:rPr>
        <w:t xml:space="preserve">Who &amp; When:</w:t>
      </w:r>
      <w:r>
        <w:t xml:space="preserve"> </w:t>
      </w:r>
      <w:r>
        <w:t xml:space="preserve">The White House, July 23, 2025; preamble by President Donald J. Trump.</w:t>
      </w:r>
    </w:p>
    <w:p>
      <w:pPr>
        <w:pStyle w:val="CardField"/>
      </w:pPr>
      <w:r>
        <w:rPr>
          <w:b/>
          <w:bCs/>
        </w:rPr>
        <w:t xml:space="preserve">Origin:</w:t>
      </w:r>
      <w:r>
        <w:t xml:space="preserve"> </w:t>
      </w:r>
      <w:r>
        <w:t xml:space="preserve">Primary source (government strategy).</w:t>
      </w:r>
    </w:p>
    <w:p>
      <w:pPr>
        <w:pStyle w:val="CardField"/>
      </w:pPr>
      <w:r>
        <w:rPr>
          <w:b/>
          <w:bCs/>
        </w:rPr>
        <w:t xml:space="preserve">Key Takeaways:</w:t>
      </w:r>
      <w:r>
        <w:t xml:space="preserve"> </w:t>
      </w:r>
      <w:r>
        <w:t xml:space="preserve">The plan says the US "is in a race to achieve global dominance in AI" and wants to win it like the space race. Its three pillars: accelerate AI innovation, build American AI infrastructure (data centers, power), and lead in international AI diplomacy and security.</w:t>
      </w:r>
    </w:p>
    <w:p>
      <w:pPr>
        <w:pStyle w:val="CardField"/>
      </w:pPr>
      <w:r>
        <w:rPr>
          <w:b/>
          <w:bCs/>
        </w:rPr>
        <w:t xml:space="preserve">Original Quote:</w:t>
      </w:r>
      <w:r>
        <w:t xml:space="preserve"> </w:t>
      </w:r>
      <w:r>
        <w:t xml:space="preserve">"As our global competitors race to exploit these technologies, it is a national security imperative for the United States to achieve and maintain unquestioned and unchallenged global technological dominance."</w:t>
      </w:r>
    </w:p>
    <w:p>
      <w:pPr>
        <w:pStyle w:val="CardField"/>
      </w:pPr>
      <w:r>
        <w:rPr>
          <w:b/>
          <w:bCs/>
        </w:rPr>
        <w:t xml:space="preserve">Potential Counterpoints/Vulnerabilities:</w:t>
      </w:r>
      <w:r>
        <w:t xml:space="preserve"> </w:t>
      </w:r>
      <w:r>
        <w:t xml:space="preserve">It is a political strategy document, not a neutral analysis, so present it as "the government's own view". Pro can say: "dominance" is a goal; it says nothing about what a short, conditional pause would do.</w:t>
      </w:r>
    </w:p>
    <w:p>
      <w:pPr>
        <w:pStyle w:val="CardField"/>
      </w:pPr>
      <w:r>
        <w:rPr>
          <w:b/>
          <w:bCs/>
        </w:rPr>
        <w:t xml:space="preserve">Verification:</w:t>
      </w:r>
      <w:r>
        <w:t xml:space="preserve"> </w:t>
      </w:r>
      <w:r>
        <w:t xml:space="preserve">✔ via several excerpts (Goodwin, Mondaq, Computer Weekly). ⚠ Some copies leave out "and maintain"; check the PDF.</w:t>
      </w:r>
    </w:p>
    <w:p>
      <w:pPr>
        <w:pStyle w:val="CardField"/>
      </w:pPr>
      <w:r>
        <w:rPr>
          <w:b/>
          <w:bCs/>
        </w:rPr>
        <w:t xml:space="preserve">Links:</w:t>
      </w:r>
    </w:p>
    <w:p>
      <w:pPr>
        <w:pStyle w:val="CardList"/>
        <w:numPr>
          <w:ilvl w:val="0"/>
          <w:numId w:val="1217"/>
        </w:numPr>
      </w:pPr>
      <w:hyperlink r:id="rId451" w:history="1">
        <w:r>
          <w:rPr>
            <w:rStyle w:val="Hyperlink"/>
          </w:rPr>
          <w:t xml:space="preserve">https://www.whitehouse.gov/wp-content/uploads/2025/07/Americas-AI-Action-Plan.pdf</w:t>
        </w:r>
      </w:hyperlink>
    </w:p>
    <w:p>
      <w:pPr>
        <w:pStyle w:val="CardList"/>
        <w:numPr>
          <w:ilvl w:val="0"/>
          <w:numId w:val="1217"/>
        </w:numPr>
      </w:pPr>
      <w:hyperlink r:id="rId452" w:history="1">
        <w:r>
          <w:rPr>
            <w:rStyle w:val="Hyperlink"/>
          </w:rPr>
          <w:t xml:space="preserve">https://www.goodwinlaw.com/en/insights/publications/2025/07/alerts-technology-aiml-trump-administration-action-plan</w:t>
        </w:r>
      </w:hyperlink>
    </w:p>
    <w:p>
      <w:pPr>
        <w:pStyle w:val="CardField"/>
      </w:pPr>
      <w:r>
        <w:rPr>
          <w:b/>
          <w:bCs/>
        </w:rPr>
        <w:t xml:space="preserve">Used:</w:t>
      </w:r>
      <w:r>
        <w:t xml:space="preserve"> </w:t>
      </w:r>
      <w:hyperlink w:anchor="p5" w:history="1">
        <w:r>
          <w:rPr>
            <w:rStyle w:val="NavLinkChar"/>
          </w:rPr>
          <w:t xml:space="preserve">P5</w:t>
        </w:r>
      </w:hyperlink>
    </w:p>
    <w:bookmarkEnd w:id="453"/>
    <w:bookmarkStart w:id="456" w:name="src-S113"/>
    <w:p>
      <w:pPr>
        <w:pStyle w:val="Heading2"/>
      </w:pPr>
      <w:r>
        <w:t xml:space="preserve">S113 – Virginia: teacher salaries (FY2025)</w:t>
      </w:r>
    </w:p>
    <w:p>
      <w:pPr>
        <w:pStyle w:val="CardField"/>
      </w:pPr>
      <w:r>
        <w:rPr>
          <w:b/>
          <w:bCs/>
        </w:rPr>
        <w:t xml:space="preserve">Who &amp; When:</w:t>
      </w:r>
      <w:r>
        <w:t xml:space="preserve"> </w:t>
      </w:r>
      <w:r>
        <w:t xml:space="preserve">Virginia Department of Education, "2024–2025 Teacher Salary Survey Results" (report to the General Assembly, RD33, January 14, 2026); Virginia Education Association citing NEA data.</w:t>
      </w:r>
    </w:p>
    <w:p>
      <w:pPr>
        <w:pStyle w:val="CardField"/>
      </w:pPr>
      <w:r>
        <w:rPr>
          <w:b/>
          <w:bCs/>
        </w:rPr>
        <w:t xml:space="preserve">Key Takeaways:</w:t>
      </w:r>
      <w:r>
        <w:t xml:space="preserve"> </w:t>
      </w:r>
      <w:r>
        <w:t xml:space="preserve">Average budgeted classroom teacher salary in FY2025: $73,808 (FY2024 actual: $71,528). NEA, which uses a different method: $65,830 (2023–24). → $1.6 billion ≈ 21,700 salaries at the state figure, or about 24,300 at the NEA figure.</w:t>
      </w:r>
    </w:p>
    <w:p>
      <w:pPr>
        <w:pStyle w:val="CardField"/>
      </w:pPr>
      <w:r>
        <w:rPr>
          <w:b/>
          <w:bCs/>
        </w:rPr>
        <w:t xml:space="preserve">Potential Counterpoints/Vulnerabilities:</w:t>
      </w:r>
      <w:r>
        <w:t xml:space="preserve"> </w:t>
      </w:r>
      <w:r>
        <w:t xml:space="preserve">Salary only, without benefits, so "more than 20,000" is conservative.</w:t>
      </w:r>
    </w:p>
    <w:p>
      <w:pPr>
        <w:pStyle w:val="CardField"/>
      </w:pPr>
      <w:r>
        <w:rPr>
          <w:b/>
          <w:bCs/>
        </w:rPr>
        <w:t xml:space="preserve">Verification:</w:t>
      </w:r>
      <w:r>
        <w:t xml:space="preserve"> </w:t>
      </w:r>
      <w:r>
        <w:t xml:space="preserve">✔ via excerpts.</w:t>
      </w:r>
    </w:p>
    <w:p>
      <w:pPr>
        <w:pStyle w:val="CardField"/>
      </w:pPr>
      <w:r>
        <w:rPr>
          <w:b/>
          <w:bCs/>
        </w:rPr>
        <w:t xml:space="preserve">Links:</w:t>
      </w:r>
    </w:p>
    <w:p>
      <w:pPr>
        <w:pStyle w:val="CardList"/>
        <w:numPr>
          <w:ilvl w:val="0"/>
          <w:numId w:val="1218"/>
        </w:numPr>
      </w:pPr>
      <w:hyperlink r:id="rId454" w:history="1">
        <w:r>
          <w:rPr>
            <w:rStyle w:val="Hyperlink"/>
          </w:rPr>
          <w:t xml:space="preserve">https://rga.lis.virginia.gov/Published/2026/RD33</w:t>
        </w:r>
      </w:hyperlink>
    </w:p>
    <w:p>
      <w:pPr>
        <w:pStyle w:val="CardList"/>
        <w:numPr>
          <w:ilvl w:val="0"/>
          <w:numId w:val="1218"/>
        </w:numPr>
      </w:pPr>
      <w:hyperlink r:id="rId455" w:history="1">
        <w:r>
          <w:rPr>
            <w:rStyle w:val="Hyperlink"/>
          </w:rPr>
          <w:t xml:space="preserve">https://www.veanea.org/new-nea-reports-show-progress-on-virginia-educator-pay-but-major-challenges-remain/</w:t>
        </w:r>
      </w:hyperlink>
    </w:p>
    <w:p>
      <w:pPr>
        <w:pStyle w:val="CardField"/>
      </w:pPr>
      <w:r>
        <w:rPr>
          <w:b/>
          <w:bCs/>
        </w:rPr>
        <w:t xml:space="preserve">Used:</w:t>
      </w:r>
      <w:r>
        <w:t xml:space="preserve"> </w:t>
      </w:r>
      <w:hyperlink w:anchor="p7" w:history="1">
        <w:r>
          <w:rPr>
            <w:rStyle w:val="NavLinkChar"/>
          </w:rPr>
          <w:t xml:space="preserve">P7</w:t>
        </w:r>
      </w:hyperlink>
    </w:p>
    <w:bookmarkEnd w:id="456"/>
    <w:bookmarkStart w:id="460" w:name="src-S114"/>
    <w:p>
      <w:pPr>
        <w:pStyle w:val="Heading2"/>
      </w:pPr>
      <w:r>
        <w:t xml:space="preserve">S114 – Georgia: state evaluation of the data center tax break (December 2025, corrected January 2026)</w:t>
      </w:r>
    </w:p>
    <w:p>
      <w:pPr>
        <w:pStyle w:val="CardField"/>
      </w:pPr>
      <w:r>
        <w:rPr>
          <w:b/>
          <w:bCs/>
        </w:rPr>
        <w:t xml:space="preserve">Who &amp; When:</w:t>
      </w:r>
      <w:r>
        <w:t xml:space="preserve"> </w:t>
      </w:r>
      <w:r>
        <w:t xml:space="preserve">Georgia Department of Audits and Accounts (the state audit office), report prepared by the Carl Vinson Institute of Government (University of Georgia), December 2025, under the Tax Expenditures Transparency Act of 2024. Correction in January 2026. Coverage: The Current GA / Capitol Beat (January 15, 2026), The Augusta Press.</w:t>
      </w:r>
    </w:p>
    <w:p>
      <w:pPr>
        <w:pStyle w:val="CardField"/>
      </w:pPr>
      <w:r>
        <w:rPr>
          <w:b/>
          <w:bCs/>
        </w:rPr>
        <w:t xml:space="preserve">Key Takeaways:</w:t>
      </w:r>
    </w:p>
    <w:p>
      <w:pPr>
        <w:pStyle w:val="CardList"/>
        <w:numPr>
          <w:ilvl w:val="0"/>
          <w:numId w:val="1219"/>
        </w:numPr>
      </w:pPr>
      <w:r>
        <w:t xml:space="preserve">70% of Georgia's data centers would have been built even without the sales-tax exemption; only 30% are attributed to it. The 2022 study by the same institute had found the opposite (90% would not exist without it); the researchers say it lacked necessary information.</w:t>
      </w:r>
    </w:p>
    <w:p>
      <w:pPr>
        <w:pStyle w:val="CardList"/>
        <w:numPr>
          <w:ilvl w:val="0"/>
          <w:numId w:val="1219"/>
        </w:numPr>
      </w:pPr>
      <w:r>
        <w:t xml:space="preserve">Lost revenue: about $472–474 million (2025), rising to $866.7 million (2030).</w:t>
      </w:r>
    </w:p>
    <w:p>
      <w:pPr>
        <w:pStyle w:val="CardList"/>
        <w:numPr>
          <w:ilvl w:val="0"/>
          <w:numId w:val="1219"/>
        </w:numPr>
      </w:pPr>
      <w:r>
        <w:t xml:space="preserve">Correction: jobs and economic value were overstated by more than three times. The corrected figures are 8,505 construction jobs ($1 billion) and 1,641 operations jobs ($247 million).</w:t>
      </w:r>
    </w:p>
    <w:p>
      <w:pPr>
        <w:pStyle w:val="CardField"/>
      </w:pPr>
      <w:r>
        <w:rPr>
          <w:b/>
          <w:bCs/>
        </w:rPr>
        <w:t xml:space="preserve">Potential Counterpoints/Vulnerabilities:</w:t>
      </w:r>
      <w:r>
        <w:t xml:space="preserve"> </w:t>
      </w:r>
      <w:r>
        <w:t xml:space="preserve">Contra may cite the 2022 study → it was replaced because data was missing. ⚠ It is unclear whether the correction also affects the 70%; the coverage only mentions jobs and value.</w:t>
      </w:r>
    </w:p>
    <w:p>
      <w:pPr>
        <w:pStyle w:val="CardField"/>
      </w:pPr>
      <w:r>
        <w:rPr>
          <w:b/>
          <w:bCs/>
        </w:rPr>
        <w:t xml:space="preserve">Verification:</w:t>
      </w:r>
      <w:r>
        <w:t xml:space="preserve"> </w:t>
      </w:r>
      <w:r>
        <w:t xml:space="preserve">✔ via several excerpts.</w:t>
      </w:r>
    </w:p>
    <w:p>
      <w:pPr>
        <w:pStyle w:val="CardField"/>
      </w:pPr>
      <w:r>
        <w:rPr>
          <w:b/>
          <w:bCs/>
        </w:rPr>
        <w:t xml:space="preserve">Links:</w:t>
      </w:r>
    </w:p>
    <w:p>
      <w:pPr>
        <w:pStyle w:val="CardList"/>
        <w:numPr>
          <w:ilvl w:val="0"/>
          <w:numId w:val="1220"/>
        </w:numPr>
      </w:pPr>
      <w:hyperlink r:id="rId457" w:history="1">
        <w:r>
          <w:rPr>
            <w:rStyle w:val="Hyperlink"/>
          </w:rPr>
          <w:t xml:space="preserve">https://thecurrentga.org/2026/01/15/revised-audit-reveals-georgia-data-centers-economic-impact-overstated/</w:t>
        </w:r>
      </w:hyperlink>
    </w:p>
    <w:p>
      <w:pPr>
        <w:pStyle w:val="CardList"/>
        <w:numPr>
          <w:ilvl w:val="0"/>
          <w:numId w:val="1220"/>
        </w:numPr>
      </w:pPr>
      <w:hyperlink r:id="rId458" w:history="1">
        <w:r>
          <w:rPr>
            <w:rStyle w:val="Hyperlink"/>
          </w:rPr>
          <w:t xml:space="preserve">https://theaugustapress.com/report-30-of-georgias-data-centers-traced-to-2018-tax-break/</w:t>
        </w:r>
      </w:hyperlink>
    </w:p>
    <w:p>
      <w:pPr>
        <w:pStyle w:val="CardList"/>
        <w:numPr>
          <w:ilvl w:val="0"/>
          <w:numId w:val="1220"/>
        </w:numPr>
      </w:pPr>
      <w:hyperlink r:id="rId459" w:history="1">
        <w:r>
          <w:rPr>
            <w:rStyle w:val="Hyperlink"/>
          </w:rPr>
          <w:t xml:space="preserve">https://capitol-beat.org/2026/01/error-in-state-auditors-data-center-review-inflated-job-production-and-economic-value/</w:t>
        </w:r>
      </w:hyperlink>
    </w:p>
    <w:p>
      <w:pPr>
        <w:pStyle w:val="CardField"/>
      </w:pPr>
      <w:r>
        <w:rPr>
          <w:b/>
          <w:bCs/>
        </w:rPr>
        <w:t xml:space="preserve">Used:</w:t>
      </w:r>
      <w:r>
        <w:t xml:space="preserve"> </w:t>
      </w:r>
      <w:hyperlink w:anchor="p7" w:history="1">
        <w:r>
          <w:rPr>
            <w:rStyle w:val="NavLinkChar"/>
          </w:rPr>
          <w:t xml:space="preserve">P7</w:t>
        </w:r>
      </w:hyperlink>
    </w:p>
    <w:bookmarkEnd w:id="460"/>
    <w:bookmarkStart w:id="465" w:name="src-S115"/>
    <w:p>
      <w:pPr>
        <w:pStyle w:val="Heading2"/>
      </w:pPr>
      <w:r>
        <w:t xml:space="preserve">S115 – Meta "Hyperion", Richland Parish, Louisiana: investment, jobs, tax breaks</w:t>
      </w:r>
    </w:p>
    <w:p>
      <w:pPr>
        <w:pStyle w:val="CardField"/>
      </w:pPr>
      <w:r>
        <w:rPr>
          <w:b/>
          <w:bCs/>
        </w:rPr>
        <w:t xml:space="preserve">Who &amp; When:</w:t>
      </w:r>
      <w:r>
        <w:t xml:space="preserve"> </w:t>
      </w:r>
      <w:r>
        <w:t xml:space="preserve">Louisiana Economic Development (announcement, December 2024); Business Facilities (expansion to more than $50 billion); Shreveport Bossier Advocate (PILOT); The Center Square via 1012 Industry Report (Entergy); KTVE.</w:t>
      </w:r>
    </w:p>
    <w:p>
      <w:pPr>
        <w:pStyle w:val="CardField"/>
      </w:pPr>
      <w:r>
        <w:rPr>
          <w:b/>
          <w:bCs/>
        </w:rPr>
        <w:t xml:space="preserve">Key Takeaways:</w:t>
      </w:r>
    </w:p>
    <w:p>
      <w:pPr>
        <w:pStyle w:val="CardList"/>
        <w:numPr>
          <w:ilvl w:val="0"/>
          <w:numId w:val="1221"/>
        </w:numPr>
      </w:pPr>
      <w:r>
        <w:t xml:space="preserve">$10 billion (2024), now more than $50 billion.</w:t>
      </w:r>
    </w:p>
    <w:p>
      <w:pPr>
        <w:pStyle w:val="CardList"/>
        <w:numPr>
          <w:ilvl w:val="0"/>
          <w:numId w:val="1221"/>
        </w:numPr>
      </w:pPr>
      <w:r>
        <w:t xml:space="preserve">Up to 5,000 construction workers at peak; 500+ direct jobs by 2032 (more than 1,000 indirect).</w:t>
      </w:r>
    </w:p>
    <w:p>
      <w:pPr>
        <w:pStyle w:val="CardList"/>
        <w:numPr>
          <w:ilvl w:val="0"/>
          <w:numId w:val="1221"/>
        </w:numPr>
      </w:pPr>
      <w:r>
        <w:t xml:space="preserve">30-year property-tax break of up to 60% through a PILOT (payment in lieu of taxes), up to 80% with more jobs.</w:t>
      </w:r>
    </w:p>
    <w:p>
      <w:pPr>
        <w:pStyle w:val="CardList"/>
        <w:numPr>
          <w:ilvl w:val="0"/>
          <w:numId w:val="1221"/>
        </w:numPr>
      </w:pPr>
      <w:r>
        <w:t xml:space="preserve">Entergy seeks a property-tax exemption of about $237 million over 10 years for the gas plant serving Meta.</w:t>
      </w:r>
    </w:p>
    <w:p>
      <w:pPr>
        <w:pStyle w:val="CardList"/>
        <w:numPr>
          <w:ilvl w:val="0"/>
          <w:numId w:val="1221"/>
        </w:numPr>
      </w:pPr>
      <w:r>
        <w:t xml:space="preserve">A local column estimates more than $70 million for the parish – nearly four times its previous amount.</w:t>
      </w:r>
    </w:p>
    <w:p>
      <w:pPr>
        <w:pStyle w:val="CardField"/>
      </w:pPr>
      <w:r>
        <w:rPr>
          <w:b/>
          <w:bCs/>
        </w:rPr>
        <w:t xml:space="preserve">Potential Counterpoints/Vulnerabilities:</w:t>
      </w:r>
      <w:r>
        <w:t xml:space="preserve"> </w:t>
      </w:r>
      <w:r>
        <w:t xml:space="preserve">⚠ The PILOT terms come only from secondary sources, and the $70 million is commentary. There are no updated job figures for the $50 billion expansion.</w:t>
      </w:r>
    </w:p>
    <w:p>
      <w:pPr>
        <w:pStyle w:val="CardField"/>
      </w:pPr>
      <w:r>
        <w:rPr>
          <w:b/>
          <w:bCs/>
        </w:rPr>
        <w:t xml:space="preserve">Links:</w:t>
      </w:r>
    </w:p>
    <w:p>
      <w:pPr>
        <w:pStyle w:val="CardList"/>
        <w:numPr>
          <w:ilvl w:val="0"/>
          <w:numId w:val="1222"/>
        </w:numPr>
      </w:pPr>
      <w:hyperlink r:id="rId461" w:history="1">
        <w:r>
          <w:rPr>
            <w:rStyle w:val="Hyperlink"/>
          </w:rPr>
          <w:t xml:space="preserve">https://www.opportunitylouisiana.gov/news/meta-selects-northeast-louisiana-as-site-of-10-billion-artificial-intelligence-optimized-data-center-governor-jeff-landry-calls-investment-a-new-chapter-for-state</w:t>
        </w:r>
      </w:hyperlink>
    </w:p>
    <w:p>
      <w:pPr>
        <w:pStyle w:val="CardList"/>
        <w:numPr>
          <w:ilvl w:val="0"/>
          <w:numId w:val="1222"/>
        </w:numPr>
      </w:pPr>
      <w:hyperlink r:id="rId462" w:history="1">
        <w:r>
          <w:rPr>
            <w:rStyle w:val="Hyperlink"/>
          </w:rPr>
          <w:t xml:space="preserve">https://businessfacilities.com/meta-will-invest-over-50b-to-expand-north-louisiana-data-center-campus/</w:t>
        </w:r>
      </w:hyperlink>
    </w:p>
    <w:p>
      <w:pPr>
        <w:pStyle w:val="CardList"/>
        <w:numPr>
          <w:ilvl w:val="0"/>
          <w:numId w:val="1222"/>
        </w:numPr>
      </w:pPr>
      <w:hyperlink r:id="rId463" w:history="1">
        <w:r>
          <w:rPr>
            <w:rStyle w:val="Hyperlink"/>
          </w:rPr>
          <w:t xml:space="preserve">https://www.shreveportbossieradvocate.com/business/north-louisiana-meta-project-growth/article_a32cff13-3b69-4d11-b993-19f130542e63.html</w:t>
        </w:r>
      </w:hyperlink>
    </w:p>
    <w:p>
      <w:pPr>
        <w:pStyle w:val="CardList"/>
        <w:numPr>
          <w:ilvl w:val="0"/>
          <w:numId w:val="1222"/>
        </w:numPr>
      </w:pPr>
      <w:hyperlink r:id="rId464" w:history="1">
        <w:r>
          <w:rPr>
            <w:rStyle w:val="Hyperlink"/>
          </w:rPr>
          <w:t xml:space="preserve">https://www.1012industryreport.com/?p=129541</w:t>
        </w:r>
      </w:hyperlink>
    </w:p>
    <w:p>
      <w:pPr>
        <w:pStyle w:val="CardField"/>
      </w:pPr>
      <w:r>
        <w:rPr>
          <w:b/>
          <w:bCs/>
        </w:rPr>
        <w:t xml:space="preserve">Used:</w:t>
      </w:r>
      <w:r>
        <w:t xml:space="preserve"> </w:t>
      </w:r>
      <w:hyperlink w:anchor="a5" w:history="1">
        <w:r>
          <w:rPr>
            <w:rStyle w:val="NavLinkChar"/>
          </w:rPr>
          <w:t xml:space="preserve">A5</w:t>
        </w:r>
      </w:hyperlink>
      <w:r>
        <w:t xml:space="preserve">,</w:t>
      </w:r>
      <w:r>
        <w:t xml:space="preserve"> </w:t>
      </w:r>
      <w:hyperlink w:anchor="p7" w:history="1">
        <w:r>
          <w:rPr>
            <w:rStyle w:val="NavLinkChar"/>
          </w:rPr>
          <w:t xml:space="preserve">P7</w:t>
        </w:r>
      </w:hyperlink>
    </w:p>
    <w:bookmarkEnd w:id="465"/>
    <w:bookmarkStart w:id="470" w:name="src-S116"/>
    <w:p>
      <w:pPr>
        <w:pStyle w:val="Heading2"/>
      </w:pPr>
      <w:r>
        <w:t xml:space="preserve">S116 – Loudoun County votes to prepare a pause on data center applications (September 16, 2026)</w:t>
      </w:r>
    </w:p>
    <w:p>
      <w:pPr>
        <w:pStyle w:val="CardField"/>
      </w:pPr>
      <w:r>
        <w:rPr>
          <w:b/>
          <w:bCs/>
        </w:rPr>
        <w:t xml:space="preserve">Who &amp; When:</w:t>
      </w:r>
      <w:r>
        <w:t xml:space="preserve"> </w:t>
      </w:r>
      <w:r>
        <w:t xml:space="preserve">Loudoun County Board of Supervisors, vote of September 16, 2026 (7-1-1). Coverage: Loudoun County press release, NBC Washington, DCD, WJLA, Fox 5, mgrid.</w:t>
      </w:r>
    </w:p>
    <w:p>
      <w:pPr>
        <w:pStyle w:val="CardField"/>
      </w:pPr>
      <w:r>
        <w:rPr>
          <w:b/>
          <w:bCs/>
        </w:rPr>
        <w:t xml:space="preserve">Key Takeaways:</w:t>
      </w:r>
    </w:p>
    <w:p>
      <w:pPr>
        <w:pStyle w:val="CardList"/>
        <w:numPr>
          <w:ilvl w:val="0"/>
          <w:numId w:val="1223"/>
        </w:numPr>
      </w:pPr>
      <w:r>
        <w:t xml:space="preserve">Staff will draft a resolution to pause new legislative data center and substation applications for up to 12 months.</w:t>
      </w:r>
    </w:p>
    <w:p>
      <w:pPr>
        <w:pStyle w:val="CardList"/>
        <w:numPr>
          <w:ilvl w:val="0"/>
          <w:numId w:val="1223"/>
        </w:numPr>
      </w:pPr>
      <w:r>
        <w:t xml:space="preserve">Board Chair Phyllis Randall: time to develop new laws on data centers and their effects on nearby communities.</w:t>
      </w:r>
    </w:p>
    <w:p>
      <w:pPr>
        <w:pStyle w:val="CardList"/>
        <w:numPr>
          <w:ilvl w:val="0"/>
          <w:numId w:val="1223"/>
        </w:numPr>
      </w:pPr>
      <w:r>
        <w:t xml:space="preserve">Residents cited noise, energy demand and high-voltage power lines.</w:t>
      </w:r>
    </w:p>
    <w:p>
      <w:pPr>
        <w:pStyle w:val="CardList"/>
        <w:numPr>
          <w:ilvl w:val="0"/>
          <w:numId w:val="1223"/>
        </w:numPr>
      </w:pPr>
      <w:r>
        <w:t xml:space="preserve">The county attorney says an indefinite moratorium would not be legal, hence the 12-month limit.</w:t>
      </w:r>
    </w:p>
    <w:p>
      <w:pPr>
        <w:pStyle w:val="CardList"/>
        <w:numPr>
          <w:ilvl w:val="0"/>
          <w:numId w:val="1223"/>
        </w:numPr>
      </w:pPr>
      <w:r>
        <w:t xml:space="preserve">Projects already in the pipeline are not affected.</w:t>
      </w:r>
    </w:p>
    <w:p>
      <w:pPr>
        <w:pStyle w:val="CardField"/>
      </w:pPr>
      <w:r>
        <w:rPr>
          <w:b/>
          <w:bCs/>
        </w:rPr>
        <w:t xml:space="preserve">Potential Counterpoints/Vulnerabilities:</w:t>
      </w:r>
      <w:r>
        <w:t xml:space="preserve"> </w:t>
      </w:r>
      <w:r>
        <w:t xml:space="preserve">"It's only a draft." → Correct (mgrid: "to draft a pause, not to start one"). ⚠ Final vote on October 13 or 20, 2026 (sources differ) – check the outcome. "Local, not federal." → It shows that even the biggest beneficiary wants rules first.</w:t>
      </w:r>
    </w:p>
    <w:p>
      <w:pPr>
        <w:pStyle w:val="CardField"/>
      </w:pPr>
      <w:r>
        <w:rPr>
          <w:b/>
          <w:bCs/>
        </w:rPr>
        <w:t xml:space="preserve">Verification:</w:t>
      </w:r>
      <w:r>
        <w:t xml:space="preserve"> </w:t>
      </w:r>
      <w:r>
        <w:t xml:space="preserve">✔ via several sources, including the county itself.</w:t>
      </w:r>
    </w:p>
    <w:p>
      <w:pPr>
        <w:pStyle w:val="CardField"/>
      </w:pPr>
      <w:r>
        <w:rPr>
          <w:b/>
          <w:bCs/>
        </w:rPr>
        <w:t xml:space="preserve">Links:</w:t>
      </w:r>
    </w:p>
    <w:p>
      <w:pPr>
        <w:pStyle w:val="CardList"/>
        <w:numPr>
          <w:ilvl w:val="0"/>
          <w:numId w:val="1224"/>
        </w:numPr>
      </w:pPr>
      <w:hyperlink r:id="rId466" w:history="1">
        <w:r>
          <w:rPr>
            <w:rStyle w:val="Hyperlink"/>
          </w:rPr>
          <w:t xml:space="preserve">https://www.loudoun.gov/m/newsflash/home/detail/10874</w:t>
        </w:r>
      </w:hyperlink>
    </w:p>
    <w:p>
      <w:pPr>
        <w:pStyle w:val="CardList"/>
        <w:numPr>
          <w:ilvl w:val="0"/>
          <w:numId w:val="1224"/>
        </w:numPr>
      </w:pPr>
      <w:hyperlink r:id="rId467" w:history="1">
        <w:r>
          <w:rPr>
            <w:rStyle w:val="Hyperlink"/>
          </w:rPr>
          <w:t xml:space="preserve">https://www.nbcwashington.com/news/local/northern-virginia/loudoun-county-board-pauses-data-center-applications/4155005/</w:t>
        </w:r>
      </w:hyperlink>
    </w:p>
    <w:p>
      <w:pPr>
        <w:pStyle w:val="CardList"/>
        <w:numPr>
          <w:ilvl w:val="0"/>
          <w:numId w:val="1224"/>
        </w:numPr>
      </w:pPr>
      <w:hyperlink r:id="rId468" w:history="1">
        <w:r>
          <w:rPr>
            <w:rStyle w:val="Hyperlink"/>
          </w:rPr>
          <w:t xml:space="preserve">https://www.datacenterdynamics.com/en/news/virginias-loudoun-county-board-votes-to-pause-new-data-center-applications/</w:t>
        </w:r>
      </w:hyperlink>
    </w:p>
    <w:p>
      <w:pPr>
        <w:pStyle w:val="CardList"/>
        <w:numPr>
          <w:ilvl w:val="0"/>
          <w:numId w:val="1224"/>
        </w:numPr>
      </w:pPr>
      <w:hyperlink r:id="rId469" w:history="1">
        <w:r>
          <w:rPr>
            <w:rStyle w:val="Hyperlink"/>
          </w:rPr>
          <w:t xml:space="preserve">https://mgrid.org/2026/09/16/loudoun-county-voted-7-1-1-to-draft-a-data-center-pause-not-to-start-one/</w:t>
        </w:r>
      </w:hyperlink>
    </w:p>
    <w:p>
      <w:pPr>
        <w:pStyle w:val="CardField"/>
      </w:pPr>
      <w:r>
        <w:rPr>
          <w:b/>
          <w:bCs/>
        </w:rPr>
        <w:t xml:space="preserve">Used:</w:t>
      </w:r>
      <w:r>
        <w:t xml:space="preserve"> </w:t>
      </w:r>
      <w:hyperlink w:anchor="a5" w:history="1">
        <w:r>
          <w:rPr>
            <w:rStyle w:val="NavLinkChar"/>
          </w:rPr>
          <w:t xml:space="preserve">A5</w:t>
        </w:r>
      </w:hyperlink>
    </w:p>
    <w:bookmarkEnd w:id="470"/>
    <w:bookmarkStart w:id="473" w:name="src-S117"/>
    <w:p>
      <w:pPr>
        <w:pStyle w:val="Heading2"/>
      </w:pPr>
      <w:r>
        <w:t xml:space="preserve">S117 – Virginia's 2026–2028 budget: tax break kept, new electricity tax</w:t>
      </w:r>
    </w:p>
    <w:p>
      <w:pPr>
        <w:pStyle w:val="CardField"/>
      </w:pPr>
      <w:r>
        <w:rPr>
          <w:b/>
          <w:bCs/>
        </w:rPr>
        <w:t xml:space="preserve">Who &amp; When:</w:t>
      </w:r>
      <w:r>
        <w:t xml:space="preserve"> </w:t>
      </w:r>
      <w:r>
        <w:t xml:space="preserve">Budget signed by Governor Spanberger on June 30, 2026. Coverage: Holland &amp; Knight (August 20, 2026), Hunton Andrews Kurth.</w:t>
      </w:r>
    </w:p>
    <w:p>
      <w:pPr>
        <w:pStyle w:val="CardField"/>
      </w:pPr>
      <w:r>
        <w:rPr>
          <w:b/>
          <w:bCs/>
        </w:rPr>
        <w:t xml:space="preserve">Key Takeaways:</w:t>
      </w:r>
    </w:p>
    <w:p>
      <w:pPr>
        <w:pStyle w:val="CardList"/>
        <w:numPr>
          <w:ilvl w:val="0"/>
          <w:numId w:val="1225"/>
        </w:numPr>
      </w:pPr>
      <w:r>
        <w:t xml:space="preserve">The sales-tax exemption for data center equipment stays (until 2035).</w:t>
      </w:r>
    </w:p>
    <w:p>
      <w:pPr>
        <w:pStyle w:val="CardList"/>
        <w:numPr>
          <w:ilvl w:val="0"/>
          <w:numId w:val="1225"/>
        </w:numPr>
      </w:pPr>
      <w:r>
        <w:t xml:space="preserve">New: the first statewide tax on data centers' electricity use – $0.011 per kWh, July 1, 2026 to June 30, 2028, capped at $600 million a year (up to $1.2 billion over two years).</w:t>
      </w:r>
    </w:p>
    <w:p>
      <w:pPr>
        <w:pStyle w:val="CardList"/>
        <w:numPr>
          <w:ilvl w:val="0"/>
          <w:numId w:val="1225"/>
        </w:numPr>
      </w:pPr>
      <w:r>
        <w:t xml:space="preserve">Some lawmakers want to revisit the exemption in 2027.</w:t>
      </w:r>
    </w:p>
    <w:p>
      <w:pPr>
        <w:pStyle w:val="CardField"/>
      </w:pPr>
      <w:r>
        <w:rPr>
          <w:b/>
          <w:bCs/>
        </w:rPr>
        <w:t xml:space="preserve">Potential Counterpoints/Vulnerabilities:</w:t>
      </w:r>
      <w:r>
        <w:t xml:space="preserve"> </w:t>
      </w:r>
      <w:r>
        <w:t xml:space="preserve">Contra: "Virginia is fixing it itself." → The tax is temporary, capped and well below the $1.6 billion exemption [</w:t>
      </w:r>
      <w:hyperlink w:anchor="src-S60" w:history="1">
        <w:r>
          <w:rPr>
            <w:rStyle w:val="SourceLink"/>
          </w:rPr>
          <w:t xml:space="preserve">S60</w:t>
        </w:r>
      </w:hyperlink>
      <w:r>
        <w:t xml:space="preserve">].</w:t>
      </w:r>
    </w:p>
    <w:p>
      <w:pPr>
        <w:pStyle w:val="CardField"/>
      </w:pPr>
      <w:r>
        <w:rPr>
          <w:b/>
          <w:bCs/>
        </w:rPr>
        <w:t xml:space="preserve">Links:</w:t>
      </w:r>
    </w:p>
    <w:p>
      <w:pPr>
        <w:pStyle w:val="CardList"/>
        <w:numPr>
          <w:ilvl w:val="0"/>
          <w:numId w:val="1226"/>
        </w:numPr>
      </w:pPr>
      <w:hyperlink r:id="rId471" w:history="1">
        <w:r>
          <w:rPr>
            <w:rStyle w:val="Hyperlink"/>
          </w:rPr>
          <w:t xml:space="preserve">https://www.hklaw.com/en/insights/publications/2026/08/virginia-preserves-data-center-tax-incentive</w:t>
        </w:r>
      </w:hyperlink>
    </w:p>
    <w:p>
      <w:pPr>
        <w:pStyle w:val="CardList"/>
        <w:numPr>
          <w:ilvl w:val="0"/>
          <w:numId w:val="1226"/>
        </w:numPr>
      </w:pPr>
      <w:hyperlink r:id="rId472" w:history="1">
        <w:r>
          <w:rPr>
            <w:rStyle w:val="Hyperlink"/>
          </w:rPr>
          <w:t xml:space="preserve">https://www.hunton.com/insights/legal/virginia-adds-electricity-consumption-tax-but-stops-short-of-repealing-data-center-sales-tax-exemption</w:t>
        </w:r>
      </w:hyperlink>
    </w:p>
    <w:p>
      <w:pPr>
        <w:pStyle w:val="CardField"/>
      </w:pPr>
      <w:r>
        <w:rPr>
          <w:b/>
          <w:bCs/>
        </w:rPr>
        <w:t xml:space="preserve">Used:</w:t>
      </w:r>
      <w:r>
        <w:t xml:space="preserve"> </w:t>
      </w:r>
      <w:hyperlink w:anchor="p7" w:history="1">
        <w:r>
          <w:rPr>
            <w:rStyle w:val="NavLinkChar"/>
          </w:rPr>
          <w:t xml:space="preserve">P7</w:t>
        </w:r>
      </w:hyperlink>
    </w:p>
    <w:bookmarkEnd w:id="473"/>
    <w:bookmarkStart w:id="475" w:name="src-S118"/>
    <w:p>
      <w:pPr>
        <w:pStyle w:val="Heading2"/>
      </w:pPr>
      <w:r>
        <w:t xml:space="preserve">S118 – Washington state: claw-back in its data center tax break</w:t>
      </w:r>
    </w:p>
    <w:p>
      <w:pPr>
        <w:pStyle w:val="CardField"/>
      </w:pPr>
      <w:r>
        <w:rPr>
          <w:b/>
          <w:bCs/>
        </w:rPr>
        <w:t xml:space="preserve">Who &amp; When:</w:t>
      </w:r>
      <w:r>
        <w:t xml:space="preserve"> </w:t>
      </w:r>
      <w:r>
        <w:t xml:space="preserve">Washington's Joint Legislative Audit and Review Committee (JLARC, the legislature's audit agency), tax preference review "Data Center Equipment" (2016 cycle, published January 2017).</w:t>
      </w:r>
    </w:p>
    <w:p>
      <w:pPr>
        <w:pStyle w:val="CardField"/>
      </w:pPr>
      <w:r>
        <w:rPr>
          <w:b/>
          <w:bCs/>
        </w:rPr>
        <w:t xml:space="preserve">Key Takeaways:</w:t>
      </w:r>
      <w:r>
        <w:t xml:space="preserve"> </w:t>
      </w:r>
      <w:r>
        <w:t xml:space="preserve">Washington's data center sales-tax exemption contains a claw-back: companies must create family-wage jobs or repay the exempted taxes. Estimated savings for the companies: $111.6 million per two-year budget period.</w:t>
      </w:r>
    </w:p>
    <w:p>
      <w:pPr>
        <w:pStyle w:val="CardField"/>
      </w:pPr>
      <w:r>
        <w:rPr>
          <w:b/>
          <w:bCs/>
        </w:rPr>
        <w:t xml:space="preserve">Potential Counterpoints/Vulnerabilities:</w:t>
      </w:r>
      <w:r>
        <w:t xml:space="preserve"> </w:t>
      </w:r>
      <w:r>
        <w:t xml:space="preserve">⚠ This is an older review, and the exemption has since been extended. Check the current claw-back terms.</w:t>
      </w:r>
    </w:p>
    <w:p>
      <w:pPr>
        <w:pStyle w:val="CardField"/>
      </w:pPr>
      <w:r>
        <w:rPr>
          <w:b/>
          <w:bCs/>
        </w:rPr>
        <w:t xml:space="preserve">Link:</w:t>
      </w:r>
      <w:r>
        <w:t xml:space="preserve"> </w:t>
      </w:r>
      <w:hyperlink r:id="rId474" w:history="1">
        <w:r>
          <w:rPr>
            <w:rStyle w:val="Hyperlink"/>
          </w:rPr>
          <w:t xml:space="preserve">https://leg.wa.gov/jlarc/taxReports/2016/DataCenterEquipment/f/default.htm</w:t>
        </w:r>
      </w:hyperlink>
    </w:p>
    <w:p>
      <w:pPr>
        <w:pStyle w:val="CardField"/>
      </w:pPr>
      <w:r>
        <w:rPr>
          <w:b/>
          <w:bCs/>
        </w:rPr>
        <w:t xml:space="preserve">Used:</w:t>
      </w:r>
      <w:r>
        <w:t xml:space="preserve"> </w:t>
      </w:r>
      <w:hyperlink w:anchor="p7" w:history="1">
        <w:r>
          <w:rPr>
            <w:rStyle w:val="NavLinkChar"/>
          </w:rPr>
          <w:t xml:space="preserve">P7</w:t>
        </w:r>
      </w:hyperlink>
    </w:p>
    <w:bookmarkEnd w:id="475"/>
    <w:bookmarkStart w:id="477" w:name="src-S119"/>
    <w:p>
      <w:pPr>
        <w:pStyle w:val="Heading2"/>
      </w:pPr>
      <w:r>
        <w:t xml:space="preserve">S119 – ENERGY STAR (US EPA): definition of a data center</w:t>
      </w:r>
    </w:p>
    <w:p>
      <w:pPr>
        <w:pStyle w:val="CardField"/>
      </w:pPr>
      <w:r>
        <w:rPr>
          <w:b/>
          <w:bCs/>
        </w:rPr>
        <w:t xml:space="preserve">Who &amp; When:</w:t>
      </w:r>
      <w:r>
        <w:t xml:space="preserve"> </w:t>
      </w:r>
      <w:r>
        <w:t xml:space="preserve">ENERGY STAR, the energy-efficiency program of the US Environmental Protection Agency (EPA); Portfolio Manager Technical Reference “ENERGY STAR Score for Data Centers” (August 2018) and the Portfolio Manager definitions.</w:t>
      </w:r>
    </w:p>
    <w:p>
      <w:pPr>
        <w:pStyle w:val="CardField"/>
      </w:pPr>
      <w:r>
        <w:rPr>
          <w:b/>
          <w:bCs/>
        </w:rPr>
        <w:t xml:space="preserve">Origin:</w:t>
      </w:r>
      <w:r>
        <w:t xml:space="preserve"> </w:t>
      </w:r>
      <w:r>
        <w:t xml:space="preserve">Government program (primary source).</w:t>
      </w:r>
    </w:p>
    <w:p>
      <w:pPr>
        <w:pStyle w:val="CardField"/>
      </w:pPr>
      <w:r>
        <w:rPr>
          <w:b/>
          <w:bCs/>
        </w:rPr>
        <w:t xml:space="preserve">Context &amp; Classification:</w:t>
      </w:r>
      <w:r>
        <w:t xml:space="preserve"> </w:t>
      </w:r>
      <w:r>
        <w:t xml:space="preserve">A US government definition used for energy benchmarking of buildings. It is not a definition of “hyperscale” (→ A1).</w:t>
      </w:r>
    </w:p>
    <w:p>
      <w:pPr>
        <w:pStyle w:val="CardField"/>
      </w:pPr>
      <w:r>
        <w:rPr>
          <w:b/>
          <w:bCs/>
        </w:rPr>
        <w:t xml:space="preserve">Key Takeaways:</w:t>
      </w:r>
      <w:r>
        <w:t xml:space="preserve"> </w:t>
      </w:r>
      <w:r>
        <w:t xml:space="preserve">A data center is a space specifically designed and equipped to meet the needs of high-density computing equipment, such as server racks, used for data storage and processing. Such spaces typically have dedicated uninterruptible power supplies (UPS) and cooling systems.</w:t>
      </w:r>
    </w:p>
    <w:p>
      <w:pPr>
        <w:pStyle w:val="CardField"/>
      </w:pPr>
      <w:r>
        <w:rPr>
          <w:b/>
          <w:bCs/>
        </w:rPr>
        <w:t xml:space="preserve">Potential Counterpoints/Vulnerabilities:</w:t>
      </w:r>
      <w:r>
        <w:t xml:space="preserve"> </w:t>
      </w:r>
      <w:r>
        <w:t xml:space="preserve">Definitions differ between companies and laws; for the debate, the decisive definition is that of a hyperscale data center (A1).</w:t>
      </w:r>
    </w:p>
    <w:p>
      <w:pPr>
        <w:pStyle w:val="CardField"/>
      </w:pPr>
      <w:r>
        <w:rPr>
          <w:b/>
          <w:bCs/>
        </w:rPr>
        <w:t xml:space="preserve">Verification:</w:t>
      </w:r>
      <w:r>
        <w:t xml:space="preserve"> </w:t>
      </w:r>
      <w:r>
        <w:t xml:space="preserve">⚠ Wording confirmed only via search excerpts (2018 technical reference and a secondary quote); check the PDF.</w:t>
      </w:r>
    </w:p>
    <w:p>
      <w:pPr>
        <w:pStyle w:val="CardField"/>
      </w:pPr>
      <w:r>
        <w:rPr>
          <w:b/>
          <w:bCs/>
        </w:rPr>
        <w:t xml:space="preserve">Link:</w:t>
      </w:r>
      <w:r>
        <w:t xml:space="preserve"> </w:t>
      </w:r>
      <w:hyperlink r:id="rId476" w:history="1">
        <w:r>
          <w:rPr>
            <w:rStyle w:val="Hyperlink"/>
          </w:rPr>
          <w:t xml:space="preserve">https://www.energystar.gov/sites/default/files/tools/Data_Center_August_2018_EN_508.pdf</w:t>
        </w:r>
      </w:hyperlink>
    </w:p>
    <w:p>
      <w:pPr>
        <w:pStyle w:val="CardField"/>
      </w:pPr>
      <w:r>
        <w:rPr>
          <w:b/>
          <w:bCs/>
        </w:rPr>
        <w:t xml:space="preserve">Used:</w:t>
      </w:r>
      <w:r>
        <w:t xml:space="preserve"> </w:t>
      </w:r>
      <w:hyperlink w:anchor="a3" w:history="1">
        <w:r>
          <w:rPr>
            <w:rStyle w:val="NavLinkChar"/>
          </w:rPr>
          <w:t xml:space="preserve">A3</w:t>
        </w:r>
      </w:hyperlink>
    </w:p>
    <w:bookmarkEnd w:id="477"/>
    <w:bookmarkStart w:id="480" w:name="src-S120"/>
    <w:p>
      <w:pPr>
        <w:pStyle w:val="Heading2"/>
      </w:pPr>
      <w:r>
        <w:t xml:space="preserve">S120 – Stanford HAI: AI Index Report 2026 – “Technical Performance” (US–China gap)</w:t>
      </w:r>
    </w:p>
    <w:p>
      <w:pPr>
        <w:pStyle w:val="CardField"/>
      </w:pPr>
      <w:r>
        <w:rPr>
          <w:b/>
          <w:bCs/>
        </w:rPr>
        <w:t xml:space="preserve">Who &amp; When:</w:t>
      </w:r>
      <w:r>
        <w:t xml:space="preserve"> </w:t>
      </w:r>
      <w:r>
        <w:t xml:space="preserve">Stanford Institute for Human-Centered Artificial Intelligence (HAI), AI Index Report 2026, chapter “Technical Performance” (April 2026); coverage: Fortune (April 16, 2026).</w:t>
      </w:r>
    </w:p>
    <w:p>
      <w:pPr>
        <w:pStyle w:val="CardField"/>
      </w:pPr>
      <w:r>
        <w:rPr>
          <w:b/>
          <w:bCs/>
        </w:rPr>
        <w:t xml:space="preserve">Origin:</w:t>
      </w:r>
      <w:r>
        <w:t xml:space="preserve"> </w:t>
      </w:r>
      <w:r>
        <w:t xml:space="preserve">Annual academic report; the US–China comparison is based on the Arena leaderboard (rankings from user votes).</w:t>
      </w:r>
    </w:p>
    <w:p>
      <w:pPr>
        <w:pStyle w:val="CardField"/>
      </w:pPr>
      <w:r>
        <w:rPr>
          <w:b/>
          <w:bCs/>
        </w:rPr>
        <w:t xml:space="preserve">Context &amp; Classification:</w:t>
      </w:r>
      <w:r>
        <w:t xml:space="preserve"> </w:t>
      </w:r>
      <w:r>
        <w:t xml:space="preserve">High credibility. Stanford itself notes that Arena rankings can be gamed. Different measure than Artificial Analysis (S7), so the numbers are not directly comparable.</w:t>
      </w:r>
    </w:p>
    <w:p>
      <w:pPr>
        <w:pStyle w:val="CardField"/>
      </w:pPr>
      <w:r>
        <w:rPr>
          <w:b/>
          <w:bCs/>
        </w:rPr>
        <w:t xml:space="preserve">Key Takeaways:</w:t>
      </w:r>
      <w:r>
        <w:t xml:space="preserve"> </w:t>
      </w:r>
      <w:r>
        <w:t xml:space="preserve">“The U.S.-China AI model performance gap has effectively closed.” As of March 2026, the top US model leads by 2.7%; over the past year the gap fluctuated but stayed in the single digits. Fortune: 39 Arena points between Claude Opus 4.6 and China’s Dola-Seed 2.0; in May 2023 the gap was more than 300 points.</w:t>
      </w:r>
    </w:p>
    <w:p>
      <w:pPr>
        <w:pStyle w:val="CardField"/>
      </w:pPr>
      <w:r>
        <w:rPr>
          <w:b/>
          <w:bCs/>
        </w:rPr>
        <w:t xml:space="preserve">Potential Counterpoints/Vulnerabilities:</w:t>
      </w:r>
      <w:r>
        <w:t xml:space="preserve"> </w:t>
      </w:r>
      <w:r>
        <w:t xml:space="preserve">Contra: “On Artificial Analysis the gap is 12 points.” → Different index; both show that the US leads, but not by much.</w:t>
      </w:r>
    </w:p>
    <w:p>
      <w:pPr>
        <w:pStyle w:val="CardField"/>
      </w:pPr>
      <w:r>
        <w:rPr>
          <w:b/>
          <w:bCs/>
        </w:rPr>
        <w:t xml:space="preserve">Verification:</w:t>
      </w:r>
      <w:r>
        <w:t xml:space="preserve"> </w:t>
      </w:r>
      <w:r>
        <w:t xml:space="preserve">✔ via excerpts of the Stanford page and Fortune. ⚠ Report PDF not opened.</w:t>
      </w:r>
    </w:p>
    <w:p>
      <w:pPr>
        <w:pStyle w:val="CardField"/>
      </w:pPr>
      <w:r>
        <w:rPr>
          <w:b/>
          <w:bCs/>
        </w:rPr>
        <w:t xml:space="preserve">Links:</w:t>
      </w:r>
    </w:p>
    <w:p>
      <w:pPr>
        <w:pStyle w:val="CardList"/>
        <w:numPr>
          <w:ilvl w:val="0"/>
          <w:numId w:val="1227"/>
        </w:numPr>
      </w:pPr>
      <w:hyperlink r:id="rId478" w:history="1">
        <w:r>
          <w:rPr>
            <w:rStyle w:val="Hyperlink"/>
          </w:rPr>
          <w:t xml:space="preserve">https://hai.stanford.edu/ai-index/2026-ai-index-report/technical-performance</w:t>
        </w:r>
      </w:hyperlink>
    </w:p>
    <w:p>
      <w:pPr>
        <w:pStyle w:val="CardList"/>
        <w:numPr>
          <w:ilvl w:val="0"/>
          <w:numId w:val="1227"/>
        </w:numPr>
      </w:pPr>
      <w:hyperlink r:id="rId479" w:history="1">
        <w:r>
          <w:rPr>
            <w:rStyle w:val="Hyperlink"/>
          </w:rPr>
          <w:t xml:space="preserve">https://www.fortune.com/2026/04/16/stanford-study-how-has-china-gained-on-us-ai-war/</w:t>
        </w:r>
      </w:hyperlink>
    </w:p>
    <w:p>
      <w:pPr>
        <w:pStyle w:val="CardField"/>
      </w:pPr>
      <w:r>
        <w:rPr>
          <w:b/>
          <w:bCs/>
        </w:rPr>
        <w:t xml:space="preserve">Used:</w:t>
      </w:r>
      <w:r>
        <w:t xml:space="preserve"> </w:t>
      </w:r>
      <w:hyperlink w:anchor="a6" w:history="1">
        <w:r>
          <w:rPr>
            <w:rStyle w:val="NavLinkChar"/>
          </w:rPr>
          <w:t xml:space="preserve">A6</w:t>
        </w:r>
      </w:hyperlink>
    </w:p>
    <w:bookmarkEnd w:id="480"/>
    <w:bookmarkEnd w:id="481"/>
    <w:sectPr>
      <w:footerReference w:type="default" r:id="rIdFooter1"/>
      <w:footerReference w:type="first" r:id="rIdFooter2"/>
      <w:pgSz w:w="11906" w:h="16838"/>
      <w:pgMar w:top="1247" w:right="1247" w:bottom="1247" w:left="1247" w:header="567" w:footer="567"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7F7F7F"/>
        <w:sz w:val="18"/>
      </w:rPr>
      <w:t xml:space="preserve">Debate Dossier · Hyperscale Data Center Moratorium ·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330" w:hanging="240"/>
      </w:pPr>
    </w:lvl>
    <w:lvl w:ilvl="1">
      <w:numFmt w:val="bullet"/>
      <w:lvlText w:val=" "/>
      <w:lvlJc w:val="left"/>
      <w:pPr>
        <w:ind w:left="670" w:hanging="240"/>
      </w:pPr>
    </w:lvl>
    <w:lvl w:ilvl="2">
      <w:numFmt w:val="bullet"/>
      <w:lvlText w:val=" "/>
      <w:lvlJc w:val="left"/>
      <w:pPr>
        <w:ind w:left="1010" w:hanging="240"/>
      </w:pPr>
    </w:lvl>
    <w:lvl w:ilvl="3">
      <w:numFmt w:val="bullet"/>
      <w:lvlText w:val=" "/>
      <w:lvlJc w:val="left"/>
      <w:pPr>
        <w:ind w:left="1350" w:hanging="240"/>
      </w:pPr>
    </w:lvl>
    <w:lvl w:ilvl="4">
      <w:numFmt w:val="bullet"/>
      <w:lvlText w:val=" "/>
      <w:lvlJc w:val="left"/>
      <w:pPr>
        <w:ind w:left="1690" w:hanging="240"/>
      </w:pPr>
    </w:lvl>
    <w:lvl w:ilvl="5">
      <w:numFmt w:val="bullet"/>
      <w:lvlText w:val=" "/>
      <w:lvlJc w:val="left"/>
      <w:pPr>
        <w:ind w:left="2030" w:hanging="240"/>
      </w:pPr>
    </w:lvl>
    <w:lvl w:ilvl="6">
      <w:numFmt w:val="bullet"/>
      <w:lvlText w:val=" "/>
      <w:lvlJc w:val="left"/>
      <w:pPr>
        <w:ind w:left="2370" w:hanging="240"/>
      </w:pPr>
    </w:lvl>
    <w:lvl w:ilvl="7">
      <w:numFmt w:val="bullet"/>
      <w:lvlText w:val=" "/>
      <w:lvlJc w:val="left"/>
      <w:pPr>
        <w:ind w:left="2710" w:hanging="240"/>
      </w:pPr>
    </w:lvl>
    <w:lvl w:ilvl="8">
      <w:numFmt w:val="bullet"/>
      <w:lvlText w:val=" "/>
      <w:lvlJc w:val="left"/>
      <w:pPr>
        <w:ind w:left="3050" w:hanging="240"/>
      </w:pPr>
    </w:lvl>
  </w:abstractNum>
  <w:abstractNum w:abstractNumId="991">
    <w:nsid w:val="0000A991"/>
    <w:multiLevelType w:val="multilevel"/>
    <w:lvl w:ilvl="0">
      <w:numFmt w:val="bullet"/>
      <w:lvlText w:val="•"/>
      <w:lvlJc w:val="left"/>
      <w:pPr>
        <w:ind w:left="330" w:hanging="240"/>
      </w:pPr>
    </w:lvl>
    <w:lvl w:ilvl="1">
      <w:numFmt w:val="bullet"/>
      <w:lvlText w:val="–"/>
      <w:lvlJc w:val="left"/>
      <w:pPr>
        <w:ind w:left="670" w:hanging="240"/>
      </w:pPr>
    </w:lvl>
    <w:lvl w:ilvl="2">
      <w:numFmt w:val="bullet"/>
      <w:lvlText w:val="•"/>
      <w:lvlJc w:val="left"/>
      <w:pPr>
        <w:ind w:left="1010" w:hanging="240"/>
      </w:pPr>
    </w:lvl>
    <w:lvl w:ilvl="3">
      <w:numFmt w:val="bullet"/>
      <w:lvlText w:val="–"/>
      <w:lvlJc w:val="left"/>
      <w:pPr>
        <w:ind w:left="1350" w:hanging="240"/>
      </w:pPr>
    </w:lvl>
    <w:lvl w:ilvl="4">
      <w:numFmt w:val="bullet"/>
      <w:lvlText w:val="•"/>
      <w:lvlJc w:val="left"/>
      <w:pPr>
        <w:ind w:left="1690" w:hanging="240"/>
      </w:pPr>
    </w:lvl>
    <w:lvl w:ilvl="5">
      <w:numFmt w:val="bullet"/>
      <w:lvlText w:val="–"/>
      <w:lvlJc w:val="left"/>
      <w:pPr>
        <w:ind w:left="2030" w:hanging="240"/>
      </w:pPr>
    </w:lvl>
    <w:lvl w:ilvl="6">
      <w:numFmt w:val="bullet"/>
      <w:lvlText w:val="•"/>
      <w:lvlJc w:val="left"/>
      <w:pPr>
        <w:ind w:left="2370" w:hanging="240"/>
      </w:pPr>
    </w:lvl>
    <w:lvl w:ilvl="7">
      <w:numFmt w:val="bullet"/>
      <w:lvlText w:val="–"/>
      <w:lvlJc w:val="left"/>
      <w:pPr>
        <w:ind w:left="2710" w:hanging="240"/>
      </w:pPr>
    </w:lvl>
    <w:lvl w:ilvl="8">
      <w:numFmt w:val="bullet"/>
      <w:lvlText w:val="•"/>
      <w:lvlJc w:val="left"/>
      <w:pPr>
        <w:ind w:left="3050" w:hanging="240"/>
      </w:pPr>
    </w:lvl>
  </w:abstractNum>
  <w:abstractNum w:abstractNumId="99411">
    <w:nsid w:val="00A99411"/>
    <w:multiLevelType w:val="multilevel"/>
    <w:lvl w:ilvl="0">
      <w:start w:val="1"/>
      <w:numFmt w:val="decimal"/>
      <w:lvlText w:val="%1."/>
      <w:lvlJc w:val="left"/>
      <w:pPr>
        <w:ind w:left="330" w:hanging="300"/>
      </w:pPr>
    </w:lvl>
    <w:lvl w:ilvl="1">
      <w:start w:val="1"/>
      <w:numFmt w:val="decimal"/>
      <w:lvlText w:val="%2."/>
      <w:lvlJc w:val="left"/>
      <w:pPr>
        <w:ind w:left="670" w:hanging="300"/>
      </w:pPr>
    </w:lvl>
    <w:lvl w:ilvl="2">
      <w:start w:val="1"/>
      <w:numFmt w:val="decimal"/>
      <w:lvlText w:val="%3."/>
      <w:lvlJc w:val="left"/>
      <w:pPr>
        <w:ind w:left="1010" w:hanging="300"/>
      </w:pPr>
    </w:lvl>
    <w:lvl w:ilvl="3">
      <w:start w:val="1"/>
      <w:numFmt w:val="decimal"/>
      <w:lvlText w:val="%4."/>
      <w:lvlJc w:val="left"/>
      <w:pPr>
        <w:ind w:left="1350" w:hanging="300"/>
      </w:pPr>
    </w:lvl>
    <w:lvl w:ilvl="4">
      <w:start w:val="1"/>
      <w:numFmt w:val="decimal"/>
      <w:lvlText w:val="%5."/>
      <w:lvlJc w:val="left"/>
      <w:pPr>
        <w:ind w:left="1690" w:hanging="300"/>
      </w:pPr>
    </w:lvl>
    <w:lvl w:ilvl="5">
      <w:start w:val="1"/>
      <w:numFmt w:val="decimal"/>
      <w:lvlText w:val="%6."/>
      <w:lvlJc w:val="left"/>
      <w:pPr>
        <w:ind w:left="2030" w:hanging="300"/>
      </w:pPr>
    </w:lvl>
    <w:lvl w:ilvl="6">
      <w:start w:val="1"/>
      <w:numFmt w:val="decimal"/>
      <w:lvlText w:val="%7."/>
      <w:lvlJc w:val="left"/>
      <w:pPr>
        <w:ind w:left="2370" w:hanging="300"/>
      </w:pPr>
    </w:lvl>
    <w:lvl w:ilvl="7">
      <w:start w:val="1"/>
      <w:numFmt w:val="decimal"/>
      <w:lvlText w:val="%8."/>
      <w:lvlJc w:val="left"/>
      <w:pPr>
        <w:ind w:left="2710" w:hanging="300"/>
      </w:pPr>
    </w:lvl>
    <w:lvl w:ilvl="8">
      <w:start w:val="1"/>
      <w:numFmt w:val="decimal"/>
      <w:lvlText w:val="%9."/>
      <w:lvlJc w:val="left"/>
      <w:pPr>
        <w:ind w:left="3050" w:hanging="30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80" w:line="264" w:lineRule="auto"/>
      </w:pPr>
    </w:pPrDefault>
  </w:docDefaults>
  <w:style w:default="1" w:styleId="Normal" w:type="paragraph">
    <w:name w:val="Normal"/>
    <w:qFormat/>
    <w:pPr>
      <w:spacing w:after="80" w:before="0" w:line="264" w:lineRule="auto"/>
    </w:pPr>
    <w:rPr>
      <w:rFonts w:ascii="Calibri" w:cs="Calibri" w:eastAsia="Calibri" w:hAnsi="Calibri"/>
      <w:sz w:val="22"/>
      <w:szCs w:val="22"/>
    </w:rPr>
  </w:style>
  <w:style w:customStyle="1" w:styleId="BodyText" w:type="paragraph">
    <w:name w:val="Body Text"/>
    <w:basedOn w:val="Normal"/>
    <w:qFormat/>
    <w:pPr>
      <w:spacing w:after="120" w:before="0" w:line="276" w:lineRule="auto"/>
    </w:pPr>
  </w:style>
  <w:style w:customStyle="1" w:styleId="FirstParagraph" w:type="paragraph">
    <w:name w:val="First Paragraph"/>
    <w:basedOn w:val="BodyText"/>
    <w:next w:val="BodyText"/>
    <w:qFormat/>
    <w:pPr/>
  </w:style>
  <w:style w:customStyle="1" w:styleId="Compact" w:type="paragraph">
    <w:name w:val="Compact"/>
    <w:basedOn w:val="BodyText"/>
    <w:qFormat/>
    <w:pPr>
      <w:spacing w:after="60" w:before="0" w:line="264" w:lineRule="auto"/>
    </w:pPr>
  </w:style>
  <w:style w:customStyle="1" w:styleId="Title" w:type="paragraph">
    <w:name w:val="Title"/>
    <w:basedOn w:val="Normal"/>
    <w:qFormat/>
    <w:pPr>
      <w:spacing w:after="240" w:before="2600"/>
      <w:jc w:val="center"/>
    </w:pPr>
    <w:rPr>
      <w:b/>
      <w:bCs/>
      <w:color w:val="1F3864"/>
      <w:sz w:val="68"/>
      <w:szCs w:val="68"/>
    </w:rPr>
  </w:style>
  <w:style w:customStyle="1" w:styleId="Subtitle" w:type="paragraph">
    <w:name w:val="Subtitle"/>
    <w:basedOn w:val="Normal"/>
    <w:qFormat/>
    <w:pPr>
      <w:spacing w:after="120" w:before="480"/>
      <w:jc w:val="center"/>
    </w:pPr>
    <w:rPr>
      <w:color w:val="595959"/>
      <w:sz w:val="26"/>
      <w:szCs w:val="26"/>
    </w:rPr>
  </w:style>
  <w:style w:customStyle="1" w:styleId="Motion" w:type="paragraph">
    <w:name w:val="Motion"/>
    <w:basedOn w:val="Normal"/>
    <w:qFormat/>
    <w:pPr>
      <w:pBdr>
        <w:top w:color="2E74B5" w:space="10" w:sz="12" w:val="single"/>
        <w:bottom w:color="2E74B5" w:space="10" w:sz="12" w:val="single"/>
      </w:pBdr>
      <w:spacing w:after="720" w:before="120" w:line="300" w:lineRule="auto"/>
      <w:ind w:left="567" w:right="567"/>
      <w:jc w:val="center"/>
    </w:pPr>
    <w:rPr>
      <w:b/>
      <w:bCs/>
      <w:color w:val="1F3864"/>
      <w:sz w:val="36"/>
      <w:szCs w:val="36"/>
    </w:rPr>
  </w:style>
  <w:style w:customStyle="1" w:styleId="Meta" w:type="paragraph">
    <w:name w:val="Meta"/>
    <w:basedOn w:val="Normal"/>
    <w:qFormat/>
    <w:pPr>
      <w:spacing w:after="80" w:before="0"/>
      <w:jc w:val="center"/>
    </w:pPr>
    <w:rPr>
      <w:color w:val="404040"/>
      <w:sz w:val="24"/>
      <w:szCs w:val="24"/>
    </w:rPr>
  </w:style>
  <w:style w:styleId="Heading1" w:type="paragraph">
    <w:name w:val="heading 1"/>
    <w:basedOn w:val="Normal"/>
    <w:next w:val="BodyText"/>
    <w:uiPriority w:val="9"/>
    <w:qFormat/>
    <w:pPr>
      <w:keepNext/>
      <w:keepLines/>
      <w:pBdr>
        <w:bottom w:color="1F3864" w:space="4" w:sz="12" w:val="single"/>
      </w:pBdr>
      <w:spacing w:after="240" w:before="0"/>
      <w:outlineLvl w:val="0"/>
    </w:pPr>
    <w:rPr>
      <w:b/>
      <w:bCs/>
      <w:color w:val="1F3864"/>
      <w:sz w:val="40"/>
      <w:szCs w:val="40"/>
    </w:rPr>
  </w:style>
  <w:style w:styleId="Heading2" w:type="paragraph">
    <w:name w:val="heading 2"/>
    <w:basedOn w:val="Normal"/>
    <w:next w:val="BodyText"/>
    <w:uiPriority w:val="9"/>
    <w:qFormat/>
    <w:pPr>
      <w:keepNext/>
      <w:keepLines/>
      <w:spacing w:after="120" w:before="360"/>
      <w:outlineLvl w:val="1"/>
    </w:pPr>
    <w:rPr>
      <w:b/>
      <w:bCs/>
      <w:color w:val="1F3864"/>
      <w:sz w:val="30"/>
      <w:szCs w:val="30"/>
    </w:rPr>
  </w:style>
  <w:style w:styleId="Heading3" w:type="paragraph">
    <w:name w:val="heading 3"/>
    <w:basedOn w:val="Normal"/>
    <w:next w:val="BodyText"/>
    <w:uiPriority w:val="9"/>
    <w:qFormat/>
    <w:pPr>
      <w:keepNext/>
      <w:keepLines/>
      <w:spacing w:after="100" w:before="280"/>
      <w:outlineLvl w:val="2"/>
    </w:pPr>
    <w:rPr>
      <w:b/>
      <w:bCs/>
      <w:color w:val="2E74B5"/>
      <w:sz w:val="25"/>
      <w:szCs w:val="25"/>
    </w:rPr>
  </w:style>
  <w:style w:styleId="Heading4" w:type="paragraph">
    <w:name w:val="heading 4"/>
    <w:basedOn w:val="Normal"/>
    <w:next w:val="BodyText"/>
    <w:uiPriority w:val="9"/>
    <w:qFormat/>
    <w:pPr>
      <w:keepNext/>
      <w:keepLines/>
      <w:spacing w:after="60" w:before="220"/>
      <w:outlineLvl w:val="3"/>
    </w:pPr>
    <w:rPr>
      <w:b/>
      <w:bCs/>
      <w:i/>
      <w:iCs/>
      <w:color w:val="2E74B5"/>
      <w:sz w:val="22"/>
      <w:szCs w:val="22"/>
    </w:rPr>
  </w:style>
  <w:style w:styleId="Heading5" w:type="paragraph">
    <w:name w:val="heading 5"/>
    <w:basedOn w:val="Normal"/>
    <w:next w:val="BodyText"/>
    <w:qFormat/>
    <w:pPr>
      <w:keepNext/>
      <w:spacing w:after="40" w:before="160"/>
      <w:outlineLvl w:val="4"/>
    </w:pPr>
    <w:rPr>
      <w:b/>
      <w:bCs/>
      <w:color w:val="2E74B5"/>
    </w:rPr>
  </w:style>
  <w:style w:styleId="Heading6" w:type="paragraph">
    <w:name w:val="heading 6"/>
    <w:basedOn w:val="Normal"/>
    <w:next w:val="BodyText"/>
    <w:qFormat/>
    <w:pPr>
      <w:keepNext/>
      <w:spacing w:after="40" w:before="160"/>
      <w:outlineLvl w:val="5"/>
    </w:pPr>
    <w:rPr>
      <w:b/>
      <w:bCs/>
      <w:color w:val="2E74B5"/>
    </w:rPr>
  </w:style>
  <w:style w:styleId="Heading7" w:type="paragraph">
    <w:name w:val="heading 7"/>
    <w:basedOn w:val="Normal"/>
    <w:next w:val="BodyText"/>
    <w:qFormat/>
    <w:pPr>
      <w:keepNext/>
      <w:spacing w:after="40" w:before="160"/>
      <w:outlineLvl w:val="6"/>
    </w:pPr>
    <w:rPr>
      <w:b/>
      <w:bCs/>
      <w:color w:val="2E74B5"/>
    </w:rPr>
  </w:style>
  <w:style w:styleId="Heading8" w:type="paragraph">
    <w:name w:val="heading 8"/>
    <w:basedOn w:val="Normal"/>
    <w:next w:val="BodyText"/>
    <w:qFormat/>
    <w:pPr>
      <w:keepNext/>
      <w:spacing w:after="40" w:before="160"/>
      <w:outlineLvl w:val="7"/>
    </w:pPr>
    <w:rPr>
      <w:b/>
      <w:bCs/>
      <w:color w:val="2E74B5"/>
    </w:rPr>
  </w:style>
  <w:style w:styleId="Heading9" w:type="paragraph">
    <w:name w:val="heading 9"/>
    <w:basedOn w:val="Normal"/>
    <w:next w:val="BodyText"/>
    <w:qFormat/>
    <w:pPr>
      <w:keepNext/>
      <w:spacing w:after="40" w:before="160"/>
      <w:outlineLvl w:val="8"/>
    </w:pPr>
    <w:rPr>
      <w:b/>
      <w:bCs/>
      <w:color w:val="2E74B5"/>
    </w:rPr>
  </w:style>
  <w:style w:customStyle="1" w:styleId="TOCHeading" w:type="paragraph">
    <w:name w:val="TOC Heading"/>
    <w:basedOn w:val="Normal"/>
    <w:qFormat/>
    <w:pPr>
      <w:spacing w:after="240" w:before="0"/>
    </w:pPr>
    <w:rPr>
      <w:b/>
      <w:bCs/>
      <w:color w:val="1F3864"/>
      <w:sz w:val="40"/>
      <w:szCs w:val="40"/>
    </w:rPr>
  </w:style>
  <w:style w:styleId="TOC1" w:type="paragraph">
    <w:name w:val="toc 1"/>
    <w:basedOn w:val="Normal"/>
    <w:next w:val="Normal"/>
    <w:uiPriority w:val="39"/>
    <w:pPr>
      <w:tabs>
        <w:tab w:leader="dot" w:pos="9412" w:val="right"/>
      </w:tabs>
      <w:spacing w:after="40" w:before="160"/>
    </w:pPr>
    <w:rPr>
      <w:b/>
      <w:bCs/>
      <w:color w:val="1F3864"/>
      <w:sz w:val="22"/>
      <w:szCs w:val="22"/>
    </w:rPr>
  </w:style>
  <w:style w:styleId="TOC2" w:type="paragraph">
    <w:name w:val="toc 2"/>
    <w:basedOn w:val="Normal"/>
    <w:next w:val="Normal"/>
    <w:uiPriority w:val="39"/>
    <w:pPr>
      <w:tabs>
        <w:tab w:leader="dot" w:pos="9412" w:val="right"/>
      </w:tabs>
      <w:spacing w:after="20" w:before="0"/>
      <w:ind w:left="284"/>
    </w:pPr>
    <w:rPr>
      <w:sz w:val="21"/>
      <w:szCs w:val="21"/>
    </w:rPr>
  </w:style>
  <w:style w:styleId="TOC3" w:type="paragraph">
    <w:name w:val="toc 3"/>
    <w:basedOn w:val="Normal"/>
    <w:next w:val="Normal"/>
    <w:uiPriority w:val="39"/>
    <w:pPr>
      <w:tabs>
        <w:tab w:leader="dot" w:pos="9412" w:val="right"/>
      </w:tabs>
      <w:spacing w:after="0" w:before="0"/>
      <w:ind w:left="567"/>
    </w:pPr>
    <w:rPr>
      <w:color w:val="595959"/>
      <w:sz w:val="19"/>
      <w:szCs w:val="19"/>
    </w:rPr>
  </w:style>
  <w:style w:customStyle="1" w:styleId="Legend" w:type="paragraph">
    <w:name w:val="Legend"/>
    <w:basedOn w:val="Normal"/>
    <w:qFormat/>
    <w:pPr>
      <w:pBdr>
        <w:top w:color="BFBFBF" w:space="6" w:sz="4" w:val="single"/>
        <w:left w:color="BFBFBF" w:space="6" w:sz="4" w:val="single"/>
        <w:bottom w:color="BFBFBF" w:space="6" w:sz="4" w:val="single"/>
        <w:right w:color="BFBFBF" w:space="6" w:sz="4" w:val="single"/>
      </w:pBdr>
      <w:shd w:color="auto" w:fill="F2F2F2" w:val="clear"/>
      <w:spacing w:after="120" w:before="360" w:line="264" w:lineRule="auto"/>
      <w:ind w:left="142" w:right="142"/>
    </w:pPr>
    <w:rPr>
      <w:color w:val="404040"/>
      <w:sz w:val="18"/>
      <w:szCs w:val="18"/>
    </w:rPr>
  </w:style>
  <w:style w:customStyle="1" w:styleId="Speech" w:type="paragraph">
    <w:name w:val="Speech"/>
    <w:basedOn w:val="BodyText"/>
    <w:qFormat/>
    <w:pPr>
      <w:pBdr>
        <w:left w:color="2E74B5" w:space="8" w:sz="18" w:val="single"/>
      </w:pBdr>
      <w:shd w:color="auto" w:fill="F4F7FB" w:val="clear"/>
      <w:spacing w:after="140" w:before="0" w:line="288" w:lineRule="auto"/>
      <w:ind w:left="198"/>
    </w:pPr>
    <w:rPr>
      <w:sz w:val="22"/>
      <w:szCs w:val="22"/>
    </w:rPr>
  </w:style>
  <w:style w:customStyle="1" w:styleId="Quote" w:type="paragraph">
    <w:name w:val="Quote"/>
    <w:basedOn w:val="BodyText"/>
    <w:qFormat/>
    <w:pPr>
      <w:pBdr>
        <w:left w:color="A6A6A6" w:space="8" w:sz="12" w:val="single"/>
      </w:pBdr>
      <w:spacing w:after="160" w:before="60" w:line="276" w:lineRule="auto"/>
      <w:ind w:left="284" w:right="284"/>
    </w:pPr>
    <w:rPr>
      <w:i/>
      <w:iCs/>
      <w:color w:val="404040"/>
    </w:rPr>
  </w:style>
  <w:style w:customStyle="1" w:styleId="BlockText" w:type="paragraph">
    <w:name w:val="Block Text"/>
    <w:basedOn w:val="BodyText"/>
    <w:qFormat/>
    <w:pPr>
      <w:ind w:left="284"/>
    </w:pPr>
    <w:rPr>
      <w:i/>
      <w:iCs/>
      <w:color w:val="404040"/>
    </w:rPr>
  </w:style>
  <w:style w:customStyle="1" w:styleId="Hint" w:type="paragraph">
    <w:name w:val="Hint"/>
    <w:basedOn w:val="Normal"/>
    <w:qFormat/>
    <w:pPr>
      <w:spacing w:after="120" w:before="0"/>
    </w:pPr>
    <w:rPr>
      <w:i/>
      <w:iCs/>
      <w:color w:val="7F7F7F"/>
      <w:sz w:val="18"/>
      <w:szCs w:val="18"/>
    </w:rPr>
  </w:style>
  <w:style w:customStyle="1" w:styleId="HeadingNote" w:type="paragraph">
    <w:name w:val="HeadingNote"/>
    <w:basedOn w:val="Normal"/>
    <w:qFormat/>
    <w:pPr>
      <w:spacing w:after="160" w:before="0"/>
    </w:pPr>
    <w:rPr>
      <w:i/>
      <w:iCs/>
      <w:color w:val="7F7F7F"/>
      <w:sz w:val="19"/>
      <w:szCs w:val="19"/>
    </w:rPr>
  </w:style>
  <w:style w:customStyle="1" w:styleId="NavLink" w:type="paragraph">
    <w:name w:val="NavLink"/>
    <w:basedOn w:val="Normal"/>
    <w:qFormat/>
    <w:pPr>
      <w:spacing w:after="200" w:before="80"/>
    </w:pPr>
    <w:rPr>
      <w:sz w:val="20"/>
      <w:szCs w:val="20"/>
    </w:rPr>
  </w:style>
  <w:style w:customStyle="1" w:styleId="Glossary" w:type="paragraph">
    <w:name w:val="Glossary"/>
    <w:basedOn w:val="Normal"/>
    <w:qFormat/>
    <w:pPr>
      <w:spacing w:after="100" w:before="0" w:line="264" w:lineRule="auto"/>
      <w:ind w:hanging="227" w:left="227"/>
    </w:pPr>
    <w:rPr>
      <w:sz w:val="21"/>
      <w:szCs w:val="21"/>
    </w:rPr>
  </w:style>
  <w:style w:customStyle="1" w:styleId="CardField" w:type="paragraph">
    <w:name w:val="CardField"/>
    <w:basedOn w:val="Normal"/>
    <w:qFormat/>
    <w:pPr>
      <w:spacing w:after="50" w:before="0" w:line="252" w:lineRule="auto"/>
    </w:pPr>
    <w:rPr>
      <w:sz w:val="20"/>
      <w:szCs w:val="20"/>
    </w:rPr>
  </w:style>
  <w:style w:customStyle="1" w:styleId="CardCont" w:type="paragraph">
    <w:name w:val="CardCont"/>
    <w:basedOn w:val="CardField"/>
    <w:qFormat/>
    <w:pPr>
      <w:ind w:left="284"/>
    </w:pPr>
  </w:style>
  <w:style w:customStyle="1" w:styleId="CardList" w:type="paragraph">
    <w:name w:val="CardList"/>
    <w:basedOn w:val="CardField"/>
    <w:qFormat/>
    <w:pPr>
      <w:spacing w:after="30" w:before="0" w:line="252" w:lineRule="auto"/>
    </w:pPr>
  </w:style>
  <w:style w:customStyle="1" w:styleId="CardSub" w:type="paragraph">
    <w:name w:val="CardSub"/>
    <w:basedOn w:val="CardField"/>
    <w:qFormat/>
    <w:pPr/>
    <w:rPr>
      <w:i/>
      <w:iCs/>
      <w:color w:val="595959"/>
    </w:rPr>
  </w:style>
  <w:style w:customStyle="1" w:styleId="TableText" w:type="paragraph">
    <w:name w:val="TableText"/>
    <w:basedOn w:val="Normal"/>
    <w:qFormat/>
    <w:pPr>
      <w:spacing w:after="20" w:before="20" w:line="245" w:lineRule="auto"/>
    </w:pPr>
    <w:rPr>
      <w:sz w:val="19"/>
      <w:szCs w:val="19"/>
    </w:rPr>
  </w:style>
  <w:style w:customStyle="1" w:styleId="Caption" w:type="paragraph">
    <w:name w:val="Caption"/>
    <w:basedOn w:val="Normal"/>
    <w:qFormat/>
    <w:pPr>
      <w:spacing w:after="60" w:before="120"/>
    </w:pPr>
    <w:rPr>
      <w:b/>
      <w:bCs/>
      <w:color w:val="1F3864"/>
      <w:sz w:val="20"/>
      <w:szCs w:val="20"/>
    </w:rPr>
  </w:style>
  <w:style w:customStyle="1" w:styleId="TableCaption" w:type="paragraph">
    <w:name w:val="Table Caption"/>
    <w:basedOn w:val="Caption"/>
    <w:qFormat/>
    <w:pPr/>
  </w:style>
  <w:style w:customStyle="1" w:styleId="FootnoteText" w:type="paragraph">
    <w:name w:val="Footnote Text"/>
    <w:basedOn w:val="Normal"/>
    <w:qFormat/>
    <w:pPr/>
    <w:rPr>
      <w:sz w:val="18"/>
      <w:szCs w:val="18"/>
    </w:rPr>
  </w:style>
  <w:style w:default="1" w:styleId="DefaultParagraphFont" w:type="character">
    <w:name w:val="Default Paragraph Font"/>
    <w:uiPriority w:val="1"/>
    <w:semiHidden/>
    <w:unhideWhenUsed/>
  </w:style>
  <w:style w:customStyle="1" w:styleId="Hyperlink" w:type="character">
    <w:name w:val="Hyperlink"/>
    <w:basedOn w:val="DefaultParagraphFont"/>
    <w:qFormat/>
    <w:rPr>
      <w:color w:val="1F5AA6"/>
      <w:u w:val="single"/>
    </w:rPr>
  </w:style>
  <w:style w:customStyle="1" w:styleId="SourceLink" w:type="character">
    <w:name w:val="SourceLink"/>
    <w:basedOn w:val="DefaultParagraphFont"/>
    <w:qFormat/>
    <w:rPr>
      <w:color w:val="1F5AA6"/>
    </w:rPr>
  </w:style>
  <w:style w:customStyle="1" w:styleId="GlossaryLink" w:type="character">
    <w:name w:val="GlossaryLink"/>
    <w:basedOn w:val="DefaultParagraphFont"/>
    <w:qFormat/>
    <w:rPr>
      <w:u w:color="2E74B5" w:val="dotted"/>
    </w:rPr>
  </w:style>
  <w:style w:customStyle="1" w:styleId="NavLinkChar" w:type="character">
    <w:name w:val="NavLinkChar"/>
    <w:basedOn w:val="DefaultParagraphFont"/>
    <w:qFormat/>
    <w:rPr>
      <w:b/>
      <w:bCs/>
      <w:color w:val="2E74B5"/>
    </w:rPr>
  </w:style>
  <w:style w:customStyle="1" w:styleId="Optional" w:type="character">
    <w:name w:val="Optional"/>
    <w:basedOn w:val="DefaultParagraphFont"/>
    <w:qFormat/>
    <w:rPr>
      <w:color w:val="8C8C8C"/>
    </w:rPr>
  </w:style>
  <w:style w:customStyle="1" w:styleId="VerbatimChar" w:type="character">
    <w:name w:val="Verbatim Char"/>
    <w:basedOn w:val="DefaultParagraphFont"/>
    <w:qFormat/>
    <w:rPr>
      <w:rFonts w:ascii="Consolas" w:cs="Consolas" w:eastAsia="Consolas" w:hAnsi="Consolas"/>
      <w:sz w:val="20"/>
      <w:szCs w:val="20"/>
    </w:rPr>
  </w:style>
  <w:style w:customStyle="1" w:styleId="FootnoteReference" w:type="character">
    <w:name w:val="Footnote Reference"/>
    <w:basedOn w:val="DefaultParagraphFont"/>
    <w:qFormat/>
    <w:rPr>
      <w:vertAlign w:val="superscript"/>
    </w:rPr>
  </w:style>
  <w:style w:customStyle="1" w:styleId="BodyTextChar" w:type="character">
    <w:name w:val="Body Text Char"/>
    <w:basedOn w:val="DefaultParagraphFont"/>
    <w:qFormat/>
  </w:style>
  <w:style w:customStyle="1" w:styleId="SectionNumber" w:type="character">
    <w:name w:val="Section Number"/>
    <w:basedOn w:val="DefaultParagraphFont"/>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customStyle="1" w:styleId="Table" w:type="table">
    <w:name w:val="Table"/>
    <w:basedOn w:val="TableNormal"/>
    <w:qFormat/>
    <w:pPr>
      <w:spacing w:after="40" w:before="40" w:line="252" w:lineRule="auto"/>
    </w:pPr>
    <w:rPr>
      <w:sz w:val="19"/>
      <w:szCs w:val="19"/>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left w:type="dxa" w:w="100"/>
        <w:bottom w:type="dxa" w:w="60"/>
        <w:right w:type="dxa" w:w="100"/>
      </w:tblCellMar>
    </w:tblPr>
    <w:tblStylePr w:type="firstRow">
      <w:rPr>
        <w:b/>
        <w:bCs/>
        <w:color w:val="1F3864"/>
      </w:rPr>
      <w:tcPr>
        <w:shd w:color="auto" w:fill="DCE6F2"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http://g42.ai" TargetMode="External" /><Relationship Type="http://schemas.openxmlformats.org/officeDocument/2006/relationships/hyperlink" Id="rId133" Target="http://openai.com" TargetMode="External" /><Relationship Type="http://schemas.openxmlformats.org/officeDocument/2006/relationships/hyperlink" Id="rId134" Target="http://thenationalnews.com" TargetMode="External" /><Relationship Type="http://schemas.openxmlformats.org/officeDocument/2006/relationships/hyperlink" Id="rId400" Target="https://about.bnef.com/insights/clean-energy/corporate-clean-energy-buying-fell-in-2025-after-nearly-a-decade-of-growth/" TargetMode="External" /><Relationship Type="http://schemas.openxmlformats.org/officeDocument/2006/relationships/hyperlink" Id="rId297" Target="https://about.fb.com/news/2025/11/metas-30th-data-center-delivering-ai-supporting-wetlands-restoration/" TargetMode="External" /><Relationship Type="http://schemas.openxmlformats.org/officeDocument/2006/relationships/hyperlink" Id="rId330" Target="https://ans.org/news/article-6937/ferc-denies-talen-amazon-agreementagain" TargetMode="External" /><Relationship Type="http://schemas.openxmlformats.org/officeDocument/2006/relationships/hyperlink" Id="rId145" Target="https://artificialanalysis.ai/about" TargetMode="External" /><Relationship Type="http://schemas.openxmlformats.org/officeDocument/2006/relationships/hyperlink" Id="rId143" Target="https://artificialanalysis.ai/leaderboards/models" TargetMode="External" /><Relationship Type="http://schemas.openxmlformats.org/officeDocument/2006/relationships/hyperlink" Id="rId144" Target="https://artificialanalysis.ai/methodology/intelligence-benchmarking" TargetMode="External" /><Relationship Type="http://schemas.openxmlformats.org/officeDocument/2006/relationships/hyperlink" Id="rId266" Target="https://arxiv.org/html/2412.06288v2" TargetMode="External" /><Relationship Type="http://schemas.openxmlformats.org/officeDocument/2006/relationships/hyperlink" Id="rId221" Target="https://atlantatribune.com/2026/07/16/data-center-in-fayetteville-investigated-for-water-usage/" TargetMode="External" /><Relationship Type="http://schemas.openxmlformats.org/officeDocument/2006/relationships/hyperlink" Id="rId271" Target="https://azluminaria.org/2025/08/06/tucson-city-council-rejects-project-blue-amid-intense-community-pressure/" TargetMode="External" /><Relationship Type="http://schemas.openxmlformats.org/officeDocument/2006/relationships/hyperlink" Id="rId462" Target="https://businessfacilities.com/meta-will-invest-over-50b-to-expand-north-louisiana-data-center-campus/" TargetMode="External" /><Relationship Type="http://schemas.openxmlformats.org/officeDocument/2006/relationships/hyperlink" Id="rId459" Target="https://capitol-beat.org/2026/01/error-in-state-auditors-data-center-review-inflated-job-production-and-economic-value/" TargetMode="External" /><Relationship Type="http://schemas.openxmlformats.org/officeDocument/2006/relationships/hyperlink" Id="rId293" Target="https://cardinalnews.org/2026/06/19/a-state-study-found-that-data-center-tax-break-was-virginias-2nd-best-incentive-producing-6-1-of-labor-income-for-every-1-in-exemptions/" TargetMode="External" /><Relationship Type="http://schemas.openxmlformats.org/officeDocument/2006/relationships/hyperlink" Id="rId373" Target="https://cleanview.co/reports/behind-the-meter-data-centers" TargetMode="External" /><Relationship Type="http://schemas.openxmlformats.org/officeDocument/2006/relationships/hyperlink" Id="rId431" Target="https://conduitstreet.mdcounties.org/2026/07/21/data-center-demand-drives-higher-pjm-capacity-costs/" TargetMode="External" /><Relationship Type="http://schemas.openxmlformats.org/officeDocument/2006/relationships/hyperlink" Id="rId440" Target="https://content.govdelivery.com/accounts/MDOPC/bulletins/415c9b6" TargetMode="External" /><Relationship Type="http://schemas.openxmlformats.org/officeDocument/2006/relationships/hyperlink" Id="rId247" Target="https://datacenterdynamics.com/en/news/virginia-narrowly-avoided-power-cuts-when-60-data-centers-dropped-off-the-grid-at-once" TargetMode="External" /><Relationship Type="http://schemas.openxmlformats.org/officeDocument/2006/relationships/hyperlink" Id="rId186" Target="https://datacenterwatch.org/q1-2026" TargetMode="External" /><Relationship Type="http://schemas.openxmlformats.org/officeDocument/2006/relationships/hyperlink" Id="rId167" Target="https://eelp.law.harvard.edu/extracting-profits-from-the-public-how-utility-ratepayers-are-paying-for-big-techs-power/" TargetMode="External" /><Relationship Type="http://schemas.openxmlformats.org/officeDocument/2006/relationships/hyperlink" Id="rId312" Target="https://ember-energy.org/countries-and-regions/malaysia" TargetMode="External" /><Relationship Type="http://schemas.openxmlformats.org/officeDocument/2006/relationships/hyperlink" Id="rId311" Target="https://ember-energy.org/countries-and-regions/united-arab-emirates/" TargetMode="External" /><Relationship Type="http://schemas.openxmlformats.org/officeDocument/2006/relationships/hyperlink" Id="rId310" Target="https://ember-energy.org/countries-and-regions/united-states-of-america/" TargetMode="External" /><Relationship Type="http://schemas.openxmlformats.org/officeDocument/2006/relationships/hyperlink" Id="rId356" Target="https://en.wikipedia.org/wiki/American_Electric_Power" TargetMode="External" /><Relationship Type="http://schemas.openxmlformats.org/officeDocument/2006/relationships/hyperlink" Id="rId157" Target="https://eta.lbl.gov/publications/united-states-data-center-energy-2025" TargetMode="External" /><Relationship Type="http://schemas.openxmlformats.org/officeDocument/2006/relationships/hyperlink" Id="rId387" Target="https://ferc.gov/reliability-explainer" TargetMode="External" /><Relationship Type="http://schemas.openxmlformats.org/officeDocument/2006/relationships/hyperlink" Id="rId390" Target="https://floodlightnews.org/about-floodlight/" TargetMode="External" /><Relationship Type="http://schemas.openxmlformats.org/officeDocument/2006/relationships/hyperlink" Id="rId389" Target="https://floodlightnews.org/new-jersey-data-center-federal-violation/" TargetMode="External" /><Relationship Type="http://schemas.openxmlformats.org/officeDocument/2006/relationships/hyperlink" Id="rId282" Target="https://fortune.com/2025/08/19/wall-street-ai-bubble-sam-altman" TargetMode="External" /><Relationship Type="http://schemas.openxmlformats.org/officeDocument/2006/relationships/hyperlink" Id="rId220" Target="https://fortune.com/2026/05/13/data-center-georgia-arizona-water-wars/" TargetMode="External" /><Relationship Type="http://schemas.openxmlformats.org/officeDocument/2006/relationships/hyperlink" Id="rId419" Target="https://fortune.com/2026/07/09/microsoft-carbon-emissions-2025-data-centers/" TargetMode="External" /><Relationship Type="http://schemas.openxmlformats.org/officeDocument/2006/relationships/hyperlink" Id="rId412" Target="https://gao.gov/assets/gao-12-797.pdf" TargetMode="External" /><Relationship Type="http://schemas.openxmlformats.org/officeDocument/2006/relationships/hyperlink" Id="rId260" Target="https://globalenergymonitor.org/press-release/betting-big-on-data-centers-u-s-now-leads-world-for-new-gas-power-development/" TargetMode="External" /><Relationship Type="http://schemas.openxmlformats.org/officeDocument/2006/relationships/hyperlink" Id="rId288" Target="https://goodjobsfirst.org/cloudy-data-costly-deals-how-poorly-states-disclose-data-center-subsidies/" TargetMode="External" /><Relationship Type="http://schemas.openxmlformats.org/officeDocument/2006/relationships/hyperlink" Id="rId287" Target="https://goodjobsfirst.org/cloudy-with-a-loss-of-spending-control-how-data-centers-are-endangering-state-budgets/" TargetMode="External" /><Relationship Type="http://schemas.openxmlformats.org/officeDocument/2006/relationships/hyperlink" Id="rId289" Target="https://goodjobsfirst.org/even-cloudier-with-a-greater-loss-of-spending-control-how-data-center-tax-abatements-undermine-public-budgets/" TargetMode="External" /><Relationship Type="http://schemas.openxmlformats.org/officeDocument/2006/relationships/hyperlink" Id="rId383" Target="https://gridstrategiesllc.com/review-of-nercs-2025-ltra/" TargetMode="External" /><Relationship Type="http://schemas.openxmlformats.org/officeDocument/2006/relationships/hyperlink" Id="rId319" Target="https://hai.stanford.edu/ai-index" TargetMode="External" /><Relationship Type="http://schemas.openxmlformats.org/officeDocument/2006/relationships/hyperlink" Id="rId153" Target="https://hai.stanford.edu/ai-index/2026-ai-index-report/economy" TargetMode="External" /><Relationship Type="http://schemas.openxmlformats.org/officeDocument/2006/relationships/hyperlink" Id="rId478" Target="https://hai.stanford.edu/ai-index/2026-ai-index-report/technical-performance" TargetMode="External" /><Relationship Type="http://schemas.openxmlformats.org/officeDocument/2006/relationships/hyperlink" Id="rId155" Target="https://hai.stanford.edu/assets/files/ai_index_report_2026.pdf" TargetMode="External" /><Relationship Type="http://schemas.openxmlformats.org/officeDocument/2006/relationships/hyperlink" Id="rId154" Target="https://hai.stanford.edu/assets/files/ai_index_report_2026_chapter_4_economy.pdf" TargetMode="External" /><Relationship Type="http://schemas.openxmlformats.org/officeDocument/2006/relationships/hyperlink" Id="rId269" Target="https://harcresearch.org/news/texas-data-center-boom-could-consume-up-to-161-billion-gallons-of-water-annually-by-2030/" TargetMode="External" /><Relationship Type="http://schemas.openxmlformats.org/officeDocument/2006/relationships/hyperlink" Id="rId151" Target="https://id.digitaledgedc.com/data-center/what-is-a-hyperscale-data-center-and-what-are-the-advantages" TargetMode="External" /><Relationship Type="http://schemas.openxmlformats.org/officeDocument/2006/relationships/hyperlink" Id="rId159" Target="https://iea.blob.core.windows.net/assets/de9dea13-b07d-42c5-a398-d1b3ae17d866/EnergyandAI.pdf" TargetMode="External" /><Relationship Type="http://schemas.openxmlformats.org/officeDocument/2006/relationships/hyperlink" Id="rId398" Target="https://ieaghg.org/insights/ipcc-synthesis-report-of-the-6th-assessment-cycle-2023-07/" TargetMode="External" /><Relationship Type="http://schemas.openxmlformats.org/officeDocument/2006/relationships/hyperlink" Id="rId327" Target="https://insideclimatenews.org/news/03062025/meta-constellation-nuclear-power-deal/" TargetMode="External" /><Relationship Type="http://schemas.openxmlformats.org/officeDocument/2006/relationships/hyperlink" Id="rId415" Target="https://insideclimatenews.org/news/10052026/plant-vogtle-nuclear-debate-two-years-after-completion/" TargetMode="External" /><Relationship Type="http://schemas.openxmlformats.org/officeDocument/2006/relationships/hyperlink" Id="rId441" Target="https://insideclimatenews.org/news/30062026/ferc-order-data-center-grid-costs/" TargetMode="External" /><Relationship Type="http://schemas.openxmlformats.org/officeDocument/2006/relationships/hyperlink" Id="rId161" Target="https://insidelines.pjm.com/pjm-capacity-auction-procures-138318-mw-of-generation-resources-as-work-continues-to-address-growing-electricity-demand/" TargetMode="External" /><Relationship Type="http://schemas.openxmlformats.org/officeDocument/2006/relationships/hyperlink" Id="rId380" Target="https://insidelines.pjm.com/pjm-chooses-51-generation-resource-projects-to-address-near-term-electricity-demand-growth/" TargetMode="External" /><Relationship Type="http://schemas.openxmlformats.org/officeDocument/2006/relationships/hyperlink" Id="rId314" Target="https://intelligence.uptimeinstitute.com/resource/uptime-institute-global-data-center-survey-2025" TargetMode="External" /><Relationship Type="http://schemas.openxmlformats.org/officeDocument/2006/relationships/hyperlink" Id="rId392" Target="https://jjkellercompliancenetwork.com/regsense/40-cfr-51-appendix-s-appendix-s-to-part-51-emission-offset-interpretative-ruling" TargetMode="External" /><Relationship Type="http://schemas.openxmlformats.org/officeDocument/2006/relationships/hyperlink" Id="rId292" Target="https://jlarc.virginia.gov/pdfs/reports/Rpt598-2.pdf" TargetMode="External" /><Relationship Type="http://schemas.openxmlformats.org/officeDocument/2006/relationships/hyperlink" Id="rId224" Target="https://kfgo.com/2026/06/09/musks-xai-spacex-hit-with-class-action-over-data-center-nuisance/" TargetMode="External" /><Relationship Type="http://schemas.openxmlformats.org/officeDocument/2006/relationships/hyperlink" Id="rId189" Target="https://kleinmanenergy.upenn.edu/commentary/blog/ratepayer-protection-pledge-the-white-houses-attempt-to-shield-customers-from-rising-electricity-prices-caused-by-data-center-expansion/" TargetMode="External" /><Relationship Type="http://schemas.openxmlformats.org/officeDocument/2006/relationships/hyperlink" Id="rId397" Target="https://knowledge4policy.ec.europa.eu/publication/ar6-synthesis-report-climate-change-2023_en" TargetMode="External" /><Relationship Type="http://schemas.openxmlformats.org/officeDocument/2006/relationships/hyperlink" Id="rId474" Target="https://leg.wa.gov/jlarc/taxReports/2016/DataCenterEquipment/f/default.htm" TargetMode="External" /><Relationship Type="http://schemas.openxmlformats.org/officeDocument/2006/relationships/hyperlink" Id="rId267" Target="https://lindecenter.caltech.edu/news/air-pollution-and-the-public-health-costs-of-ai" TargetMode="External" /><Relationship Type="http://schemas.openxmlformats.org/officeDocument/2006/relationships/hyperlink" Id="rId325" Target="https://marylandmatters.org/2026/07/30/repub/concern-persists-as-former-three-mile-island-nuclear-plant-progresses-toward-2027-restart/" TargetMode="External" /><Relationship Type="http://schemas.openxmlformats.org/officeDocument/2006/relationships/hyperlink" Id="rId432" Target="https://mgrid.org/2026/07/23/data-centers-drove-6-3-billion-of-pjms-latest-capacity-auction-cost-market-monitor-says/" TargetMode="External" /><Relationship Type="http://schemas.openxmlformats.org/officeDocument/2006/relationships/hyperlink" Id="rId469" Target="https://mgrid.org/2026/09/16/loudoun-county-voted-7-1-1-to-draft-a-data-center-pause-not-to-start-one/" TargetMode="External" /><Relationship Type="http://schemas.openxmlformats.org/officeDocument/2006/relationships/hyperlink" Id="rId246" Target="https://nerc.com/pa/rrm/ea/Documents/Incident_Review_Large_Load_Loss.pdf" TargetMode="External" /><Relationship Type="http://schemas.openxmlformats.org/officeDocument/2006/relationships/hyperlink" Id="rId203" Target="https://newjerseymonitor.com/2026/08/27/data-centers-water-energy-use-law/" TargetMode="External" /><Relationship Type="http://schemas.openxmlformats.org/officeDocument/2006/relationships/hyperlink" Id="rId280" Target="https://newprojectmedia.com/policy-aep-ohio-touts-right-sized-load-as-data-center-pipeline-shrinks-further-under-new-tariff/" TargetMode="External" /><Relationship Type="http://schemas.openxmlformats.org/officeDocument/2006/relationships/hyperlink" Id="rId184" Target="https://news.gallup.com/poll/709772/americans-oppose-data-centers-area.aspx" TargetMode="External" /><Relationship Type="http://schemas.openxmlformats.org/officeDocument/2006/relationships/hyperlink" Id="rId215" Target="https://newsletter.semianalysis.com/p/everyone-says-datacenter-moratoriums" TargetMode="External" /><Relationship Type="http://schemas.openxmlformats.org/officeDocument/2006/relationships/hyperlink" Id="rId255" Target="https://nicholasinstitute.duke.edu/sites/default/files/publications/rethinking-load-growth.pdf" TargetMode="External" /><Relationship Type="http://schemas.openxmlformats.org/officeDocument/2006/relationships/hyperlink" Id="rId345" Target="https://njbiz.com/vineland-dataone-data-center-fine/" TargetMode="External" /><Relationship Type="http://schemas.openxmlformats.org/officeDocument/2006/relationships/hyperlink" Id="rId349" Target="https://northernvirginiamag.com/news/2026/07/21/sterling-resident-says-data-centers-generators-produced-excessive-noise-pollution/" TargetMode="External" /><Relationship Type="http://schemas.openxmlformats.org/officeDocument/2006/relationships/hyperlink" Id="rId447" Target="https://oilprice.com/Latest-Energy-News/World-News/China-Added-543-Gigawatts-in-New-Power-Capacity-in-2025.html" TargetMode="External" /><Relationship Type="http://schemas.openxmlformats.org/officeDocument/2006/relationships/hyperlink" Id="rId138" Target="https://ourworldindata.org/grapher/electricity-mix?source=fossil&amp;metric=share_of_generation&amp;frequency=annual" TargetMode="External" /><Relationship Type="http://schemas.openxmlformats.org/officeDocument/2006/relationships/hyperlink" Id="rId139" Target="https://ourworldindata.org/grapher/electricity-mix?source=fossil&amp;metric=share_of_generation&amp;frequency=annual#sources-and-processing" TargetMode="External" /><Relationship Type="http://schemas.openxmlformats.org/officeDocument/2006/relationships/hyperlink" Id="rId359" Target="https://penncapital-star.com/economy/grid-operator-pjm-agrees-to-extension-of-wholesale-electricity-price-cap/" TargetMode="External" /><Relationship Type="http://schemas.openxmlformats.org/officeDocument/2006/relationships/hyperlink" Id="rId277" Target="https://redmondmag.com/articles/2024/12/09/microsoft-rolls-out--water-saving-datacenter-design.aspx" TargetMode="External" /><Relationship Type="http://schemas.openxmlformats.org/officeDocument/2006/relationships/hyperlink" Id="rId393" Target="https://regulations.vlex.com/vid/quality-promulgation-various-jersey-22633075" TargetMode="External" /><Relationship Type="http://schemas.openxmlformats.org/officeDocument/2006/relationships/hyperlink" Id="rId454" Target="https://rga.lis.virginia.gov/Published/2026/RD33" TargetMode="External" /><Relationship Type="http://schemas.openxmlformats.org/officeDocument/2006/relationships/hyperlink" Id="rId264" Target="https://san.com/cc/meta-fights-order-to-disclose-job-power-figures-for-50b-louisiana-data-center/" TargetMode="External" /><Relationship Type="http://schemas.openxmlformats.org/officeDocument/2006/relationships/hyperlink" Id="rId299" Target="https://spectrumnews1.com/wi/milwaukee/news/2025/11/12/meta--ai-data-center--beaver-dam--dodge-county-" TargetMode="External" /><Relationship Type="http://schemas.openxmlformats.org/officeDocument/2006/relationships/hyperlink" Id="rId290" Target="https://stateline.org/2026/04/15/many-states-dont-report-losses-from-data-center-tax-breaks-study-says/" TargetMode="External" /><Relationship Type="http://schemas.openxmlformats.org/officeDocument/2006/relationships/hyperlink" Id="rId207" Target="https://supreme.justia.com/cases/federal/us/535/302/case.pdf" TargetMode="External" /><Relationship Type="http://schemas.openxmlformats.org/officeDocument/2006/relationships/hyperlink" Id="rId426" Target="https://sustainability.google/google-2026-environmental-report/" TargetMode="External" /><Relationship Type="http://schemas.openxmlformats.org/officeDocument/2006/relationships/hyperlink" Id="rId141" Target="https://techcrunch.com/2025/02/27/openai-ceo-sam-altman-says-the-company-is-out-of-gpus/" TargetMode="External" /><Relationship Type="http://schemas.openxmlformats.org/officeDocument/2006/relationships/hyperlink" Id="rId406" Target="https://techcrunch.com/2025/06/25/air-quality-tests-around-xais-memphis-data-center-raise-questions" TargetMode="External" /><Relationship Type="http://schemas.openxmlformats.org/officeDocument/2006/relationships/hyperlink" Id="rId458" Target="https://theaugustapress.com/report-30-of-georgias-data-centers-traced-to-2018-tax-break/" TargetMode="External" /><Relationship Type="http://schemas.openxmlformats.org/officeDocument/2006/relationships/hyperlink" Id="rId457" Target="https://thecurrentga.org/2026/01/15/revised-audit-reveals-georgia-data-centers-economic-impact-overstated/" TargetMode="External" /><Relationship Type="http://schemas.openxmlformats.org/officeDocument/2006/relationships/hyperlink" Id="rId298" Target="https://urbanmilwaukee.com/pressrelease/meta-state-and-local-officials-announce-1-billion-data-center-investment-in-beaver-dam-project/" TargetMode="External" /><Relationship Type="http://schemas.openxmlformats.org/officeDocument/2006/relationships/hyperlink" Id="rId242" Target="https://usea.org/node/2836" TargetMode="External" /><Relationship Type="http://schemas.openxmlformats.org/officeDocument/2006/relationships/hyperlink" Id="rId136" Target="https://w.media/johor-from-10mw-to-1500mw-in-three-years/" TargetMode="External" /><Relationship Type="http://schemas.openxmlformats.org/officeDocument/2006/relationships/hyperlink" Id="rId346" Target="https://whyy.org/articles/vineland-new-jersey-data-center-gas-generators-permit/" TargetMode="External" /><Relationship Type="http://schemas.openxmlformats.org/officeDocument/2006/relationships/hyperlink" Id="rId371" Target="https://worldoil.com/news/2026/6/22/chevron-signs-20-year-microsoft-power-deal-for-west-texas-ai-project/" TargetMode="External" /><Relationship Type="http://schemas.openxmlformats.org/officeDocument/2006/relationships/hyperlink" Id="rId464" Target="https://www.1012industryreport.com/?p=129541" TargetMode="External" /><Relationship Type="http://schemas.openxmlformats.org/officeDocument/2006/relationships/hyperlink" Id="rId368" Target="https://www.aceee.org/sites/default/files/pdfs/ACEEE-01%20Energy%20Burden%20-%20National.pdf" TargetMode="External" /><Relationship Type="http://schemas.openxmlformats.org/officeDocument/2006/relationships/hyperlink" Id="rId407" Target="https://www.actionnews5.com/2026/05/22/environmental-groups-present-data-air-quality-around-xai-southwest-memphis/" TargetMode="External" /><Relationship Type="http://schemas.openxmlformats.org/officeDocument/2006/relationships/hyperlink" Id="rId353" Target="https://www.afslaw.com/perspectives/alerts/state-regulation-data-centers-2026-shifting-landscape" TargetMode="External" /><Relationship Type="http://schemas.openxmlformats.org/officeDocument/2006/relationships/hyperlink" Id="rId308" Target="https://www.agc.org/sites/default/files/users/user21902/Construction%20Spending%20July%202026.pdf" TargetMode="External" /><Relationship Type="http://schemas.openxmlformats.org/officeDocument/2006/relationships/hyperlink" Id="rId172" Target="https://www.ajc.com/news/2026/09/georgia-families-sue-meta-accuse-its-data-center-of-tainting-their-water/" TargetMode="External" /><Relationship Type="http://schemas.openxmlformats.org/officeDocument/2006/relationships/hyperlink" Id="rId194" Target="https://www.akingump.com/en/insights/blogs/speaking-energy/ferc-issues-landmark-show-cause-orders-on-large-load-interconnection" TargetMode="External" /><Relationship Type="http://schemas.openxmlformats.org/officeDocument/2006/relationships/hyperlink" Id="rId218" Target="https://www.axios.com/2026/03/25/sanders-aoc-data-center-moratorium-bill" TargetMode="External" /><Relationship Type="http://schemas.openxmlformats.org/officeDocument/2006/relationships/hyperlink" Id="rId427" Target="https://www.axios.com/2026/06/03/google-pushes-water-standards-data-center-backlash" TargetMode="External" /><Relationship Type="http://schemas.openxmlformats.org/officeDocument/2006/relationships/hyperlink" Id="rId285" Target="https://www.bloomberg.com/news/articles/2025-03-26/microsoft-abandons-more-data-center-projects-td-cowen-says" TargetMode="External" /><Relationship Type="http://schemas.openxmlformats.org/officeDocument/2006/relationships/hyperlink" Id="rId181" Target="https://www.bloomberg.com/news/articles/2026-05-14/data-centers-drive-76-rise-in-power-bills-on-largest-us-grid" TargetMode="External" /><Relationship Type="http://schemas.openxmlformats.org/officeDocument/2006/relationships/hyperlink" Id="rId376" Target="https://www.bloomenergy.com/news/data-centers-plan-to-reduce-reliance-on-grid-finds-bloom-energys-2026-power-report/" TargetMode="External" /><Relationship Type="http://schemas.openxmlformats.org/officeDocument/2006/relationships/hyperlink" Id="rId300" Target="https://www.businessnorth.com/kuws_wisconsin_public_radio/meta-to-invest-more-than-1b-in-wisconsin-data-center-campus/article_61afe313-ac98-4740-a426-098806b0d62a.html" TargetMode="External" /><Relationship Type="http://schemas.openxmlformats.org/officeDocument/2006/relationships/hyperlink" Id="rId335" Target="https://www.cato.org/blog/turning-local-issue-federal-headache-problem-data-center-moratoriums" TargetMode="External" /><Relationship Type="http://schemas.openxmlformats.org/officeDocument/2006/relationships/hyperlink" Id="rId173" Target="https://www.cbsnews.com/atlanta/news/aoc-presses-epa-over-morgan-county-drinking-water-concerns-tied-to-georgia-data-center-development/" TargetMode="External" /><Relationship Type="http://schemas.openxmlformats.org/officeDocument/2006/relationships/hyperlink" Id="rId228" Target="https://www.cbsnews.com/news/elon-musk-data-centers-mississippi-family/" TargetMode="External" /><Relationship Type="http://schemas.openxmlformats.org/officeDocument/2006/relationships/hyperlink" Id="rId226" Target="https://www.cbsnews.com/news/mississippi-elon-musk-xai-data-center-power-plant-noise/" TargetMode="External" /><Relationship Type="http://schemas.openxmlformats.org/officeDocument/2006/relationships/hyperlink" Id="rId196" Target="https://www.cnbc.com/2026/01/16/musks-xai-faces-tougher-road-expanding-memphis-area-after-epa-update.html" TargetMode="External" /><Relationship Type="http://schemas.openxmlformats.org/officeDocument/2006/relationships/hyperlink" Id="rId179" Target="https://www.cnn.com/2025/05/19/climate/xai-musk-memphis-turbines-pollution" TargetMode="External" /><Relationship Type="http://schemas.openxmlformats.org/officeDocument/2006/relationships/hyperlink" Id="rId340" Target="https://www.cru.ie/about-us/news/the-cru-publishes-its-decision-on-new-electricity-connection-policy-for-data-centres/" TargetMode="External" /><Relationship Type="http://schemas.openxmlformats.org/officeDocument/2006/relationships/hyperlink" Id="rId233" Target="https://www.datacenterdynamics.com/en/news/elon-musks-xai-buys-one-million-sq-ft-site-for-second-memphis-data-center/" TargetMode="External" /><Relationship Type="http://schemas.openxmlformats.org/officeDocument/2006/relationships/hyperlink" Id="rId428" Target="https://www.datacenterdynamics.com/en/news/googles-electricity-use-grew-37-percent-in-2025-largest-annual-rise-to-date/" TargetMode="External" /><Relationship Type="http://schemas.openxmlformats.org/officeDocument/2006/relationships/hyperlink" Id="rId209" Target="https://www.datacenterdynamics.com/en/news/singapore-authorities-invite-applications-for-new-data-centers/" TargetMode="External" /><Relationship Type="http://schemas.openxmlformats.org/officeDocument/2006/relationships/hyperlink" Id="rId295" Target="https://www.datacenterdynamics.com/en/news/virginia-missed-more-than-16bn-in-tax-revenue-due-to-data-center-exemptions-in-2025/" TargetMode="External" /><Relationship Type="http://schemas.openxmlformats.org/officeDocument/2006/relationships/hyperlink" Id="rId468" Target="https://www.datacenterdynamics.com/en/news/virginias-loudoun-county-board-votes-to-pause-new-data-center-applications/" TargetMode="External" /><Relationship Type="http://schemas.openxmlformats.org/officeDocument/2006/relationships/hyperlink" Id="rId273" Target="https://www.datacenterdynamics.com/en/news/we-now-know-how-much-water-googles-oregon-data-centers-use-after-city-drops-lawsuit-against-journalists/" TargetMode="External" /><Relationship Type="http://schemas.openxmlformats.org/officeDocument/2006/relationships/hyperlink" Id="rId231" Target="https://www.datacenterdynamics.com/en/news/xai-colossus-memphis-power-tva/" TargetMode="External" /><Relationship Type="http://schemas.openxmlformats.org/officeDocument/2006/relationships/hyperlink" Id="rId276" Target="https://www.datacenterknowledge.com/build-design/microsoft-unveils-zero-water-data-centers-to-reduce-ai-climate-impact" TargetMode="External" /><Relationship Type="http://schemas.openxmlformats.org/officeDocument/2006/relationships/hyperlink" Id="rId315" Target="https://www.datacenters.google/efficiency" TargetMode="External" /><Relationship Type="http://schemas.openxmlformats.org/officeDocument/2006/relationships/hyperlink" Id="rId191" Target="https://www.eei.org/-/media/Project/EEI/Documents/Issues%20and%20Policy/List%20of%20Large%20Customer%20Projects%20and%20Tariffs" TargetMode="External" /><Relationship Type="http://schemas.openxmlformats.org/officeDocument/2006/relationships/hyperlink" Id="rId370" Target="https://www.eenews.net/articles/chevron-inks-deal-to-power-microsoft-data-center-in-texas/" TargetMode="External" /><Relationship Type="http://schemas.openxmlformats.org/officeDocument/2006/relationships/hyperlink" Id="rId182" Target="https://www.eenews.net/articles/data-centers-drive-76-surge-in-pjm-power-prices/" TargetMode="External" /><Relationship Type="http://schemas.openxmlformats.org/officeDocument/2006/relationships/hyperlink" Id="rId175" Target="https://www.eenews.net/articles/elon-musks-xai-in-memphis-35-gas-turbines-no-air-pollution-permits/" TargetMode="External" /><Relationship Type="http://schemas.openxmlformats.org/officeDocument/2006/relationships/hyperlink" Id="rId417" Target="https://www.eenews.net/articles/nuscale-cancels-first-of-a-kind-nuclear-project-as-costs-surge/" TargetMode="External" /><Relationship Type="http://schemas.openxmlformats.org/officeDocument/2006/relationships/hyperlink" Id="rId422" Target="https://www.eesi.org/articles/view/data-centers-and-water-consumption" TargetMode="External" /><Relationship Type="http://schemas.openxmlformats.org/officeDocument/2006/relationships/hyperlink" Id="rId409" Target="https://www.eia.gov/energyexplained/nuclear/" TargetMode="External" /><Relationship Type="http://schemas.openxmlformats.org/officeDocument/2006/relationships/hyperlink" Id="rId410" Target="https://www.eia.gov/kids/energy-sources/nonrenewable.php" TargetMode="External" /><Relationship Type="http://schemas.openxmlformats.org/officeDocument/2006/relationships/hyperlink" Id="rId378" Target="https://www.eia.gov/todayinenergy/detail.php?id=67205" TargetMode="External" /><Relationship Type="http://schemas.openxmlformats.org/officeDocument/2006/relationships/hyperlink" Id="rId307" Target="https://www.electricalmarketing.com/economic-data/construction-industry/article/55383786/data-centers-still-sizzling-with-a-287-april-yoy-spending-increase-to-507-billion" TargetMode="External" /><Relationship Type="http://schemas.openxmlformats.org/officeDocument/2006/relationships/hyperlink" Id="rId362" Target="https://www.enelnorthamerica.com/insights/blogs/miso-2025-capacity-auction-results" TargetMode="External" /><Relationship Type="http://schemas.openxmlformats.org/officeDocument/2006/relationships/hyperlink" Id="rId476" Target="https://www.energystar.gov/sites/default/files/tools/Data_Center_August_2018_EN_508.pdf" TargetMode="External" /><Relationship Type="http://schemas.openxmlformats.org/officeDocument/2006/relationships/hyperlink" Id="rId395" Target="https://www.epa.gov/greenvehicles/greenhouse-gas-emissions-typical-passenger-vehicle" TargetMode="External" /><Relationship Type="http://schemas.openxmlformats.org/officeDocument/2006/relationships/hyperlink" Id="rId424" Target="https://www.fastcompany.com/91396678/meta-georgia-data-center-stanton-springs" TargetMode="External" /><Relationship Type="http://schemas.openxmlformats.org/officeDocument/2006/relationships/hyperlink" Id="rId322" Target="https://www.fool.com/earnings/call-transcripts/2025/10/29/microsoft-msft-q1-2026-earnings-call-transcript" TargetMode="External" /><Relationship Type="http://schemas.openxmlformats.org/officeDocument/2006/relationships/hyperlink" Id="rId479" Target="https://www.fortune.com/2026/04/16/stanford-study-how-has-china-gained-on-us-ai-war/" TargetMode="External" /><Relationship Type="http://schemas.openxmlformats.org/officeDocument/2006/relationships/hyperlink" Id="rId452" Target="https://www.goodwinlaw.com/en/insights/publications/2025/07/alerts-technology-aiml-trump-administration-action-plan" TargetMode="External" /><Relationship Type="http://schemas.openxmlformats.org/officeDocument/2006/relationships/hyperlink" Id="rId235" Target="https://www.govinfo.gov/content/pkg/FR-2025-07-28/html/2025-14212.htm" TargetMode="External" /><Relationship Type="http://schemas.openxmlformats.org/officeDocument/2006/relationships/hyperlink" Id="rId202" Target="https://www.govtrack.us/congress/bills/119/s4213/text/is" TargetMode="External" /><Relationship Type="http://schemas.openxmlformats.org/officeDocument/2006/relationships/hyperlink" Id="rId354" Target="https://www.hklaw.com/en/insights/publications/2026/02/proposed-florida-legislation-creates-new-regulatory-framework" TargetMode="External" /><Relationship Type="http://schemas.openxmlformats.org/officeDocument/2006/relationships/hyperlink" Id="rId471" Target="https://www.hklaw.com/en/insights/publications/2026/08/virginia-preserves-data-center-tax-incentive" TargetMode="External" /><Relationship Type="http://schemas.openxmlformats.org/officeDocument/2006/relationships/hyperlink" Id="rId204" Target="https://www.hklaw.com/en/insights/publications/2026/10/californias-2026-data-center-laws-what-you-need-to-know" TargetMode="External" /><Relationship Type="http://schemas.openxmlformats.org/officeDocument/2006/relationships/hyperlink" Id="rId413" Target="https://www.hstoday.us/subject-matter-areas/climate-security/gao-calls-for-congressional-action-on-spent-nuclear-fuel/" TargetMode="External" /><Relationship Type="http://schemas.openxmlformats.org/officeDocument/2006/relationships/hyperlink" Id="rId472" Target="https://www.hunton.com/insights/legal/virginia-adds-electricity-consumption-tax-but-stops-short-of-repealing-data-center-sales-tax-exemption" TargetMode="External" /><Relationship Type="http://schemas.openxmlformats.org/officeDocument/2006/relationships/hyperlink" Id="rId130" Target="https://www.ibm.com/think/topics/hyperscale-data-center" TargetMode="External" /><Relationship Type="http://schemas.openxmlformats.org/officeDocument/2006/relationships/hyperlink" Id="rId403" Target="https://www.iea.org/reports/energy-and-ai/ai-and-climate-change" TargetMode="External" /><Relationship Type="http://schemas.openxmlformats.org/officeDocument/2006/relationships/hyperlink" Id="rId149" Target="https://www.iea.org/reports/key-questions-on-energy-and-ai/executive-summary" TargetMode="External" /><Relationship Type="http://schemas.openxmlformats.org/officeDocument/2006/relationships/hyperlink" Id="rId262" Target="https://www.industrialinfo.com/iirenergy/industry-news/article/louisiana-greenlights-massive-power-projects-for-meta-data-center--345274" TargetMode="External" /><Relationship Type="http://schemas.openxmlformats.org/officeDocument/2006/relationships/hyperlink" Id="rId347" Target="https://www.inquirer.com/business/technology/vineland-nj-dataone-data-center-residents-noise-water-20261001.html" TargetMode="External" /><Relationship Type="http://schemas.openxmlformats.org/officeDocument/2006/relationships/hyperlink" Id="rId213" Target="https://www.ipm.org/news/2026-07-14/data-center-moratorium-advances-for-indianapolis" TargetMode="External" /><Relationship Type="http://schemas.openxmlformats.org/officeDocument/2006/relationships/hyperlink" Id="rId274" Target="https://www.ksat.com/news/politics/2022/12/15/oregon-city-drops-fight-to-keep-google-water-use-private/" TargetMode="External" /><Relationship Type="http://schemas.openxmlformats.org/officeDocument/2006/relationships/hyperlink" Id="rId366" Target="https://www.law.cornell.edu/regulations/texas/16-Tex-Admin-Code-SS-25-509" TargetMode="External" /><Relationship Type="http://schemas.openxmlformats.org/officeDocument/2006/relationships/hyperlink" Id="rId206" Target="https://www.law.cornell.edu/supremecourt/text/00-1167" TargetMode="External" /><Relationship Type="http://schemas.openxmlformats.org/officeDocument/2006/relationships/hyperlink" Id="rId128" Target="https://www.law.cornell.edu/wex/moratorium" TargetMode="External" /><Relationship Type="http://schemas.openxmlformats.org/officeDocument/2006/relationships/hyperlink" Id="rId405" Target="https://www.localmemphis.com/article/news/local/city-of-memphis-announces-initial-air-quality-testing/522-2f46c313-6717-4a85-b5fd-7831b3cba84a" TargetMode="External" /><Relationship Type="http://schemas.openxmlformats.org/officeDocument/2006/relationships/hyperlink" Id="rId303" Target="https://www.loudoun.gov/6409/Tax-Revenues-County-Budget" TargetMode="External" /><Relationship Type="http://schemas.openxmlformats.org/officeDocument/2006/relationships/hyperlink" Id="rId304" Target="https://www.loudoun.gov/DocumentCenter/View/213222/FY-2026-Proposed-Budget-Presentation" TargetMode="External" /><Relationship Type="http://schemas.openxmlformats.org/officeDocument/2006/relationships/hyperlink" Id="rId302" Target="https://www.loudoun.gov/Faq.aspx?QID=1793" TargetMode="External" /><Relationship Type="http://schemas.openxmlformats.org/officeDocument/2006/relationships/hyperlink" Id="rId466" Target="https://www.loudoun.gov/m/newsflash/home/detail/10874" TargetMode="External" /><Relationship Type="http://schemas.openxmlformats.org/officeDocument/2006/relationships/hyperlink" Id="rId337" Target="https://www.maine.gov/governor/mills/news/governor-mills-announces-decision-ld-307-2026-04-24" TargetMode="External" /><Relationship Type="http://schemas.openxmlformats.org/officeDocument/2006/relationships/hyperlink" Id="rId323" Target="https://www.marketbeat.com/instant-alerts/microsoft-q4-earnings-call-highlights-2026-07-29/" TargetMode="External" /><Relationship Type="http://schemas.openxmlformats.org/officeDocument/2006/relationships/hyperlink" Id="rId333" Target="https://www.mayerbrown.com/en/insights/publications/2025/07/important-texas-regulatory-updates-for-data-centers" TargetMode="External" /><Relationship Type="http://schemas.openxmlformats.org/officeDocument/2006/relationships/hyperlink" Id="rId448" Target="https://www.mercomindia.com/strong-solar-buildout-pushes-chinas-power-capacity-to-3890-gw" TargetMode="External" /><Relationship Type="http://schemas.openxmlformats.org/officeDocument/2006/relationships/hyperlink" Id="rId229" Target="https://www.mississippifreepress.org/as-musks-xai-data-centers-encroach-on-southaven-north-mississippi-residents-push-back/" TargetMode="External" /><Relationship Type="http://schemas.openxmlformats.org/officeDocument/2006/relationships/hyperlink" Id="rId225" Target="https://www.mississippifreepress.org/southaven-residents-sue-xai-alleging-near-constant-noise-from-gas-turbines-is-causing-harm/" TargetMode="External" /><Relationship Type="http://schemas.openxmlformats.org/officeDocument/2006/relationships/hyperlink" Id="rId352" Target="https://www.mondaq.com/unitedstates/water/1851474/californias-2026-data-center-laws-what-you-need-to-know" TargetMode="External" /><Relationship Type="http://schemas.openxmlformats.org/officeDocument/2006/relationships/hyperlink" Id="rId238" Target="https://www.monitoringanalytics.com/reports/PJM_State_of_the_Market/2025/2025-som-pjm-vol1.pdf" TargetMode="External" /><Relationship Type="http://schemas.openxmlformats.org/officeDocument/2006/relationships/hyperlink" Id="rId244" Target="https://www.monitoringanalytics.com/reports/PJM_State_of_the_Market/2026/2026q1-som-pjm-sec1.pdf" TargetMode="External" /><Relationship Type="http://schemas.openxmlformats.org/officeDocument/2006/relationships/hyperlink" Id="rId433" Target="https://www.monitoringanalytics.com/reports/presentations/2026/IMM_MC_Market_Monitor_Report_20260728.pdf" TargetMode="External" /><Relationship Type="http://schemas.openxmlformats.org/officeDocument/2006/relationships/hyperlink" Id="rId210" Target="https://www.morganlewis.com/pubs/2026/03/singapore-announces-data-center-capacity-allocation-call" TargetMode="External" /><Relationship Type="http://schemas.openxmlformats.org/officeDocument/2006/relationships/hyperlink" Id="rId467" Target="https://www.nbcwashington.com/news/local/northern-virginia/loudoun-county-board-pauses-data-center-applications/4155005/" TargetMode="External" /><Relationship Type="http://schemas.openxmlformats.org/officeDocument/2006/relationships/hyperlink" Id="rId249" Target="https://www.nerc.com/globalassets/our-work/assessments/nerc_ltra_2025.pdf" TargetMode="External" /><Relationship Type="http://schemas.openxmlformats.org/officeDocument/2006/relationships/hyperlink" Id="rId147" Target="https://www.nist.gov/news-events/news/2025/09/caisi-evaluation-deepseek-ai-models-finds-shortcomings-and-risks" TargetMode="External" /><Relationship Type="http://schemas.openxmlformats.org/officeDocument/2006/relationships/hyperlink" Id="rId258" Target="https://www.npr.org/2022/01/03/1069974416/texas-winter-storm-final-death-toll" TargetMode="External" /><Relationship Type="http://schemas.openxmlformats.org/officeDocument/2006/relationships/hyperlink" Id="rId177" Target="https://www.npr.org/2024/09/11/nx-s1-5088134/elon-musk-ai-xai-supercomputer-memp-pollution" TargetMode="External" /><Relationship Type="http://schemas.openxmlformats.org/officeDocument/2006/relationships/hyperlink" Id="rId199" Target="https://www.npr.org/2026/08/26/nx-s1-5879509/in-louisiana-ndas-covered-up-a-data-center-deal-that-residents-didnt-know-was-coming" TargetMode="External" /><Relationship Type="http://schemas.openxmlformats.org/officeDocument/2006/relationships/hyperlink" Id="rId200" Target="https://www.npr.org/2026/08/27/nx-s1-5879528/data-center-nda-disclosure-louisiana" TargetMode="External" /><Relationship Type="http://schemas.openxmlformats.org/officeDocument/2006/relationships/hyperlink" Id="rId326" Target="https://www.nsenergybusiness.com/news/kairos-power-google-sign-deal-to-deploy-advanced-nuclear-power-in-us/" TargetMode="External" /><Relationship Type="http://schemas.openxmlformats.org/officeDocument/2006/relationships/hyperlink" Id="rId436" Target="https://www.nysrc.org/wp-content/uploads/2026/04/NYSRC-LLWG-4-Att.-9-FERC-Denies-PJM-LL-Complaint.pdf" TargetMode="External" /><Relationship Type="http://schemas.openxmlformats.org/officeDocument/2006/relationships/hyperlink" Id="rId461" Target="https://www.opportunitylouisiana.gov/news/meta-selects-northeast-louisiana-as-site-of-10-billion-artificial-intelligence-optimized-data-center-governor-jeff-landry-calls-investment-a-new-chapter-for-state" TargetMode="External" /><Relationship Type="http://schemas.openxmlformats.org/officeDocument/2006/relationships/hyperlink" Id="rId241" Target="https://www.ourenergypolicy.org/wp-content/uploads/2018/03/Monitoring-Analytics.pdf" TargetMode="External" /><Relationship Type="http://schemas.openxmlformats.org/officeDocument/2006/relationships/hyperlink" Id="rId360" Target="https://www.pa.gov/governor/newsroom/2026-press-releases/gov-shapiro-responds-to-pjm--calls-for-extension-price-collar-pr" TargetMode="External" /><Relationship Type="http://schemas.openxmlformats.org/officeDocument/2006/relationships/hyperlink" Id="rId350" Target="https://www.pecva.org/resources/publications/piedmont-view/what-happens-when-the-grid-cant-keep-up/" TargetMode="External" /><Relationship Type="http://schemas.openxmlformats.org/officeDocument/2006/relationships/hyperlink" Id="rId163" Target="https://www.pewresearch.org/short-reads/2025/10/24/what-we-know-about-energy-use-at-us-data-centers-amid-the-ai-boom/" TargetMode="External" /><Relationship Type="http://schemas.openxmlformats.org/officeDocument/2006/relationships/hyperlink" Id="rId443" Target="https://www.pjm.com/-/media/DotCom/committees-groups/workshops/cllsco/2026/20260818/20260818-granted-abeyance---docket-el26-67-000.pdf" TargetMode="External" /><Relationship Type="http://schemas.openxmlformats.org/officeDocument/2006/relationships/hyperlink" Id="rId253" Target="https://www.pjm.com/-/media/DotCom/documents/ferc/filings/2025/20251125-el26-30-000.pdf" TargetMode="External" /><Relationship Type="http://schemas.openxmlformats.org/officeDocument/2006/relationships/hyperlink" Id="rId444" Target="https://www.pjm.com/-/media/DotCom/documents/ferc/orders/2026/20260814-el26-67-000.pdf" TargetMode="External" /><Relationship Type="http://schemas.openxmlformats.org/officeDocument/2006/relationships/hyperlink" Id="rId250" Target="https://www.powermag.com/nerc-warns-long-term-grid-reliability-risks-mounting-from-surging-demand-lagging-resources/" TargetMode="External" /><Relationship Type="http://schemas.openxmlformats.org/officeDocument/2006/relationships/hyperlink" Id="rId439" Target="https://www.publicpower.org/periodical/article/complaint-filed-ferc-challenges-pjm-rules-tied-data-center-driven-transmission-costs" TargetMode="External" /><Relationship Type="http://schemas.openxmlformats.org/officeDocument/2006/relationships/hyperlink" Id="rId449" Target="https://www.pv-magazine.com/2026/01/28/china-adds-315-gw-of-solar-in-2025/" TargetMode="External" /><Relationship Type="http://schemas.openxmlformats.org/officeDocument/2006/relationships/hyperlink" Id="rId374" Target="https://www.rbccm.com/en/insights/2026/05/natural-gas-powers-the-data-center-boom" TargetMode="External" /><Relationship Type="http://schemas.openxmlformats.org/officeDocument/2006/relationships/hyperlink" Id="rId279" Target="https://www.renewableenergyworld.com/energy-business/policy-and-regulation/ohio-utility-regulators-approve-aeps-contested-data-center-tariff-proposal/" TargetMode="External" /><Relationship Type="http://schemas.openxmlformats.org/officeDocument/2006/relationships/hyperlink" Id="rId232" Target="https://www.renewableenergyworld.com/energy-business/policy-and-regulation/tva-approves-elon-musks-controversial-data-center-plan-for-more-power" TargetMode="External" /><Relationship Type="http://schemas.openxmlformats.org/officeDocument/2006/relationships/hyperlink" Id="rId329" Target="https://www.renewableenergyworld.com/news/ferc-rejects-amended-interconnection-agreement-for-amazon-data-center-at-susquehanna-nuclear-plant/" TargetMode="External" /><Relationship Type="http://schemas.openxmlformats.org/officeDocument/2006/relationships/hyperlink" Id="rId343" Target="https://www.renewableenergyworld.com/power-grid/transmission/an-extension-cord-to-virginia-marylanders-push-back-against-proposed-pjm-transmission-line-carving-through-farmland-2/" TargetMode="External" /><Relationship Type="http://schemas.openxmlformats.org/officeDocument/2006/relationships/hyperlink" Id="rId240" Target="https://www.rtoinsider.com/127963-pjm-state-of-the-market-2025-data-center-burden/" TargetMode="External" /><Relationship Type="http://schemas.openxmlformats.org/officeDocument/2006/relationships/hyperlink" Id="rId435" Target="https://www.rtoinsider.com/128871-ferc-denies-imm-complaint-establish-pjm-authority-reject-large-loads/" TargetMode="External" /><Relationship Type="http://schemas.openxmlformats.org/officeDocument/2006/relationships/hyperlink" Id="rId217" Target="https://www.sanders.senate.gov/press-releases/news-sanders-ocasio-cortez-announce-ai-data-center-moratorium-act/" TargetMode="External" /><Relationship Type="http://schemas.openxmlformats.org/officeDocument/2006/relationships/hyperlink" Id="rId197" Target="https://www.selc.org/press-release/epa-confirms-that-large-methane-gas-turbines-require-permits/" TargetMode="External" /><Relationship Type="http://schemas.openxmlformats.org/officeDocument/2006/relationships/hyperlink" Id="rId385" Target="https://www.selc.org/resource/uncertainty-and-upward-bias-are-inherent-in-data-center-electricity-demand-projections/" TargetMode="External" /><Relationship Type="http://schemas.openxmlformats.org/officeDocument/2006/relationships/hyperlink" Id="rId283" Target="https://www.semafor.com/article/08/19/2025/openais-sam-altman-points-to-ai-bubble" TargetMode="External" /><Relationship Type="http://schemas.openxmlformats.org/officeDocument/2006/relationships/hyperlink" Id="rId170" Target="https://www.sfexaminer.com/their-water-taps-ran-dry-when-meta-built-next-door/article_d37b83df-16f4-5fcb-9b63-958a4d5c3a05.html" TargetMode="External" /><Relationship Type="http://schemas.openxmlformats.org/officeDocument/2006/relationships/hyperlink" Id="rId463" Target="https://www.shreveportbossieradvocate.com/business/north-louisiana-meta-project-growth/article_a32cff13-3b69-4d11-b993-19f130542e63.html" TargetMode="External" /><Relationship Type="http://schemas.openxmlformats.org/officeDocument/2006/relationships/hyperlink" Id="rId365" Target="https://www.spglobal.com/energy/en/news-research/latest-news/natural-gas/120221-texas-regulators-ok-5000mwh-cap-jan-1-replacing-9000mwh" TargetMode="External" /><Relationship Type="http://schemas.openxmlformats.org/officeDocument/2006/relationships/hyperlink" Id="rId169" Target="https://www.spokesman.com/stories/2025/jul/19/their-water-taps-ran-dry-when-meta-built-next-door/" TargetMode="External" /><Relationship Type="http://schemas.openxmlformats.org/officeDocument/2006/relationships/hyperlink" Id="rId420" Target="https://www.techradar.com/pro/microsoft-admits-its-carbon-emissions-grew-25-percent-in-2025-including-a-rise-in-fossil-fuel-use" TargetMode="External" /><Relationship Type="http://schemas.openxmlformats.org/officeDocument/2006/relationships/hyperlink" Id="rId222" Target="https://www.techspot.com/news/112356-data-center-used-29-million-gallons-water-without.html" TargetMode="External" /><Relationship Type="http://schemas.openxmlformats.org/officeDocument/2006/relationships/hyperlink" Id="rId257" Target="https://www.texastribune.org/2022/01/02/texas-winter-storm-final-death-toll-246" TargetMode="External" /><Relationship Type="http://schemas.openxmlformats.org/officeDocument/2006/relationships/hyperlink" Id="rId294" Target="https://www.theregister.com/2026/01/07/datacenter_tax_breaks_virginia/" TargetMode="External" /><Relationship Type="http://schemas.openxmlformats.org/officeDocument/2006/relationships/hyperlink" Id="rId317" Target="https://www.thurrott.com/a-i/314112/openai-launches-200-month-chatgpt-pro-subscription-with-exclusive-o1-pro-mode" TargetMode="External" /><Relationship Type="http://schemas.openxmlformats.org/officeDocument/2006/relationships/hyperlink" Id="rId358" Target="https://www.troutmanenergyreport.com/2026/05/ferc-accepts-pjm-capacity-market-price-collar-extension/" TargetMode="External" /><Relationship Type="http://schemas.openxmlformats.org/officeDocument/2006/relationships/hyperlink" Id="rId401" Target="https://www.utilitydive.com/news/corporate-clean-energy-procurement-ppa-meta-amazon-google/812591/" TargetMode="External" /><Relationship Type="http://schemas.openxmlformats.org/officeDocument/2006/relationships/hyperlink" Id="rId193" Target="https://www.utilitydive.com/news/data-center-interconnection-ferc-large-load-show-cause/824501/" TargetMode="External" /><Relationship Type="http://schemas.openxmlformats.org/officeDocument/2006/relationships/hyperlink" Id="rId165" Target="https://www.utilitydive.com/news/data-centers-pjm-capacity-auction/808951/" TargetMode="External" /><Relationship Type="http://schemas.openxmlformats.org/officeDocument/2006/relationships/hyperlink" Id="rId445" Target="https://www.utilitydive.com/news/ferc-data-center-pjm-transmission-costs/825760/" TargetMode="External" /><Relationship Type="http://schemas.openxmlformats.org/officeDocument/2006/relationships/hyperlink" Id="rId438" Target="https://www.utilitydive.com/news/maryland-ratepayer-advocate-ferc-data-center-complaint-transmission/823244/" TargetMode="External" /><Relationship Type="http://schemas.openxmlformats.org/officeDocument/2006/relationships/hyperlink" Id="rId363" Target="https://www.utilitydive.com/news/miso-capacity-auction-nerc/818797/" TargetMode="External" /><Relationship Type="http://schemas.openxmlformats.org/officeDocument/2006/relationships/hyperlink" Id="rId382" Target="https://www.utilitydive.com/news/nerc-overstates-reliability-risks-ltra-grid-strategies/814292/" TargetMode="External" /><Relationship Type="http://schemas.openxmlformats.org/officeDocument/2006/relationships/hyperlink" Id="rId239" Target="https://www.utilitydive.com/news/pjm-capacity-energy-market-reliability-monitoring-analytics/814647/" TargetMode="External" /><Relationship Type="http://schemas.openxmlformats.org/officeDocument/2006/relationships/hyperlink" Id="rId252" Target="https://www.utilitydive.com/news/pjm-data-center-interconnection-market-monitor-ferc-complaint/806527/" TargetMode="External" /><Relationship Type="http://schemas.openxmlformats.org/officeDocument/2006/relationships/hyperlink" Id="rId430" Target="https://www.utilitydive.com/news/pjm-data-centers-capacity-auction-imm-bowring/825626/" TargetMode="External" /><Relationship Type="http://schemas.openxmlformats.org/officeDocument/2006/relationships/hyperlink" Id="rId332" Target="https://www.utilitydive.com/news/texas-law-gives-grid-operator-power-to-disconnect-data-centers-during-crisis/751587" TargetMode="External" /><Relationship Type="http://schemas.openxmlformats.org/officeDocument/2006/relationships/hyperlink" Id="rId455" Target="https://www.veanea.org/new-nea-reports-show-progress-on-virginia-educator-pay-but-major-challenges-remain/" TargetMode="External" /><Relationship Type="http://schemas.openxmlformats.org/officeDocument/2006/relationships/hyperlink" Id="rId338" Target="https://www.wabi.tv/2026/04/29/maine-legislature-does-not-override-gov-mills-veto-data-center-moratorium/" TargetMode="External" /><Relationship Type="http://schemas.openxmlformats.org/officeDocument/2006/relationships/hyperlink" Id="rId212" Target="https://www.wfyi.org/wfyi-news/2026-08-10/indy-council-advances-pause-on-data-centers-sends-to-commission-for-final-approval" TargetMode="External" /><Relationship Type="http://schemas.openxmlformats.org/officeDocument/2006/relationships/hyperlink" Id="rId236" Target="https://www.whitehouse.gov/presidential-actions/2025/07/accelerating-federal-permitting-of-data-center-infrastructure/" TargetMode="External" /><Relationship Type="http://schemas.openxmlformats.org/officeDocument/2006/relationships/hyperlink" Id="rId188" Target="https://www.whitehouse.gov/ratepayer-protection-pledge/" TargetMode="External" /><Relationship Type="http://schemas.openxmlformats.org/officeDocument/2006/relationships/hyperlink" Id="rId451" Target="https://www.whitehouse.gov/wp-content/uploads/2025/07/Americas-AI-Action-Plan.pdf" TargetMode="External" /><Relationship Type="http://schemas.openxmlformats.org/officeDocument/2006/relationships/hyperlink" Id="rId341" Target="https://www.williamfry.com/knowledge/cru-publishes-long-awaited-final-policy-on-data-centre-connections/" TargetMode="External" /><Relationship Type="http://schemas.openxmlformats.org/officeDocument/2006/relationships/hyperlink" Id="rId320" Target="https://www.wisdomtree.com/investments/blog/2025/05/19/280x-cheaper-the-real-ai-revolution-is-accessibility" TargetMode="External" /><Relationship Type="http://schemas.openxmlformats.org/officeDocument/2006/relationships/hyperlink" Id="rId305" Target="https://www.wusa9.com/article/news/community/data-centers/data-center-pause-loudoun-county-supervisors-tax-revenue/65-b9e5f62b-5352-400e-b379-72090f753232" TargetMode="External" /><Relationship Type="http://schemas.openxmlformats.org/officeDocument/2006/relationships/hyperlink" Id="rId263" Target="https://www.wwno.org/coastal-desk/2026-04-21/advocates-cite-lack-of-transparency-rising-costs-as-regulators-fast-track-second-meta-data-center" TargetMode="External" /><Relationship Id="rIdFooter1" Type="http://schemas.openxmlformats.org/officeDocument/2006/relationships/footer" Target="footer1.xml"/><Relationship Id="rIdFooter2"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132" Target="http://g42.ai" TargetMode="External" /><Relationship Type="http://schemas.openxmlformats.org/officeDocument/2006/relationships/hyperlink" Id="rId133" Target="http://openai.com" TargetMode="External" /><Relationship Type="http://schemas.openxmlformats.org/officeDocument/2006/relationships/hyperlink" Id="rId134" Target="http://thenationalnews.com" TargetMode="External" /><Relationship Type="http://schemas.openxmlformats.org/officeDocument/2006/relationships/hyperlink" Id="rId400" Target="https://about.bnef.com/insights/clean-energy/corporate-clean-energy-buying-fell-in-2025-after-nearly-a-decade-of-growth/" TargetMode="External" /><Relationship Type="http://schemas.openxmlformats.org/officeDocument/2006/relationships/hyperlink" Id="rId297" Target="https://about.fb.com/news/2025/11/metas-30th-data-center-delivering-ai-supporting-wetlands-restoration/" TargetMode="External" /><Relationship Type="http://schemas.openxmlformats.org/officeDocument/2006/relationships/hyperlink" Id="rId330" Target="https://ans.org/news/article-6937/ferc-denies-talen-amazon-agreementagain" TargetMode="External" /><Relationship Type="http://schemas.openxmlformats.org/officeDocument/2006/relationships/hyperlink" Id="rId145" Target="https://artificialanalysis.ai/about" TargetMode="External" /><Relationship Type="http://schemas.openxmlformats.org/officeDocument/2006/relationships/hyperlink" Id="rId143" Target="https://artificialanalysis.ai/leaderboards/models" TargetMode="External" /><Relationship Type="http://schemas.openxmlformats.org/officeDocument/2006/relationships/hyperlink" Id="rId144" Target="https://artificialanalysis.ai/methodology/intelligence-benchmarking" TargetMode="External" /><Relationship Type="http://schemas.openxmlformats.org/officeDocument/2006/relationships/hyperlink" Id="rId266" Target="https://arxiv.org/html/2412.06288v2" TargetMode="External" /><Relationship Type="http://schemas.openxmlformats.org/officeDocument/2006/relationships/hyperlink" Id="rId221" Target="https://atlantatribune.com/2026/07/16/data-center-in-fayetteville-investigated-for-water-usage/" TargetMode="External" /><Relationship Type="http://schemas.openxmlformats.org/officeDocument/2006/relationships/hyperlink" Id="rId271" Target="https://azluminaria.org/2025/08/06/tucson-city-council-rejects-project-blue-amid-intense-community-pressure/" TargetMode="External" /><Relationship Type="http://schemas.openxmlformats.org/officeDocument/2006/relationships/hyperlink" Id="rId462" Target="https://businessfacilities.com/meta-will-invest-over-50b-to-expand-north-louisiana-data-center-campus/" TargetMode="External" /><Relationship Type="http://schemas.openxmlformats.org/officeDocument/2006/relationships/hyperlink" Id="rId459" Target="https://capitol-beat.org/2026/01/error-in-state-auditors-data-center-review-inflated-job-production-and-economic-value/" TargetMode="External" /><Relationship Type="http://schemas.openxmlformats.org/officeDocument/2006/relationships/hyperlink" Id="rId293" Target="https://cardinalnews.org/2026/06/19/a-state-study-found-that-data-center-tax-break-was-virginias-2nd-best-incentive-producing-6-1-of-labor-income-for-every-1-in-exemptions/" TargetMode="External" /><Relationship Type="http://schemas.openxmlformats.org/officeDocument/2006/relationships/hyperlink" Id="rId373" Target="https://cleanview.co/reports/behind-the-meter-data-centers" TargetMode="External" /><Relationship Type="http://schemas.openxmlformats.org/officeDocument/2006/relationships/hyperlink" Id="rId431" Target="https://conduitstreet.mdcounties.org/2026/07/21/data-center-demand-drives-higher-pjm-capacity-costs/" TargetMode="External" /><Relationship Type="http://schemas.openxmlformats.org/officeDocument/2006/relationships/hyperlink" Id="rId440" Target="https://content.govdelivery.com/accounts/MDOPC/bulletins/415c9b6" TargetMode="External" /><Relationship Type="http://schemas.openxmlformats.org/officeDocument/2006/relationships/hyperlink" Id="rId247" Target="https://datacenterdynamics.com/en/news/virginia-narrowly-avoided-power-cuts-when-60-data-centers-dropped-off-the-grid-at-once" TargetMode="External" /><Relationship Type="http://schemas.openxmlformats.org/officeDocument/2006/relationships/hyperlink" Id="rId186" Target="https://datacenterwatch.org/q1-2026" TargetMode="External" /><Relationship Type="http://schemas.openxmlformats.org/officeDocument/2006/relationships/hyperlink" Id="rId167" Target="https://eelp.law.harvard.edu/extracting-profits-from-the-public-how-utility-ratepayers-are-paying-for-big-techs-power/" TargetMode="External" /><Relationship Type="http://schemas.openxmlformats.org/officeDocument/2006/relationships/hyperlink" Id="rId312" Target="https://ember-energy.org/countries-and-regions/malaysia" TargetMode="External" /><Relationship Type="http://schemas.openxmlformats.org/officeDocument/2006/relationships/hyperlink" Id="rId311" Target="https://ember-energy.org/countries-and-regions/united-arab-emirates/" TargetMode="External" /><Relationship Type="http://schemas.openxmlformats.org/officeDocument/2006/relationships/hyperlink" Id="rId310" Target="https://ember-energy.org/countries-and-regions/united-states-of-america/" TargetMode="External" /><Relationship Type="http://schemas.openxmlformats.org/officeDocument/2006/relationships/hyperlink" Id="rId356" Target="https://en.wikipedia.org/wiki/American_Electric_Power" TargetMode="External" /><Relationship Type="http://schemas.openxmlformats.org/officeDocument/2006/relationships/hyperlink" Id="rId157" Target="https://eta.lbl.gov/publications/united-states-data-center-energy-2025" TargetMode="External" /><Relationship Type="http://schemas.openxmlformats.org/officeDocument/2006/relationships/hyperlink" Id="rId387" Target="https://ferc.gov/reliability-explainer" TargetMode="External" /><Relationship Type="http://schemas.openxmlformats.org/officeDocument/2006/relationships/hyperlink" Id="rId390" Target="https://floodlightnews.org/about-floodlight/" TargetMode="External" /><Relationship Type="http://schemas.openxmlformats.org/officeDocument/2006/relationships/hyperlink" Id="rId389" Target="https://floodlightnews.org/new-jersey-data-center-federal-violation/" TargetMode="External" /><Relationship Type="http://schemas.openxmlformats.org/officeDocument/2006/relationships/hyperlink" Id="rId282" Target="https://fortune.com/2025/08/19/wall-street-ai-bubble-sam-altman" TargetMode="External" /><Relationship Type="http://schemas.openxmlformats.org/officeDocument/2006/relationships/hyperlink" Id="rId220" Target="https://fortune.com/2026/05/13/data-center-georgia-arizona-water-wars/" TargetMode="External" /><Relationship Type="http://schemas.openxmlformats.org/officeDocument/2006/relationships/hyperlink" Id="rId419" Target="https://fortune.com/2026/07/09/microsoft-carbon-emissions-2025-data-centers/" TargetMode="External" /><Relationship Type="http://schemas.openxmlformats.org/officeDocument/2006/relationships/hyperlink" Id="rId412" Target="https://gao.gov/assets/gao-12-797.pdf" TargetMode="External" /><Relationship Type="http://schemas.openxmlformats.org/officeDocument/2006/relationships/hyperlink" Id="rId260" Target="https://globalenergymonitor.org/press-release/betting-big-on-data-centers-u-s-now-leads-world-for-new-gas-power-development/" TargetMode="External" /><Relationship Type="http://schemas.openxmlformats.org/officeDocument/2006/relationships/hyperlink" Id="rId288" Target="https://goodjobsfirst.org/cloudy-data-costly-deals-how-poorly-states-disclose-data-center-subsidies/" TargetMode="External" /><Relationship Type="http://schemas.openxmlformats.org/officeDocument/2006/relationships/hyperlink" Id="rId287" Target="https://goodjobsfirst.org/cloudy-with-a-loss-of-spending-control-how-data-centers-are-endangering-state-budgets/" TargetMode="External" /><Relationship Type="http://schemas.openxmlformats.org/officeDocument/2006/relationships/hyperlink" Id="rId289" Target="https://goodjobsfirst.org/even-cloudier-with-a-greater-loss-of-spending-control-how-data-center-tax-abatements-undermine-public-budgets/" TargetMode="External" /><Relationship Type="http://schemas.openxmlformats.org/officeDocument/2006/relationships/hyperlink" Id="rId383" Target="https://gridstrategiesllc.com/review-of-nercs-2025-ltra/" TargetMode="External" /><Relationship Type="http://schemas.openxmlformats.org/officeDocument/2006/relationships/hyperlink" Id="rId319" Target="https://hai.stanford.edu/ai-index" TargetMode="External" /><Relationship Type="http://schemas.openxmlformats.org/officeDocument/2006/relationships/hyperlink" Id="rId153" Target="https://hai.stanford.edu/ai-index/2026-ai-index-report/economy" TargetMode="External" /><Relationship Type="http://schemas.openxmlformats.org/officeDocument/2006/relationships/hyperlink" Id="rId478" Target="https://hai.stanford.edu/ai-index/2026-ai-index-report/technical-performance" TargetMode="External" /><Relationship Type="http://schemas.openxmlformats.org/officeDocument/2006/relationships/hyperlink" Id="rId155" Target="https://hai.stanford.edu/assets/files/ai_index_report_2026.pdf" TargetMode="External" /><Relationship Type="http://schemas.openxmlformats.org/officeDocument/2006/relationships/hyperlink" Id="rId154" Target="https://hai.stanford.edu/assets/files/ai_index_report_2026_chapter_4_economy.pdf" TargetMode="External" /><Relationship Type="http://schemas.openxmlformats.org/officeDocument/2006/relationships/hyperlink" Id="rId269" Target="https://harcresearch.org/news/texas-data-center-boom-could-consume-up-to-161-billion-gallons-of-water-annually-by-2030/" TargetMode="External" /><Relationship Type="http://schemas.openxmlformats.org/officeDocument/2006/relationships/hyperlink" Id="rId151" Target="https://id.digitaledgedc.com/data-center/what-is-a-hyperscale-data-center-and-what-are-the-advantages" TargetMode="External" /><Relationship Type="http://schemas.openxmlformats.org/officeDocument/2006/relationships/hyperlink" Id="rId159" Target="https://iea.blob.core.windows.net/assets/de9dea13-b07d-42c5-a398-d1b3ae17d866/EnergyandAI.pdf" TargetMode="External" /><Relationship Type="http://schemas.openxmlformats.org/officeDocument/2006/relationships/hyperlink" Id="rId398" Target="https://ieaghg.org/insights/ipcc-synthesis-report-of-the-6th-assessment-cycle-2023-07/" TargetMode="External" /><Relationship Type="http://schemas.openxmlformats.org/officeDocument/2006/relationships/hyperlink" Id="rId327" Target="https://insideclimatenews.org/news/03062025/meta-constellation-nuclear-power-deal/" TargetMode="External" /><Relationship Type="http://schemas.openxmlformats.org/officeDocument/2006/relationships/hyperlink" Id="rId415" Target="https://insideclimatenews.org/news/10052026/plant-vogtle-nuclear-debate-two-years-after-completion/" TargetMode="External" /><Relationship Type="http://schemas.openxmlformats.org/officeDocument/2006/relationships/hyperlink" Id="rId441" Target="https://insideclimatenews.org/news/30062026/ferc-order-data-center-grid-costs/" TargetMode="External" /><Relationship Type="http://schemas.openxmlformats.org/officeDocument/2006/relationships/hyperlink" Id="rId161" Target="https://insidelines.pjm.com/pjm-capacity-auction-procures-138318-mw-of-generation-resources-as-work-continues-to-address-growing-electricity-demand/" TargetMode="External" /><Relationship Type="http://schemas.openxmlformats.org/officeDocument/2006/relationships/hyperlink" Id="rId380" Target="https://insidelines.pjm.com/pjm-chooses-51-generation-resource-projects-to-address-near-term-electricity-demand-growth/" TargetMode="External" /><Relationship Type="http://schemas.openxmlformats.org/officeDocument/2006/relationships/hyperlink" Id="rId314" Target="https://intelligence.uptimeinstitute.com/resource/uptime-institute-global-data-center-survey-2025" TargetMode="External" /><Relationship Type="http://schemas.openxmlformats.org/officeDocument/2006/relationships/hyperlink" Id="rId392" Target="https://jjkellercompliancenetwork.com/regsense/40-cfr-51-appendix-s-appendix-s-to-part-51-emission-offset-interpretative-ruling" TargetMode="External" /><Relationship Type="http://schemas.openxmlformats.org/officeDocument/2006/relationships/hyperlink" Id="rId292" Target="https://jlarc.virginia.gov/pdfs/reports/Rpt598-2.pdf" TargetMode="External" /><Relationship Type="http://schemas.openxmlformats.org/officeDocument/2006/relationships/hyperlink" Id="rId224" Target="https://kfgo.com/2026/06/09/musks-xai-spacex-hit-with-class-action-over-data-center-nuisance/" TargetMode="External" /><Relationship Type="http://schemas.openxmlformats.org/officeDocument/2006/relationships/hyperlink" Id="rId189" Target="https://kleinmanenergy.upenn.edu/commentary/blog/ratepayer-protection-pledge-the-white-houses-attempt-to-shield-customers-from-rising-electricity-prices-caused-by-data-center-expansion/" TargetMode="External" /><Relationship Type="http://schemas.openxmlformats.org/officeDocument/2006/relationships/hyperlink" Id="rId397" Target="https://knowledge4policy.ec.europa.eu/publication/ar6-synthesis-report-climate-change-2023_en" TargetMode="External" /><Relationship Type="http://schemas.openxmlformats.org/officeDocument/2006/relationships/hyperlink" Id="rId474" Target="https://leg.wa.gov/jlarc/taxReports/2016/DataCenterEquipment/f/default.htm" TargetMode="External" /><Relationship Type="http://schemas.openxmlformats.org/officeDocument/2006/relationships/hyperlink" Id="rId267" Target="https://lindecenter.caltech.edu/news/air-pollution-and-the-public-health-costs-of-ai" TargetMode="External" /><Relationship Type="http://schemas.openxmlformats.org/officeDocument/2006/relationships/hyperlink" Id="rId325" Target="https://marylandmatters.org/2026/07/30/repub/concern-persists-as-former-three-mile-island-nuclear-plant-progresses-toward-2027-restart/" TargetMode="External" /><Relationship Type="http://schemas.openxmlformats.org/officeDocument/2006/relationships/hyperlink" Id="rId432" Target="https://mgrid.org/2026/07/23/data-centers-drove-6-3-billion-of-pjms-latest-capacity-auction-cost-market-monitor-says/" TargetMode="External" /><Relationship Type="http://schemas.openxmlformats.org/officeDocument/2006/relationships/hyperlink" Id="rId469" Target="https://mgrid.org/2026/09/16/loudoun-county-voted-7-1-1-to-draft-a-data-center-pause-not-to-start-one/" TargetMode="External" /><Relationship Type="http://schemas.openxmlformats.org/officeDocument/2006/relationships/hyperlink" Id="rId246" Target="https://nerc.com/pa/rrm/ea/Documents/Incident_Review_Large_Load_Loss.pdf" TargetMode="External" /><Relationship Type="http://schemas.openxmlformats.org/officeDocument/2006/relationships/hyperlink" Id="rId203" Target="https://newjerseymonitor.com/2026/08/27/data-centers-water-energy-use-law/" TargetMode="External" /><Relationship Type="http://schemas.openxmlformats.org/officeDocument/2006/relationships/hyperlink" Id="rId280" Target="https://newprojectmedia.com/policy-aep-ohio-touts-right-sized-load-as-data-center-pipeline-shrinks-further-under-new-tariff/" TargetMode="External" /><Relationship Type="http://schemas.openxmlformats.org/officeDocument/2006/relationships/hyperlink" Id="rId184" Target="https://news.gallup.com/poll/709772/americans-oppose-data-centers-area.aspx" TargetMode="External" /><Relationship Type="http://schemas.openxmlformats.org/officeDocument/2006/relationships/hyperlink" Id="rId215" Target="https://newsletter.semianalysis.com/p/everyone-says-datacenter-moratoriums" TargetMode="External" /><Relationship Type="http://schemas.openxmlformats.org/officeDocument/2006/relationships/hyperlink" Id="rId255" Target="https://nicholasinstitute.duke.edu/sites/default/files/publications/rethinking-load-growth.pdf" TargetMode="External" /><Relationship Type="http://schemas.openxmlformats.org/officeDocument/2006/relationships/hyperlink" Id="rId345" Target="https://njbiz.com/vineland-dataone-data-center-fine/" TargetMode="External" /><Relationship Type="http://schemas.openxmlformats.org/officeDocument/2006/relationships/hyperlink" Id="rId349" Target="https://northernvirginiamag.com/news/2026/07/21/sterling-resident-says-data-centers-generators-produced-excessive-noise-pollution/" TargetMode="External" /><Relationship Type="http://schemas.openxmlformats.org/officeDocument/2006/relationships/hyperlink" Id="rId447" Target="https://oilprice.com/Latest-Energy-News/World-News/China-Added-543-Gigawatts-in-New-Power-Capacity-in-2025.html" TargetMode="External" /><Relationship Type="http://schemas.openxmlformats.org/officeDocument/2006/relationships/hyperlink" Id="rId138" Target="https://ourworldindata.org/grapher/electricity-mix?source=fossil&amp;metric=share_of_generation&amp;frequency=annual" TargetMode="External" /><Relationship Type="http://schemas.openxmlformats.org/officeDocument/2006/relationships/hyperlink" Id="rId139" Target="https://ourworldindata.org/grapher/electricity-mix?source=fossil&amp;metric=share_of_generation&amp;frequency=annual#sources-and-processing" TargetMode="External" /><Relationship Type="http://schemas.openxmlformats.org/officeDocument/2006/relationships/hyperlink" Id="rId359" Target="https://penncapital-star.com/economy/grid-operator-pjm-agrees-to-extension-of-wholesale-electricity-price-cap/" TargetMode="External" /><Relationship Type="http://schemas.openxmlformats.org/officeDocument/2006/relationships/hyperlink" Id="rId277" Target="https://redmondmag.com/articles/2024/12/09/microsoft-rolls-out--water-saving-datacenter-design.aspx" TargetMode="External" /><Relationship Type="http://schemas.openxmlformats.org/officeDocument/2006/relationships/hyperlink" Id="rId393" Target="https://regulations.vlex.com/vid/quality-promulgation-various-jersey-22633075" TargetMode="External" /><Relationship Type="http://schemas.openxmlformats.org/officeDocument/2006/relationships/hyperlink" Id="rId454" Target="https://rga.lis.virginia.gov/Published/2026/RD33" TargetMode="External" /><Relationship Type="http://schemas.openxmlformats.org/officeDocument/2006/relationships/hyperlink" Id="rId264" Target="https://san.com/cc/meta-fights-order-to-disclose-job-power-figures-for-50b-louisiana-data-center/" TargetMode="External" /><Relationship Type="http://schemas.openxmlformats.org/officeDocument/2006/relationships/hyperlink" Id="rId299" Target="https://spectrumnews1.com/wi/milwaukee/news/2025/11/12/meta--ai-data-center--beaver-dam--dodge-county-" TargetMode="External" /><Relationship Type="http://schemas.openxmlformats.org/officeDocument/2006/relationships/hyperlink" Id="rId290" Target="https://stateline.org/2026/04/15/many-states-dont-report-losses-from-data-center-tax-breaks-study-says/" TargetMode="External" /><Relationship Type="http://schemas.openxmlformats.org/officeDocument/2006/relationships/hyperlink" Id="rId207" Target="https://supreme.justia.com/cases/federal/us/535/302/case.pdf" TargetMode="External" /><Relationship Type="http://schemas.openxmlformats.org/officeDocument/2006/relationships/hyperlink" Id="rId426" Target="https://sustainability.google/google-2026-environmental-report/" TargetMode="External" /><Relationship Type="http://schemas.openxmlformats.org/officeDocument/2006/relationships/hyperlink" Id="rId141" Target="https://techcrunch.com/2025/02/27/openai-ceo-sam-altman-says-the-company-is-out-of-gpus/" TargetMode="External" /><Relationship Type="http://schemas.openxmlformats.org/officeDocument/2006/relationships/hyperlink" Id="rId406" Target="https://techcrunch.com/2025/06/25/air-quality-tests-around-xais-memphis-data-center-raise-questions" TargetMode="External" /><Relationship Type="http://schemas.openxmlformats.org/officeDocument/2006/relationships/hyperlink" Id="rId458" Target="https://theaugustapress.com/report-30-of-georgias-data-centers-traced-to-2018-tax-break/" TargetMode="External" /><Relationship Type="http://schemas.openxmlformats.org/officeDocument/2006/relationships/hyperlink" Id="rId457" Target="https://thecurrentga.org/2026/01/15/revised-audit-reveals-georgia-data-centers-economic-impact-overstated/" TargetMode="External" /><Relationship Type="http://schemas.openxmlformats.org/officeDocument/2006/relationships/hyperlink" Id="rId298" Target="https://urbanmilwaukee.com/pressrelease/meta-state-and-local-officials-announce-1-billion-data-center-investment-in-beaver-dam-project/" TargetMode="External" /><Relationship Type="http://schemas.openxmlformats.org/officeDocument/2006/relationships/hyperlink" Id="rId242" Target="https://usea.org/node/2836" TargetMode="External" /><Relationship Type="http://schemas.openxmlformats.org/officeDocument/2006/relationships/hyperlink" Id="rId136" Target="https://w.media/johor-from-10mw-to-1500mw-in-three-years/" TargetMode="External" /><Relationship Type="http://schemas.openxmlformats.org/officeDocument/2006/relationships/hyperlink" Id="rId346" Target="https://whyy.org/articles/vineland-new-jersey-data-center-gas-generators-permit/" TargetMode="External" /><Relationship Type="http://schemas.openxmlformats.org/officeDocument/2006/relationships/hyperlink" Id="rId371" Target="https://worldoil.com/news/2026/6/22/chevron-signs-20-year-microsoft-power-deal-for-west-texas-ai-project/" TargetMode="External" /><Relationship Type="http://schemas.openxmlformats.org/officeDocument/2006/relationships/hyperlink" Id="rId464" Target="https://www.1012industryreport.com/?p=129541" TargetMode="External" /><Relationship Type="http://schemas.openxmlformats.org/officeDocument/2006/relationships/hyperlink" Id="rId368" Target="https://www.aceee.org/sites/default/files/pdfs/ACEEE-01%20Energy%20Burden%20-%20National.pdf" TargetMode="External" /><Relationship Type="http://schemas.openxmlformats.org/officeDocument/2006/relationships/hyperlink" Id="rId407" Target="https://www.actionnews5.com/2026/05/22/environmental-groups-present-data-air-quality-around-xai-southwest-memphis/" TargetMode="External" /><Relationship Type="http://schemas.openxmlformats.org/officeDocument/2006/relationships/hyperlink" Id="rId353" Target="https://www.afslaw.com/perspectives/alerts/state-regulation-data-centers-2026-shifting-landscape" TargetMode="External" /><Relationship Type="http://schemas.openxmlformats.org/officeDocument/2006/relationships/hyperlink" Id="rId308" Target="https://www.agc.org/sites/default/files/users/user21902/Construction%20Spending%20July%202026.pdf" TargetMode="External" /><Relationship Type="http://schemas.openxmlformats.org/officeDocument/2006/relationships/hyperlink" Id="rId172" Target="https://www.ajc.com/news/2026/09/georgia-families-sue-meta-accuse-its-data-center-of-tainting-their-water/" TargetMode="External" /><Relationship Type="http://schemas.openxmlformats.org/officeDocument/2006/relationships/hyperlink" Id="rId194" Target="https://www.akingump.com/en/insights/blogs/speaking-energy/ferc-issues-landmark-show-cause-orders-on-large-load-interconnection" TargetMode="External" /><Relationship Type="http://schemas.openxmlformats.org/officeDocument/2006/relationships/hyperlink" Id="rId218" Target="https://www.axios.com/2026/03/25/sanders-aoc-data-center-moratorium-bill" TargetMode="External" /><Relationship Type="http://schemas.openxmlformats.org/officeDocument/2006/relationships/hyperlink" Id="rId427" Target="https://www.axios.com/2026/06/03/google-pushes-water-standards-data-center-backlash" TargetMode="External" /><Relationship Type="http://schemas.openxmlformats.org/officeDocument/2006/relationships/hyperlink" Id="rId285" Target="https://www.bloomberg.com/news/articles/2025-03-26/microsoft-abandons-more-data-center-projects-td-cowen-says" TargetMode="External" /><Relationship Type="http://schemas.openxmlformats.org/officeDocument/2006/relationships/hyperlink" Id="rId181" Target="https://www.bloomberg.com/news/articles/2026-05-14/data-centers-drive-76-rise-in-power-bills-on-largest-us-grid" TargetMode="External" /><Relationship Type="http://schemas.openxmlformats.org/officeDocument/2006/relationships/hyperlink" Id="rId376" Target="https://www.bloomenergy.com/news/data-centers-plan-to-reduce-reliance-on-grid-finds-bloom-energys-2026-power-report/" TargetMode="External" /><Relationship Type="http://schemas.openxmlformats.org/officeDocument/2006/relationships/hyperlink" Id="rId300" Target="https://www.businessnorth.com/kuws_wisconsin_public_radio/meta-to-invest-more-than-1b-in-wisconsin-data-center-campus/article_61afe313-ac98-4740-a426-098806b0d62a.html" TargetMode="External" /><Relationship Type="http://schemas.openxmlformats.org/officeDocument/2006/relationships/hyperlink" Id="rId335" Target="https://www.cato.org/blog/turning-local-issue-federal-headache-problem-data-center-moratoriums" TargetMode="External" /><Relationship Type="http://schemas.openxmlformats.org/officeDocument/2006/relationships/hyperlink" Id="rId173" Target="https://www.cbsnews.com/atlanta/news/aoc-presses-epa-over-morgan-county-drinking-water-concerns-tied-to-georgia-data-center-development/" TargetMode="External" /><Relationship Type="http://schemas.openxmlformats.org/officeDocument/2006/relationships/hyperlink" Id="rId228" Target="https://www.cbsnews.com/news/elon-musk-data-centers-mississippi-family/" TargetMode="External" /><Relationship Type="http://schemas.openxmlformats.org/officeDocument/2006/relationships/hyperlink" Id="rId226" Target="https://www.cbsnews.com/news/mississippi-elon-musk-xai-data-center-power-plant-noise/" TargetMode="External" /><Relationship Type="http://schemas.openxmlformats.org/officeDocument/2006/relationships/hyperlink" Id="rId196" Target="https://www.cnbc.com/2026/01/16/musks-xai-faces-tougher-road-expanding-memphis-area-after-epa-update.html" TargetMode="External" /><Relationship Type="http://schemas.openxmlformats.org/officeDocument/2006/relationships/hyperlink" Id="rId179" Target="https://www.cnn.com/2025/05/19/climate/xai-musk-memphis-turbines-pollution" TargetMode="External" /><Relationship Type="http://schemas.openxmlformats.org/officeDocument/2006/relationships/hyperlink" Id="rId340" Target="https://www.cru.ie/about-us/news/the-cru-publishes-its-decision-on-new-electricity-connection-policy-for-data-centres/" TargetMode="External" /><Relationship Type="http://schemas.openxmlformats.org/officeDocument/2006/relationships/hyperlink" Id="rId233" Target="https://www.datacenterdynamics.com/en/news/elon-musks-xai-buys-one-million-sq-ft-site-for-second-memphis-data-center/" TargetMode="External" /><Relationship Type="http://schemas.openxmlformats.org/officeDocument/2006/relationships/hyperlink" Id="rId428" Target="https://www.datacenterdynamics.com/en/news/googles-electricity-use-grew-37-percent-in-2025-largest-annual-rise-to-date/" TargetMode="External" /><Relationship Type="http://schemas.openxmlformats.org/officeDocument/2006/relationships/hyperlink" Id="rId209" Target="https://www.datacenterdynamics.com/en/news/singapore-authorities-invite-applications-for-new-data-centers/" TargetMode="External" /><Relationship Type="http://schemas.openxmlformats.org/officeDocument/2006/relationships/hyperlink" Id="rId295" Target="https://www.datacenterdynamics.com/en/news/virginia-missed-more-than-16bn-in-tax-revenue-due-to-data-center-exemptions-in-2025/" TargetMode="External" /><Relationship Type="http://schemas.openxmlformats.org/officeDocument/2006/relationships/hyperlink" Id="rId468" Target="https://www.datacenterdynamics.com/en/news/virginias-loudoun-county-board-votes-to-pause-new-data-center-applications/" TargetMode="External" /><Relationship Type="http://schemas.openxmlformats.org/officeDocument/2006/relationships/hyperlink" Id="rId273" Target="https://www.datacenterdynamics.com/en/news/we-now-know-how-much-water-googles-oregon-data-centers-use-after-city-drops-lawsuit-against-journalists/" TargetMode="External" /><Relationship Type="http://schemas.openxmlformats.org/officeDocument/2006/relationships/hyperlink" Id="rId231" Target="https://www.datacenterdynamics.com/en/news/xai-colossus-memphis-power-tva/" TargetMode="External" /><Relationship Type="http://schemas.openxmlformats.org/officeDocument/2006/relationships/hyperlink" Id="rId276" Target="https://www.datacenterknowledge.com/build-design/microsoft-unveils-zero-water-data-centers-to-reduce-ai-climate-impact" TargetMode="External" /><Relationship Type="http://schemas.openxmlformats.org/officeDocument/2006/relationships/hyperlink" Id="rId315" Target="https://www.datacenters.google/efficiency" TargetMode="External" /><Relationship Type="http://schemas.openxmlformats.org/officeDocument/2006/relationships/hyperlink" Id="rId191" Target="https://www.eei.org/-/media/Project/EEI/Documents/Issues%20and%20Policy/List%20of%20Large%20Customer%20Projects%20and%20Tariffs" TargetMode="External" /><Relationship Type="http://schemas.openxmlformats.org/officeDocument/2006/relationships/hyperlink" Id="rId370" Target="https://www.eenews.net/articles/chevron-inks-deal-to-power-microsoft-data-center-in-texas/" TargetMode="External" /><Relationship Type="http://schemas.openxmlformats.org/officeDocument/2006/relationships/hyperlink" Id="rId182" Target="https://www.eenews.net/articles/data-centers-drive-76-surge-in-pjm-power-prices/" TargetMode="External" /><Relationship Type="http://schemas.openxmlformats.org/officeDocument/2006/relationships/hyperlink" Id="rId175" Target="https://www.eenews.net/articles/elon-musks-xai-in-memphis-35-gas-turbines-no-air-pollution-permits/" TargetMode="External" /><Relationship Type="http://schemas.openxmlformats.org/officeDocument/2006/relationships/hyperlink" Id="rId417" Target="https://www.eenews.net/articles/nuscale-cancels-first-of-a-kind-nuclear-project-as-costs-surge/" TargetMode="External" /><Relationship Type="http://schemas.openxmlformats.org/officeDocument/2006/relationships/hyperlink" Id="rId422" Target="https://www.eesi.org/articles/view/data-centers-and-water-consumption" TargetMode="External" /><Relationship Type="http://schemas.openxmlformats.org/officeDocument/2006/relationships/hyperlink" Id="rId409" Target="https://www.eia.gov/energyexplained/nuclear/" TargetMode="External" /><Relationship Type="http://schemas.openxmlformats.org/officeDocument/2006/relationships/hyperlink" Id="rId410" Target="https://www.eia.gov/kids/energy-sources/nonrenewable.php" TargetMode="External" /><Relationship Type="http://schemas.openxmlformats.org/officeDocument/2006/relationships/hyperlink" Id="rId378" Target="https://www.eia.gov/todayinenergy/detail.php?id=67205" TargetMode="External" /><Relationship Type="http://schemas.openxmlformats.org/officeDocument/2006/relationships/hyperlink" Id="rId307" Target="https://www.electricalmarketing.com/economic-data/construction-industry/article/55383786/data-centers-still-sizzling-with-a-287-april-yoy-spending-increase-to-507-billion" TargetMode="External" /><Relationship Type="http://schemas.openxmlformats.org/officeDocument/2006/relationships/hyperlink" Id="rId362" Target="https://www.enelnorthamerica.com/insights/blogs/miso-2025-capacity-auction-results" TargetMode="External" /><Relationship Type="http://schemas.openxmlformats.org/officeDocument/2006/relationships/hyperlink" Id="rId476" Target="https://www.energystar.gov/sites/default/files/tools/Data_Center_August_2018_EN_508.pdf" TargetMode="External" /><Relationship Type="http://schemas.openxmlformats.org/officeDocument/2006/relationships/hyperlink" Id="rId395" Target="https://www.epa.gov/greenvehicles/greenhouse-gas-emissions-typical-passenger-vehicle" TargetMode="External" /><Relationship Type="http://schemas.openxmlformats.org/officeDocument/2006/relationships/hyperlink" Id="rId424" Target="https://www.fastcompany.com/91396678/meta-georgia-data-center-stanton-springs" TargetMode="External" /><Relationship Type="http://schemas.openxmlformats.org/officeDocument/2006/relationships/hyperlink" Id="rId322" Target="https://www.fool.com/earnings/call-transcripts/2025/10/29/microsoft-msft-q1-2026-earnings-call-transcript" TargetMode="External" /><Relationship Type="http://schemas.openxmlformats.org/officeDocument/2006/relationships/hyperlink" Id="rId479" Target="https://www.fortune.com/2026/04/16/stanford-study-how-has-china-gained-on-us-ai-war/" TargetMode="External" /><Relationship Type="http://schemas.openxmlformats.org/officeDocument/2006/relationships/hyperlink" Id="rId452" Target="https://www.goodwinlaw.com/en/insights/publications/2025/07/alerts-technology-aiml-trump-administration-action-plan" TargetMode="External" /><Relationship Type="http://schemas.openxmlformats.org/officeDocument/2006/relationships/hyperlink" Id="rId235" Target="https://www.govinfo.gov/content/pkg/FR-2025-07-28/html/2025-14212.htm" TargetMode="External" /><Relationship Type="http://schemas.openxmlformats.org/officeDocument/2006/relationships/hyperlink" Id="rId202" Target="https://www.govtrack.us/congress/bills/119/s4213/text/is" TargetMode="External" /><Relationship Type="http://schemas.openxmlformats.org/officeDocument/2006/relationships/hyperlink" Id="rId354" Target="https://www.hklaw.com/en/insights/publications/2026/02/proposed-florida-legislation-creates-new-regulatory-framework" TargetMode="External" /><Relationship Type="http://schemas.openxmlformats.org/officeDocument/2006/relationships/hyperlink" Id="rId471" Target="https://www.hklaw.com/en/insights/publications/2026/08/virginia-preserves-data-center-tax-incentive" TargetMode="External" /><Relationship Type="http://schemas.openxmlformats.org/officeDocument/2006/relationships/hyperlink" Id="rId204" Target="https://www.hklaw.com/en/insights/publications/2026/10/californias-2026-data-center-laws-what-you-need-to-know" TargetMode="External" /><Relationship Type="http://schemas.openxmlformats.org/officeDocument/2006/relationships/hyperlink" Id="rId413" Target="https://www.hstoday.us/subject-matter-areas/climate-security/gao-calls-for-congressional-action-on-spent-nuclear-fuel/" TargetMode="External" /><Relationship Type="http://schemas.openxmlformats.org/officeDocument/2006/relationships/hyperlink" Id="rId472" Target="https://www.hunton.com/insights/legal/virginia-adds-electricity-consumption-tax-but-stops-short-of-repealing-data-center-sales-tax-exemption" TargetMode="External" /><Relationship Type="http://schemas.openxmlformats.org/officeDocument/2006/relationships/hyperlink" Id="rId130" Target="https://www.ibm.com/think/topics/hyperscale-data-center" TargetMode="External" /><Relationship Type="http://schemas.openxmlformats.org/officeDocument/2006/relationships/hyperlink" Id="rId403" Target="https://www.iea.org/reports/energy-and-ai/ai-and-climate-change" TargetMode="External" /><Relationship Type="http://schemas.openxmlformats.org/officeDocument/2006/relationships/hyperlink" Id="rId149" Target="https://www.iea.org/reports/key-questions-on-energy-and-ai/executive-summary" TargetMode="External" /><Relationship Type="http://schemas.openxmlformats.org/officeDocument/2006/relationships/hyperlink" Id="rId262" Target="https://www.industrialinfo.com/iirenergy/industry-news/article/louisiana-greenlights-massive-power-projects-for-meta-data-center--345274" TargetMode="External" /><Relationship Type="http://schemas.openxmlformats.org/officeDocument/2006/relationships/hyperlink" Id="rId347" Target="https://www.inquirer.com/business/technology/vineland-nj-dataone-data-center-residents-noise-water-20261001.html" TargetMode="External" /><Relationship Type="http://schemas.openxmlformats.org/officeDocument/2006/relationships/hyperlink" Id="rId213" Target="https://www.ipm.org/news/2026-07-14/data-center-moratorium-advances-for-indianapolis" TargetMode="External" /><Relationship Type="http://schemas.openxmlformats.org/officeDocument/2006/relationships/hyperlink" Id="rId274" Target="https://www.ksat.com/news/politics/2022/12/15/oregon-city-drops-fight-to-keep-google-water-use-private/" TargetMode="External" /><Relationship Type="http://schemas.openxmlformats.org/officeDocument/2006/relationships/hyperlink" Id="rId366" Target="https://www.law.cornell.edu/regulations/texas/16-Tex-Admin-Code-SS-25-509" TargetMode="External" /><Relationship Type="http://schemas.openxmlformats.org/officeDocument/2006/relationships/hyperlink" Id="rId206" Target="https://www.law.cornell.edu/supremecourt/text/00-1167" TargetMode="External" /><Relationship Type="http://schemas.openxmlformats.org/officeDocument/2006/relationships/hyperlink" Id="rId128" Target="https://www.law.cornell.edu/wex/moratorium" TargetMode="External" /><Relationship Type="http://schemas.openxmlformats.org/officeDocument/2006/relationships/hyperlink" Id="rId405" Target="https://www.localmemphis.com/article/news/local/city-of-memphis-announces-initial-air-quality-testing/522-2f46c313-6717-4a85-b5fd-7831b3cba84a" TargetMode="External" /><Relationship Type="http://schemas.openxmlformats.org/officeDocument/2006/relationships/hyperlink" Id="rId303" Target="https://www.loudoun.gov/6409/Tax-Revenues-County-Budget" TargetMode="External" /><Relationship Type="http://schemas.openxmlformats.org/officeDocument/2006/relationships/hyperlink" Id="rId304" Target="https://www.loudoun.gov/DocumentCenter/View/213222/FY-2026-Proposed-Budget-Presentation" TargetMode="External" /><Relationship Type="http://schemas.openxmlformats.org/officeDocument/2006/relationships/hyperlink" Id="rId302" Target="https://www.loudoun.gov/Faq.aspx?QID=1793" TargetMode="External" /><Relationship Type="http://schemas.openxmlformats.org/officeDocument/2006/relationships/hyperlink" Id="rId466" Target="https://www.loudoun.gov/m/newsflash/home/detail/10874" TargetMode="External" /><Relationship Type="http://schemas.openxmlformats.org/officeDocument/2006/relationships/hyperlink" Id="rId337" Target="https://www.maine.gov/governor/mills/news/governor-mills-announces-decision-ld-307-2026-04-24" TargetMode="External" /><Relationship Type="http://schemas.openxmlformats.org/officeDocument/2006/relationships/hyperlink" Id="rId323" Target="https://www.marketbeat.com/instant-alerts/microsoft-q4-earnings-call-highlights-2026-07-29/" TargetMode="External" /><Relationship Type="http://schemas.openxmlformats.org/officeDocument/2006/relationships/hyperlink" Id="rId333" Target="https://www.mayerbrown.com/en/insights/publications/2025/07/important-texas-regulatory-updates-for-data-centers" TargetMode="External" /><Relationship Type="http://schemas.openxmlformats.org/officeDocument/2006/relationships/hyperlink" Id="rId448" Target="https://www.mercomindia.com/strong-solar-buildout-pushes-chinas-power-capacity-to-3890-gw" TargetMode="External" /><Relationship Type="http://schemas.openxmlformats.org/officeDocument/2006/relationships/hyperlink" Id="rId229" Target="https://www.mississippifreepress.org/as-musks-xai-data-centers-encroach-on-southaven-north-mississippi-residents-push-back/" TargetMode="External" /><Relationship Type="http://schemas.openxmlformats.org/officeDocument/2006/relationships/hyperlink" Id="rId225" Target="https://www.mississippifreepress.org/southaven-residents-sue-xai-alleging-near-constant-noise-from-gas-turbines-is-causing-harm/" TargetMode="External" /><Relationship Type="http://schemas.openxmlformats.org/officeDocument/2006/relationships/hyperlink" Id="rId352" Target="https://www.mondaq.com/unitedstates/water/1851474/californias-2026-data-center-laws-what-you-need-to-know" TargetMode="External" /><Relationship Type="http://schemas.openxmlformats.org/officeDocument/2006/relationships/hyperlink" Id="rId238" Target="https://www.monitoringanalytics.com/reports/PJM_State_of_the_Market/2025/2025-som-pjm-vol1.pdf" TargetMode="External" /><Relationship Type="http://schemas.openxmlformats.org/officeDocument/2006/relationships/hyperlink" Id="rId244" Target="https://www.monitoringanalytics.com/reports/PJM_State_of_the_Market/2026/2026q1-som-pjm-sec1.pdf" TargetMode="External" /><Relationship Type="http://schemas.openxmlformats.org/officeDocument/2006/relationships/hyperlink" Id="rId433" Target="https://www.monitoringanalytics.com/reports/presentations/2026/IMM_MC_Market_Monitor_Report_20260728.pdf" TargetMode="External" /><Relationship Type="http://schemas.openxmlformats.org/officeDocument/2006/relationships/hyperlink" Id="rId210" Target="https://www.morganlewis.com/pubs/2026/03/singapore-announces-data-center-capacity-allocation-call" TargetMode="External" /><Relationship Type="http://schemas.openxmlformats.org/officeDocument/2006/relationships/hyperlink" Id="rId467" Target="https://www.nbcwashington.com/news/local/northern-virginia/loudoun-county-board-pauses-data-center-applications/4155005/" TargetMode="External" /><Relationship Type="http://schemas.openxmlformats.org/officeDocument/2006/relationships/hyperlink" Id="rId249" Target="https://www.nerc.com/globalassets/our-work/assessments/nerc_ltra_2025.pdf" TargetMode="External" /><Relationship Type="http://schemas.openxmlformats.org/officeDocument/2006/relationships/hyperlink" Id="rId147" Target="https://www.nist.gov/news-events/news/2025/09/caisi-evaluation-deepseek-ai-models-finds-shortcomings-and-risks" TargetMode="External" /><Relationship Type="http://schemas.openxmlformats.org/officeDocument/2006/relationships/hyperlink" Id="rId258" Target="https://www.npr.org/2022/01/03/1069974416/texas-winter-storm-final-death-toll" TargetMode="External" /><Relationship Type="http://schemas.openxmlformats.org/officeDocument/2006/relationships/hyperlink" Id="rId177" Target="https://www.npr.org/2024/09/11/nx-s1-5088134/elon-musk-ai-xai-supercomputer-memp-pollution" TargetMode="External" /><Relationship Type="http://schemas.openxmlformats.org/officeDocument/2006/relationships/hyperlink" Id="rId199" Target="https://www.npr.org/2026/08/26/nx-s1-5879509/in-louisiana-ndas-covered-up-a-data-center-deal-that-residents-didnt-know-was-coming" TargetMode="External" /><Relationship Type="http://schemas.openxmlformats.org/officeDocument/2006/relationships/hyperlink" Id="rId200" Target="https://www.npr.org/2026/08/27/nx-s1-5879528/data-center-nda-disclosure-louisiana" TargetMode="External" /><Relationship Type="http://schemas.openxmlformats.org/officeDocument/2006/relationships/hyperlink" Id="rId326" Target="https://www.nsenergybusiness.com/news/kairos-power-google-sign-deal-to-deploy-advanced-nuclear-power-in-us/" TargetMode="External" /><Relationship Type="http://schemas.openxmlformats.org/officeDocument/2006/relationships/hyperlink" Id="rId436" Target="https://www.nysrc.org/wp-content/uploads/2026/04/NYSRC-LLWG-4-Att.-9-FERC-Denies-PJM-LL-Complaint.pdf" TargetMode="External" /><Relationship Type="http://schemas.openxmlformats.org/officeDocument/2006/relationships/hyperlink" Id="rId461" Target="https://www.opportunitylouisiana.gov/news/meta-selects-northeast-louisiana-as-site-of-10-billion-artificial-intelligence-optimized-data-center-governor-jeff-landry-calls-investment-a-new-chapter-for-state" TargetMode="External" /><Relationship Type="http://schemas.openxmlformats.org/officeDocument/2006/relationships/hyperlink" Id="rId241" Target="https://www.ourenergypolicy.org/wp-content/uploads/2018/03/Monitoring-Analytics.pdf" TargetMode="External" /><Relationship Type="http://schemas.openxmlformats.org/officeDocument/2006/relationships/hyperlink" Id="rId360" Target="https://www.pa.gov/governor/newsroom/2026-press-releases/gov-shapiro-responds-to-pjm--calls-for-extension-price-collar-pr" TargetMode="External" /><Relationship Type="http://schemas.openxmlformats.org/officeDocument/2006/relationships/hyperlink" Id="rId350" Target="https://www.pecva.org/resources/publications/piedmont-view/what-happens-when-the-grid-cant-keep-up/" TargetMode="External" /><Relationship Type="http://schemas.openxmlformats.org/officeDocument/2006/relationships/hyperlink" Id="rId163" Target="https://www.pewresearch.org/short-reads/2025/10/24/what-we-know-about-energy-use-at-us-data-centers-amid-the-ai-boom/" TargetMode="External" /><Relationship Type="http://schemas.openxmlformats.org/officeDocument/2006/relationships/hyperlink" Id="rId443" Target="https://www.pjm.com/-/media/DotCom/committees-groups/workshops/cllsco/2026/20260818/20260818-granted-abeyance---docket-el26-67-000.pdf" TargetMode="External" /><Relationship Type="http://schemas.openxmlformats.org/officeDocument/2006/relationships/hyperlink" Id="rId253" Target="https://www.pjm.com/-/media/DotCom/documents/ferc/filings/2025/20251125-el26-30-000.pdf" TargetMode="External" /><Relationship Type="http://schemas.openxmlformats.org/officeDocument/2006/relationships/hyperlink" Id="rId444" Target="https://www.pjm.com/-/media/DotCom/documents/ferc/orders/2026/20260814-el26-67-000.pdf" TargetMode="External" /><Relationship Type="http://schemas.openxmlformats.org/officeDocument/2006/relationships/hyperlink" Id="rId250" Target="https://www.powermag.com/nerc-warns-long-term-grid-reliability-risks-mounting-from-surging-demand-lagging-resources/" TargetMode="External" /><Relationship Type="http://schemas.openxmlformats.org/officeDocument/2006/relationships/hyperlink" Id="rId439" Target="https://www.publicpower.org/periodical/article/complaint-filed-ferc-challenges-pjm-rules-tied-data-center-driven-transmission-costs" TargetMode="External" /><Relationship Type="http://schemas.openxmlformats.org/officeDocument/2006/relationships/hyperlink" Id="rId449" Target="https://www.pv-magazine.com/2026/01/28/china-adds-315-gw-of-solar-in-2025/" TargetMode="External" /><Relationship Type="http://schemas.openxmlformats.org/officeDocument/2006/relationships/hyperlink" Id="rId374" Target="https://www.rbccm.com/en/insights/2026/05/natural-gas-powers-the-data-center-boom" TargetMode="External" /><Relationship Type="http://schemas.openxmlformats.org/officeDocument/2006/relationships/hyperlink" Id="rId279" Target="https://www.renewableenergyworld.com/energy-business/policy-and-regulation/ohio-utility-regulators-approve-aeps-contested-data-center-tariff-proposal/" TargetMode="External" /><Relationship Type="http://schemas.openxmlformats.org/officeDocument/2006/relationships/hyperlink" Id="rId232" Target="https://www.renewableenergyworld.com/energy-business/policy-and-regulation/tva-approves-elon-musks-controversial-data-center-plan-for-more-power" TargetMode="External" /><Relationship Type="http://schemas.openxmlformats.org/officeDocument/2006/relationships/hyperlink" Id="rId329" Target="https://www.renewableenergyworld.com/news/ferc-rejects-amended-interconnection-agreement-for-amazon-data-center-at-susquehanna-nuclear-plant/" TargetMode="External" /><Relationship Type="http://schemas.openxmlformats.org/officeDocument/2006/relationships/hyperlink" Id="rId343" Target="https://www.renewableenergyworld.com/power-grid/transmission/an-extension-cord-to-virginia-marylanders-push-back-against-proposed-pjm-transmission-line-carving-through-farmland-2/" TargetMode="External" /><Relationship Type="http://schemas.openxmlformats.org/officeDocument/2006/relationships/hyperlink" Id="rId240" Target="https://www.rtoinsider.com/127963-pjm-state-of-the-market-2025-data-center-burden/" TargetMode="External" /><Relationship Type="http://schemas.openxmlformats.org/officeDocument/2006/relationships/hyperlink" Id="rId435" Target="https://www.rtoinsider.com/128871-ferc-denies-imm-complaint-establish-pjm-authority-reject-large-loads/" TargetMode="External" /><Relationship Type="http://schemas.openxmlformats.org/officeDocument/2006/relationships/hyperlink" Id="rId217" Target="https://www.sanders.senate.gov/press-releases/news-sanders-ocasio-cortez-announce-ai-data-center-moratorium-act/" TargetMode="External" /><Relationship Type="http://schemas.openxmlformats.org/officeDocument/2006/relationships/hyperlink" Id="rId197" Target="https://www.selc.org/press-release/epa-confirms-that-large-methane-gas-turbines-require-permits/" TargetMode="External" /><Relationship Type="http://schemas.openxmlformats.org/officeDocument/2006/relationships/hyperlink" Id="rId385" Target="https://www.selc.org/resource/uncertainty-and-upward-bias-are-inherent-in-data-center-electricity-demand-projections/" TargetMode="External" /><Relationship Type="http://schemas.openxmlformats.org/officeDocument/2006/relationships/hyperlink" Id="rId283" Target="https://www.semafor.com/article/08/19/2025/openais-sam-altman-points-to-ai-bubble" TargetMode="External" /><Relationship Type="http://schemas.openxmlformats.org/officeDocument/2006/relationships/hyperlink" Id="rId170" Target="https://www.sfexaminer.com/their-water-taps-ran-dry-when-meta-built-next-door/article_d37b83df-16f4-5fcb-9b63-958a4d5c3a05.html" TargetMode="External" /><Relationship Type="http://schemas.openxmlformats.org/officeDocument/2006/relationships/hyperlink" Id="rId463" Target="https://www.shreveportbossieradvocate.com/business/north-louisiana-meta-project-growth/article_a32cff13-3b69-4d11-b993-19f130542e63.html" TargetMode="External" /><Relationship Type="http://schemas.openxmlformats.org/officeDocument/2006/relationships/hyperlink" Id="rId365" Target="https://www.spglobal.com/energy/en/news-research/latest-news/natural-gas/120221-texas-regulators-ok-5000mwh-cap-jan-1-replacing-9000mwh" TargetMode="External" /><Relationship Type="http://schemas.openxmlformats.org/officeDocument/2006/relationships/hyperlink" Id="rId169" Target="https://www.spokesman.com/stories/2025/jul/19/their-water-taps-ran-dry-when-meta-built-next-door/" TargetMode="External" /><Relationship Type="http://schemas.openxmlformats.org/officeDocument/2006/relationships/hyperlink" Id="rId420" Target="https://www.techradar.com/pro/microsoft-admits-its-carbon-emissions-grew-25-percent-in-2025-including-a-rise-in-fossil-fuel-use" TargetMode="External" /><Relationship Type="http://schemas.openxmlformats.org/officeDocument/2006/relationships/hyperlink" Id="rId222" Target="https://www.techspot.com/news/112356-data-center-used-29-million-gallons-water-without.html" TargetMode="External" /><Relationship Type="http://schemas.openxmlformats.org/officeDocument/2006/relationships/hyperlink" Id="rId257" Target="https://www.texastribune.org/2022/01/02/texas-winter-storm-final-death-toll-246" TargetMode="External" /><Relationship Type="http://schemas.openxmlformats.org/officeDocument/2006/relationships/hyperlink" Id="rId294" Target="https://www.theregister.com/2026/01/07/datacenter_tax_breaks_virginia/" TargetMode="External" /><Relationship Type="http://schemas.openxmlformats.org/officeDocument/2006/relationships/hyperlink" Id="rId317" Target="https://www.thurrott.com/a-i/314112/openai-launches-200-month-chatgpt-pro-subscription-with-exclusive-o1-pro-mode" TargetMode="External" /><Relationship Type="http://schemas.openxmlformats.org/officeDocument/2006/relationships/hyperlink" Id="rId358" Target="https://www.troutmanenergyreport.com/2026/05/ferc-accepts-pjm-capacity-market-price-collar-extension/" TargetMode="External" /><Relationship Type="http://schemas.openxmlformats.org/officeDocument/2006/relationships/hyperlink" Id="rId401" Target="https://www.utilitydive.com/news/corporate-clean-energy-procurement-ppa-meta-amazon-google/812591/" TargetMode="External" /><Relationship Type="http://schemas.openxmlformats.org/officeDocument/2006/relationships/hyperlink" Id="rId193" Target="https://www.utilitydive.com/news/data-center-interconnection-ferc-large-load-show-cause/824501/" TargetMode="External" /><Relationship Type="http://schemas.openxmlformats.org/officeDocument/2006/relationships/hyperlink" Id="rId165" Target="https://www.utilitydive.com/news/data-centers-pjm-capacity-auction/808951/" TargetMode="External" /><Relationship Type="http://schemas.openxmlformats.org/officeDocument/2006/relationships/hyperlink" Id="rId445" Target="https://www.utilitydive.com/news/ferc-data-center-pjm-transmission-costs/825760/" TargetMode="External" /><Relationship Type="http://schemas.openxmlformats.org/officeDocument/2006/relationships/hyperlink" Id="rId438" Target="https://www.utilitydive.com/news/maryland-ratepayer-advocate-ferc-data-center-complaint-transmission/823244/" TargetMode="External" /><Relationship Type="http://schemas.openxmlformats.org/officeDocument/2006/relationships/hyperlink" Id="rId363" Target="https://www.utilitydive.com/news/miso-capacity-auction-nerc/818797/" TargetMode="External" /><Relationship Type="http://schemas.openxmlformats.org/officeDocument/2006/relationships/hyperlink" Id="rId382" Target="https://www.utilitydive.com/news/nerc-overstates-reliability-risks-ltra-grid-strategies/814292/" TargetMode="External" /><Relationship Type="http://schemas.openxmlformats.org/officeDocument/2006/relationships/hyperlink" Id="rId239" Target="https://www.utilitydive.com/news/pjm-capacity-energy-market-reliability-monitoring-analytics/814647/" TargetMode="External" /><Relationship Type="http://schemas.openxmlformats.org/officeDocument/2006/relationships/hyperlink" Id="rId252" Target="https://www.utilitydive.com/news/pjm-data-center-interconnection-market-monitor-ferc-complaint/806527/" TargetMode="External" /><Relationship Type="http://schemas.openxmlformats.org/officeDocument/2006/relationships/hyperlink" Id="rId430" Target="https://www.utilitydive.com/news/pjm-data-centers-capacity-auction-imm-bowring/825626/" TargetMode="External" /><Relationship Type="http://schemas.openxmlformats.org/officeDocument/2006/relationships/hyperlink" Id="rId332" Target="https://www.utilitydive.com/news/texas-law-gives-grid-operator-power-to-disconnect-data-centers-during-crisis/751587" TargetMode="External" /><Relationship Type="http://schemas.openxmlformats.org/officeDocument/2006/relationships/hyperlink" Id="rId455" Target="https://www.veanea.org/new-nea-reports-show-progress-on-virginia-educator-pay-but-major-challenges-remain/" TargetMode="External" /><Relationship Type="http://schemas.openxmlformats.org/officeDocument/2006/relationships/hyperlink" Id="rId338" Target="https://www.wabi.tv/2026/04/29/maine-legislature-does-not-override-gov-mills-veto-data-center-moratorium/" TargetMode="External" /><Relationship Type="http://schemas.openxmlformats.org/officeDocument/2006/relationships/hyperlink" Id="rId212" Target="https://www.wfyi.org/wfyi-news/2026-08-10/indy-council-advances-pause-on-data-centers-sends-to-commission-for-final-approval" TargetMode="External" /><Relationship Type="http://schemas.openxmlformats.org/officeDocument/2006/relationships/hyperlink" Id="rId236" Target="https://www.whitehouse.gov/presidential-actions/2025/07/accelerating-federal-permitting-of-data-center-infrastructure/" TargetMode="External" /><Relationship Type="http://schemas.openxmlformats.org/officeDocument/2006/relationships/hyperlink" Id="rId188" Target="https://www.whitehouse.gov/ratepayer-protection-pledge/" TargetMode="External" /><Relationship Type="http://schemas.openxmlformats.org/officeDocument/2006/relationships/hyperlink" Id="rId451" Target="https://www.whitehouse.gov/wp-content/uploads/2025/07/Americas-AI-Action-Plan.pdf" TargetMode="External" /><Relationship Type="http://schemas.openxmlformats.org/officeDocument/2006/relationships/hyperlink" Id="rId341" Target="https://www.williamfry.com/knowledge/cru-publishes-long-awaited-final-policy-on-data-centre-connections/" TargetMode="External" /><Relationship Type="http://schemas.openxmlformats.org/officeDocument/2006/relationships/hyperlink" Id="rId320" Target="https://www.wisdomtree.com/investments/blog/2025/05/19/280x-cheaper-the-real-ai-revolution-is-accessibility" TargetMode="External" /><Relationship Type="http://schemas.openxmlformats.org/officeDocument/2006/relationships/hyperlink" Id="rId305" Target="https://www.wusa9.com/article/news/community/data-centers/data-center-pause-loudoun-county-supervisors-tax-revenue/65-b9e5f62b-5352-400e-b379-72090f753232" TargetMode="External" /><Relationship Type="http://schemas.openxmlformats.org/officeDocument/2006/relationships/hyperlink" Id="rId263" Target="https://www.wwno.org/coastal-desk/2026-04-21/advocates-cite-lack-of-transparency-rising-costs-as-regulators-fast-track-second-meta-data-ce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Müller</dc:creator>
  <cp:keywords/>
  <dcterms:created xsi:type="dcterms:W3CDTF">2026-10-11T23:53:31Z</dcterms:created>
  <dcterms:modified xsi:type="dcterms:W3CDTF">2026-10-11T23:53:31Z</dcterms:modified>
  <dc:title>Debate Dossier – Hyperscale Data Center Moratorium</dc:title>
</cp:coreProperties>
</file>

<file path=docProps/custom.xml><?xml version="1.0" encoding="utf-8"?>
<Properties xmlns="http://schemas.openxmlformats.org/officeDocument/2006/custom-properties" xmlns:vt="http://schemas.openxmlformats.org/officeDocument/2006/docPropsVTypes"/>
</file>