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84DA" w14:textId="1B5C1D38" w:rsidR="00CE6EAA" w:rsidRPr="00BF1BF9" w:rsidRDefault="00A50033" w:rsidP="00A90188">
      <w:pPr>
        <w:spacing w:before="100" w:beforeAutospacing="1" w:after="100" w:afterAutospacing="1"/>
        <w:jc w:val="center"/>
        <w:rPr>
          <w:rFonts w:ascii="Myriad Pro" w:hAnsi="Myriad Pro"/>
          <w:i/>
          <w:sz w:val="22"/>
          <w:szCs w:val="22"/>
        </w:rPr>
      </w:pPr>
      <w:r w:rsidRPr="00BF1BF9">
        <w:rPr>
          <w:rFonts w:ascii="Myriad Pro" w:hAnsi="Myriad Pro"/>
          <w:i/>
          <w:sz w:val="22"/>
          <w:szCs w:val="22"/>
        </w:rPr>
        <w:t>[</w:t>
      </w:r>
      <w:r w:rsidR="00A90188">
        <w:rPr>
          <w:rFonts w:ascii="Myriad Pro" w:hAnsi="Myriad Pro"/>
          <w:i/>
          <w:sz w:val="22"/>
          <w:szCs w:val="22"/>
        </w:rPr>
        <w:t xml:space="preserve">Journal of Geophysical Research: </w:t>
      </w:r>
      <w:proofErr w:type="gramStart"/>
      <w:r w:rsidR="00A90188">
        <w:rPr>
          <w:rFonts w:ascii="Myriad Pro" w:hAnsi="Myriad Pro"/>
          <w:i/>
          <w:sz w:val="22"/>
          <w:szCs w:val="22"/>
        </w:rPr>
        <w:t xml:space="preserve">Atmospheres </w:t>
      </w:r>
      <w:r w:rsidRPr="00BF1BF9">
        <w:rPr>
          <w:rFonts w:ascii="Myriad Pro" w:hAnsi="Myriad Pro"/>
          <w:i/>
          <w:sz w:val="22"/>
          <w:szCs w:val="22"/>
        </w:rPr>
        <w:t>]</w:t>
      </w:r>
      <w:proofErr w:type="gramEnd"/>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3B0A1731" w14:textId="77777777" w:rsidR="00A90188" w:rsidRPr="0037787F" w:rsidRDefault="00A90188" w:rsidP="00A90188">
      <w:pPr>
        <w:pStyle w:val="Title"/>
      </w:pPr>
      <w:r w:rsidRPr="0037787F">
        <w:t>Air-Ice-Ocean Coupling During a Strong Mid-Winter Cyclone Part 1: Coupled Dynamic Interactions in Observations and a Model</w:t>
      </w:r>
    </w:p>
    <w:p w14:paraId="77A7EE89" w14:textId="77777777" w:rsidR="00A90188" w:rsidRDefault="00A90188" w:rsidP="00A90188">
      <w:pPr>
        <w:pStyle w:val="Authors"/>
        <w:spacing w:line="259" w:lineRule="auto"/>
      </w:pPr>
      <w:r>
        <w:t>D. M. Watkins</w:t>
      </w:r>
      <w:r w:rsidRPr="59CE765C">
        <w:rPr>
          <w:vertAlign w:val="superscript"/>
        </w:rPr>
        <w:t>1</w:t>
      </w:r>
      <w:r>
        <w:t>, P. O. G. Persson</w:t>
      </w:r>
      <w:r w:rsidRPr="59CE765C">
        <w:rPr>
          <w:vertAlign w:val="superscript"/>
        </w:rPr>
        <w:t>2</w:t>
      </w:r>
      <w:r>
        <w:t>, T. Stanton</w:t>
      </w:r>
      <w:r w:rsidRPr="59CE765C">
        <w:rPr>
          <w:vertAlign w:val="superscript"/>
        </w:rPr>
        <w:t>3</w:t>
      </w:r>
      <w:r>
        <w:t>, A. Solomon</w:t>
      </w:r>
      <w:r>
        <w:rPr>
          <w:vertAlign w:val="superscript"/>
        </w:rPr>
        <w:t>2</w:t>
      </w:r>
      <w:r>
        <w:t>, J. K. Hutchings</w:t>
      </w:r>
      <w:r>
        <w:rPr>
          <w:vertAlign w:val="superscript"/>
        </w:rPr>
        <w:t>4</w:t>
      </w:r>
      <w:r>
        <w:t xml:space="preserve"> J. Haapala</w:t>
      </w:r>
      <w:r>
        <w:rPr>
          <w:vertAlign w:val="superscript"/>
        </w:rPr>
        <w:t>5</w:t>
      </w:r>
      <w:r>
        <w:t>, G. Svensson</w:t>
      </w:r>
      <w:r>
        <w:rPr>
          <w:vertAlign w:val="superscript"/>
        </w:rPr>
        <w:t>6</w:t>
      </w:r>
    </w:p>
    <w:p w14:paraId="2F72CBE1" w14:textId="77777777" w:rsidR="00A90188" w:rsidRDefault="00A90188" w:rsidP="00A90188">
      <w:pPr>
        <w:pStyle w:val="Affiliation"/>
      </w:pPr>
      <w:r w:rsidRPr="398DB27E">
        <w:rPr>
          <w:vertAlign w:val="superscript"/>
        </w:rPr>
        <w:t>1</w:t>
      </w:r>
      <w:r>
        <w:t xml:space="preserve">Center for Fluid Mechanics, Brown University, Providence, RI, USA. </w:t>
      </w:r>
      <w:r>
        <w:rPr>
          <w:vertAlign w:val="superscript"/>
        </w:rPr>
        <w:t>2</w:t>
      </w:r>
      <w:r>
        <w:t xml:space="preserve">Cooperative Institute for Research in Environmental Sciences, University of Colorado, Boulder CO and NOAA/Physical Sciences Laboratory, Boulder CO, USA.  </w:t>
      </w:r>
      <w:r w:rsidRPr="398DB27E">
        <w:rPr>
          <w:vertAlign w:val="superscript"/>
        </w:rPr>
        <w:t>3</w:t>
      </w:r>
      <w:r>
        <w:t xml:space="preserve">Moss Landing Marine Laboratories and Naval Postgraduate School, CA, USA. </w:t>
      </w:r>
      <w:r>
        <w:rPr>
          <w:vertAlign w:val="superscript"/>
        </w:rPr>
        <w:t>4</w:t>
      </w:r>
      <w:r>
        <w:t>College of Earth Ocean and Atmospheric Sciences, Oregon State University, Corvallis, OR, USA.</w:t>
      </w:r>
      <w:r w:rsidRPr="001D307B">
        <w:rPr>
          <w:vertAlign w:val="superscript"/>
        </w:rPr>
        <w:t xml:space="preserve"> </w:t>
      </w:r>
      <w:r>
        <w:rPr>
          <w:vertAlign w:val="superscript"/>
        </w:rPr>
        <w:t>5</w:t>
      </w:r>
      <w:r>
        <w:t xml:space="preserve">Finnish Meteorological Institute, Helsinki, </w:t>
      </w:r>
      <w:proofErr w:type="spellStart"/>
      <w:r>
        <w:t>Finnland</w:t>
      </w:r>
      <w:proofErr w:type="spellEnd"/>
      <w:r>
        <w:t xml:space="preserve">. </w:t>
      </w:r>
      <w:r>
        <w:rPr>
          <w:vertAlign w:val="superscript"/>
        </w:rPr>
        <w:t>6</w:t>
      </w:r>
      <w:r>
        <w:t>Stockholm University, Stockholm, Sweden</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750D34A0" w:rsidR="00111843" w:rsidRPr="00CE6EAA" w:rsidRDefault="00111843" w:rsidP="00111843">
      <w:pPr>
        <w:ind w:left="720"/>
        <w:rPr>
          <w:rFonts w:ascii="Myriad Pro" w:hAnsi="Myriad Pro"/>
          <w:sz w:val="22"/>
          <w:szCs w:val="22"/>
        </w:rPr>
      </w:pPr>
      <w:r w:rsidRPr="00CE6EAA">
        <w:rPr>
          <w:rFonts w:ascii="Myriad Pro" w:hAnsi="Myriad Pro"/>
          <w:sz w:val="22"/>
          <w:szCs w:val="22"/>
        </w:rPr>
        <w:t>Text S1 to S</w:t>
      </w:r>
      <w:r w:rsidR="00EC67A4">
        <w:rPr>
          <w:rFonts w:ascii="Myriad Pro" w:hAnsi="Myriad Pro"/>
          <w:sz w:val="22"/>
          <w:szCs w:val="22"/>
        </w:rPr>
        <w:t>2</w:t>
      </w:r>
    </w:p>
    <w:p w14:paraId="10640459" w14:textId="64C56C86" w:rsidR="00111843" w:rsidRPr="00CE6EAA" w:rsidRDefault="00111843" w:rsidP="00111843">
      <w:pPr>
        <w:ind w:left="720"/>
        <w:rPr>
          <w:rFonts w:ascii="Myriad Pro" w:hAnsi="Myriad Pro"/>
          <w:sz w:val="22"/>
          <w:szCs w:val="22"/>
        </w:rPr>
      </w:pPr>
      <w:r w:rsidRPr="00CE6EAA">
        <w:rPr>
          <w:rFonts w:ascii="Myriad Pro" w:hAnsi="Myriad Pro"/>
          <w:sz w:val="22"/>
          <w:szCs w:val="22"/>
        </w:rPr>
        <w:t>Figures S1 to S</w:t>
      </w:r>
      <w:r w:rsidR="00EC67A4">
        <w:rPr>
          <w:rFonts w:ascii="Myriad Pro" w:hAnsi="Myriad Pro"/>
          <w:sz w:val="22"/>
          <w:szCs w:val="22"/>
        </w:rPr>
        <w:t>2</w:t>
      </w:r>
    </w:p>
    <w:p w14:paraId="6807841A" w14:textId="272F177C" w:rsidR="00111843" w:rsidRPr="00CE6EAA" w:rsidRDefault="00111843" w:rsidP="00111843">
      <w:pPr>
        <w:ind w:left="720"/>
        <w:rPr>
          <w:rFonts w:ascii="Myriad Pro" w:hAnsi="Myriad Pro"/>
          <w:sz w:val="22"/>
          <w:szCs w:val="22"/>
        </w:rPr>
      </w:pPr>
      <w:r w:rsidRPr="00CE6EAA">
        <w:rPr>
          <w:rFonts w:ascii="Myriad Pro" w:hAnsi="Myriad Pro"/>
          <w:sz w:val="22"/>
          <w:szCs w:val="22"/>
        </w:rPr>
        <w:t xml:space="preserve">Table S1 </w:t>
      </w:r>
    </w:p>
    <w:p w14:paraId="0363B503" w14:textId="77777777" w:rsidR="00111843" w:rsidRPr="00E40896" w:rsidRDefault="00111843" w:rsidP="00111843">
      <w:pPr>
        <w:ind w:left="720"/>
        <w:rPr>
          <w:rFonts w:ascii="Myriad Pro" w:hAnsi="Myriad Pro"/>
        </w:rPr>
      </w:pPr>
    </w:p>
    <w:p w14:paraId="795CD27E" w14:textId="77777777" w:rsidR="00111843" w:rsidRDefault="00111843" w:rsidP="00FF3503">
      <w:pPr>
        <w:spacing w:before="100" w:beforeAutospacing="1" w:after="100" w:afterAutospacing="1"/>
        <w:rPr>
          <w:rFonts w:ascii="Myriad Pro" w:hAnsi="Myriad Pro"/>
          <w:b/>
          <w:bCs/>
          <w:szCs w:val="24"/>
        </w:rPr>
      </w:pP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19886F0B" w14:textId="048E3635" w:rsidR="002C030F" w:rsidRPr="00E40896" w:rsidRDefault="00EC67A4">
      <w:pPr>
        <w:rPr>
          <w:rFonts w:ascii="Myriad Pro" w:hAnsi="Myriad Pro"/>
        </w:rPr>
      </w:pPr>
      <w:r>
        <w:rPr>
          <w:rFonts w:ascii="Myriad Pro" w:hAnsi="Myriad Pro"/>
          <w:sz w:val="22"/>
          <w:szCs w:val="22"/>
        </w:rPr>
        <w:t>The supplemental text and figures provide information on the 30 January storm for comparison with the 31 January-1 February storm that is the main focus of the article. Text S1 describes Figure S1, which includes the buoy velocity components and wind speed map for comparison with Figure 8. Text S2 describes Figure S2, which shows the deformation in the Distributed Network for comparison with Figure 10. Table S1 lists the reference buoys used at multi-sensor sites.</w:t>
      </w:r>
    </w:p>
    <w:p w14:paraId="2218C341" w14:textId="77777777" w:rsidR="00015F74" w:rsidRPr="00E40896" w:rsidRDefault="00015F74">
      <w:pPr>
        <w:rPr>
          <w:rFonts w:ascii="Myriad Pro" w:hAnsi="Myriad Pro"/>
          <w:b/>
        </w:rPr>
      </w:pPr>
    </w:p>
    <w:p w14:paraId="2B074851" w14:textId="77777777" w:rsidR="002C030F" w:rsidRPr="00E40896" w:rsidRDefault="002C030F">
      <w:pPr>
        <w:rPr>
          <w:rFonts w:ascii="Myriad Pro" w:hAnsi="Myriad Pro"/>
        </w:rPr>
      </w:pPr>
    </w:p>
    <w:p w14:paraId="516E0BA3" w14:textId="77777777" w:rsidR="0020183F" w:rsidRDefault="0020183F"/>
    <w:p w14:paraId="667D8CA8" w14:textId="77777777" w:rsidR="00015F74" w:rsidRPr="005314B5" w:rsidRDefault="00015F74" w:rsidP="00B9440A">
      <w:pPr>
        <w:pStyle w:val="SMHeading"/>
        <w:rPr>
          <w:rFonts w:ascii="Myriad Pro" w:hAnsi="Myriad Pro"/>
          <w:sz w:val="22"/>
          <w:szCs w:val="22"/>
        </w:rPr>
      </w:pPr>
      <w:r w:rsidRPr="005314B5">
        <w:rPr>
          <w:rFonts w:ascii="Myriad Pro" w:hAnsi="Myriad Pro"/>
          <w:sz w:val="22"/>
          <w:szCs w:val="22"/>
        </w:rPr>
        <w:lastRenderedPageBreak/>
        <w:t>Text</w:t>
      </w:r>
      <w:r w:rsidR="00D60BB0">
        <w:rPr>
          <w:rFonts w:ascii="Myriad Pro" w:hAnsi="Myriad Pro"/>
          <w:sz w:val="22"/>
          <w:szCs w:val="22"/>
        </w:rPr>
        <w:t xml:space="preserve"> S1.</w:t>
      </w:r>
    </w:p>
    <w:p w14:paraId="4CDF8FDF" w14:textId="69006D85" w:rsidR="00A90188" w:rsidRDefault="00A90188" w:rsidP="00A90188">
      <w:pPr>
        <w:pStyle w:val="Text"/>
        <w:ind w:firstLine="0"/>
        <w:rPr>
          <w:noProof/>
        </w:rPr>
      </w:pPr>
      <w:r>
        <w:rPr>
          <w:noProof/>
        </w:rPr>
        <w:t>The 30 January storm (C</w:t>
      </w:r>
      <w:r w:rsidRPr="004E75CF">
        <w:rPr>
          <w:noProof/>
          <w:vertAlign w:val="subscript"/>
        </w:rPr>
        <w:t>1</w:t>
      </w:r>
      <w:r>
        <w:rPr>
          <w:noProof/>
        </w:rPr>
        <w:t>) shows a similar pattern of differential motion across the extended DN as described for C</w:t>
      </w:r>
      <w:r w:rsidRPr="00A90188">
        <w:rPr>
          <w:noProof/>
          <w:vertAlign w:val="subscript"/>
        </w:rPr>
        <w:t>2</w:t>
      </w:r>
      <w:r>
        <w:rPr>
          <w:noProof/>
        </w:rPr>
        <w:t>, though to a lesser extent (Figure S1); maximum drift speeds are between 10-20 cm/s. We note that no cold-sector LLJ is visible in the sounding data for C</w:t>
      </w:r>
      <w:r w:rsidRPr="00783591">
        <w:rPr>
          <w:noProof/>
          <w:vertAlign w:val="subscript"/>
        </w:rPr>
        <w:t>1</w:t>
      </w:r>
      <w:r>
        <w:rPr>
          <w:noProof/>
        </w:rPr>
        <w:t>, (Figure 5a), and the sea level pressure fields from ERA5 (Figure 2) indicate that SLP reached maximum depth after the storm had moved past the MOSAiC array. Therefore, it is likely that if a cold-sector LLJ developed during C</w:t>
      </w:r>
      <w:r w:rsidRPr="00783591">
        <w:rPr>
          <w:noProof/>
          <w:vertAlign w:val="subscript"/>
        </w:rPr>
        <w:t>1</w:t>
      </w:r>
      <w:r>
        <w:rPr>
          <w:noProof/>
        </w:rPr>
        <w:t>, it developed after the storm had left the MOSAiC site.</w:t>
      </w:r>
    </w:p>
    <w:p w14:paraId="3C7A16EF" w14:textId="36B1E1A1" w:rsidR="009A5287" w:rsidRPr="00A90188" w:rsidRDefault="001265FA" w:rsidP="00A90188">
      <w:pPr>
        <w:pStyle w:val="SMText"/>
        <w:rPr>
          <w:rFonts w:ascii="Myriad Pro" w:hAnsi="Myriad Pro"/>
          <w:sz w:val="22"/>
          <w:szCs w:val="22"/>
        </w:rPr>
      </w:pPr>
      <w:r w:rsidRPr="001265FA">
        <w:rPr>
          <w:rFonts w:ascii="Myriad Pro" w:hAnsi="Myriad Pro"/>
          <w:sz w:val="22"/>
          <w:szCs w:val="22"/>
        </w:rPr>
        <w:t xml:space="preserve"> </w:t>
      </w:r>
    </w:p>
    <w:p w14:paraId="3B96FC8A" w14:textId="568F4CD9" w:rsidR="003E1980" w:rsidRPr="005314B5" w:rsidRDefault="00EA5AC4" w:rsidP="009A5287">
      <w:pPr>
        <w:pStyle w:val="SMcaption"/>
        <w:rPr>
          <w:rFonts w:ascii="Myriad Pro" w:hAnsi="Myriad Pro"/>
          <w:sz w:val="22"/>
          <w:szCs w:val="22"/>
        </w:rPr>
      </w:pPr>
      <w:r>
        <w:rPr>
          <w:rFonts w:ascii="Myriad Pro" w:hAnsi="Myriad Pro"/>
          <w:noProof/>
          <w:sz w:val="22"/>
          <w:szCs w:val="22"/>
        </w:rPr>
        <w:drawing>
          <wp:inline distT="0" distB="0" distL="0" distR="0" wp14:anchorId="0D099252" wp14:editId="27C7527C">
            <wp:extent cx="5486400" cy="3038475"/>
            <wp:effectExtent l="0" t="0" r="0" b="0"/>
            <wp:docPr id="173980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04025" name="Picture 17398040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38475"/>
                    </a:xfrm>
                    <a:prstGeom prst="rect">
                      <a:avLst/>
                    </a:prstGeom>
                  </pic:spPr>
                </pic:pic>
              </a:graphicData>
            </a:graphic>
          </wp:inline>
        </w:drawing>
      </w:r>
    </w:p>
    <w:p w14:paraId="34CE76F8" w14:textId="3ED0517E" w:rsidR="005314B5" w:rsidRDefault="00227D86" w:rsidP="00EA5AC4">
      <w:pPr>
        <w:pStyle w:val="SMHeading"/>
        <w:rPr>
          <w:rFonts w:ascii="Myriad Pro" w:hAnsi="Myriad Pro"/>
          <w:sz w:val="22"/>
          <w:szCs w:val="22"/>
        </w:rPr>
      </w:pPr>
      <w:r w:rsidRPr="005314B5">
        <w:rPr>
          <w:rFonts w:ascii="Myriad Pro" w:hAnsi="Myriad Pro"/>
          <w:sz w:val="22"/>
          <w:szCs w:val="22"/>
        </w:rPr>
        <w:t>Figure S1</w:t>
      </w:r>
      <w:r w:rsidR="003E1980" w:rsidRPr="005314B5">
        <w:rPr>
          <w:rFonts w:ascii="Myriad Pro" w:hAnsi="Myriad Pro"/>
          <w:sz w:val="22"/>
          <w:szCs w:val="22"/>
        </w:rPr>
        <w:t xml:space="preserve">. </w:t>
      </w:r>
      <w:r w:rsidR="00EA5AC4" w:rsidRPr="00EA5AC4">
        <w:rPr>
          <w:rFonts w:ascii="Myriad Pro" w:hAnsi="Myriad Pro"/>
          <w:b w:val="0"/>
          <w:sz w:val="22"/>
          <w:szCs w:val="22"/>
        </w:rPr>
        <w:t xml:space="preserve">Left: Buoy velocity components (a, b) and magnitude (c) for the period from </w:t>
      </w:r>
      <w:r w:rsidR="00EA5AC4">
        <w:rPr>
          <w:rFonts w:ascii="Myriad Pro" w:hAnsi="Myriad Pro"/>
          <w:b w:val="0"/>
          <w:sz w:val="22"/>
          <w:szCs w:val="22"/>
        </w:rPr>
        <w:t>18</w:t>
      </w:r>
      <w:r w:rsidR="00EA5AC4" w:rsidRPr="00EA5AC4">
        <w:rPr>
          <w:rFonts w:ascii="Myriad Pro" w:hAnsi="Myriad Pro"/>
          <w:b w:val="0"/>
          <w:sz w:val="22"/>
          <w:szCs w:val="22"/>
        </w:rPr>
        <w:t xml:space="preserve"> UTC on Jan. </w:t>
      </w:r>
      <w:r w:rsidR="00EA5AC4">
        <w:rPr>
          <w:rFonts w:ascii="Myriad Pro" w:hAnsi="Myriad Pro"/>
          <w:b w:val="0"/>
          <w:sz w:val="22"/>
          <w:szCs w:val="22"/>
        </w:rPr>
        <w:t>29</w:t>
      </w:r>
      <w:r w:rsidR="00EA5AC4" w:rsidRPr="00EA5AC4">
        <w:rPr>
          <w:rFonts w:ascii="Myriad Pro" w:hAnsi="Myriad Pro"/>
          <w:b w:val="0"/>
          <w:sz w:val="22"/>
          <w:szCs w:val="22"/>
        </w:rPr>
        <w:t xml:space="preserve"> to </w:t>
      </w:r>
      <w:r w:rsidR="00EA5AC4">
        <w:rPr>
          <w:rFonts w:ascii="Myriad Pro" w:hAnsi="Myriad Pro"/>
          <w:b w:val="0"/>
          <w:sz w:val="22"/>
          <w:szCs w:val="22"/>
        </w:rPr>
        <w:t>0</w:t>
      </w:r>
      <w:r w:rsidR="00EA5AC4" w:rsidRPr="00EA5AC4">
        <w:rPr>
          <w:rFonts w:ascii="Myriad Pro" w:hAnsi="Myriad Pro"/>
          <w:b w:val="0"/>
          <w:sz w:val="22"/>
          <w:szCs w:val="22"/>
        </w:rPr>
        <w:t xml:space="preserve"> UTC on Feb </w:t>
      </w:r>
      <w:r w:rsidR="00EA5AC4">
        <w:rPr>
          <w:rFonts w:ascii="Myriad Pro" w:hAnsi="Myriad Pro"/>
          <w:b w:val="0"/>
          <w:sz w:val="22"/>
          <w:szCs w:val="22"/>
        </w:rPr>
        <w:t>1</w:t>
      </w:r>
      <w:r w:rsidR="00EA5AC4" w:rsidRPr="00EA5AC4">
        <w:rPr>
          <w:rFonts w:ascii="Myriad Pro" w:hAnsi="Myriad Pro"/>
          <w:b w:val="0"/>
          <w:sz w:val="22"/>
          <w:szCs w:val="22"/>
        </w:rPr>
        <w:t xml:space="preserve">. The top and middle panels show the u and v velocity components relative to the north polar stereographic projection, thus corresponding to the x and y axis, respectively, in the panels on the right. For the period shown here, the positive y direction is approximately northward. Right: Snapshots of buoy motion (thick black arrows) superimposed on the ERA5 sea level pressure isobars (black contours, 4 </w:t>
      </w:r>
      <w:proofErr w:type="spellStart"/>
      <w:r w:rsidR="00EA5AC4" w:rsidRPr="00EA5AC4">
        <w:rPr>
          <w:rFonts w:ascii="Myriad Pro" w:hAnsi="Myriad Pro"/>
          <w:b w:val="0"/>
          <w:sz w:val="22"/>
          <w:szCs w:val="22"/>
        </w:rPr>
        <w:t>hPa</w:t>
      </w:r>
      <w:proofErr w:type="spellEnd"/>
      <w:r w:rsidR="00EA5AC4" w:rsidRPr="00EA5AC4">
        <w:rPr>
          <w:rFonts w:ascii="Myriad Pro" w:hAnsi="Myriad Pro"/>
          <w:b w:val="0"/>
          <w:sz w:val="22"/>
          <w:szCs w:val="22"/>
        </w:rPr>
        <w:t xml:space="preserve"> spacing) and near-surface (10 m) wind fields (blue arrows) at times corresponding to vertical lines in the velocity time series to the left. </w:t>
      </w:r>
    </w:p>
    <w:p w14:paraId="121C907C" w14:textId="77777777" w:rsidR="00EA5AC4" w:rsidRDefault="00EA5AC4" w:rsidP="00EA5AC4">
      <w:pPr>
        <w:pStyle w:val="SMcaption"/>
        <w:rPr>
          <w:rFonts w:ascii="Myriad Pro" w:hAnsi="Myriad Pro"/>
        </w:rPr>
      </w:pPr>
    </w:p>
    <w:p w14:paraId="7232FDB7" w14:textId="77777777" w:rsidR="00A90188" w:rsidRDefault="00A90188" w:rsidP="00EA5AC4">
      <w:pPr>
        <w:pStyle w:val="SMcaption"/>
        <w:rPr>
          <w:rFonts w:ascii="Myriad Pro" w:hAnsi="Myriad Pro"/>
        </w:rPr>
      </w:pPr>
    </w:p>
    <w:p w14:paraId="2ACB0E3C" w14:textId="77777777" w:rsidR="00A90188" w:rsidRDefault="00A90188" w:rsidP="00EA5AC4">
      <w:pPr>
        <w:pStyle w:val="SMcaption"/>
        <w:rPr>
          <w:rFonts w:ascii="Myriad Pro" w:hAnsi="Myriad Pro"/>
        </w:rPr>
      </w:pPr>
    </w:p>
    <w:p w14:paraId="20334C65" w14:textId="77777777" w:rsidR="00A90188" w:rsidRDefault="00A90188" w:rsidP="00EA5AC4">
      <w:pPr>
        <w:pStyle w:val="SMcaption"/>
        <w:rPr>
          <w:rFonts w:ascii="Myriad Pro" w:hAnsi="Myriad Pro"/>
        </w:rPr>
      </w:pPr>
    </w:p>
    <w:p w14:paraId="74CC0575" w14:textId="77777777" w:rsidR="00A90188" w:rsidRDefault="00A90188" w:rsidP="00EA5AC4">
      <w:pPr>
        <w:pStyle w:val="SMcaption"/>
        <w:rPr>
          <w:rFonts w:ascii="Myriad Pro" w:hAnsi="Myriad Pro"/>
        </w:rPr>
      </w:pPr>
    </w:p>
    <w:p w14:paraId="0BC08CF8" w14:textId="77777777" w:rsidR="00A90188" w:rsidRDefault="00A90188" w:rsidP="00EA5AC4">
      <w:pPr>
        <w:pStyle w:val="SMcaption"/>
        <w:rPr>
          <w:rFonts w:ascii="Myriad Pro" w:hAnsi="Myriad Pro"/>
        </w:rPr>
      </w:pPr>
    </w:p>
    <w:p w14:paraId="3BB423E3" w14:textId="77777777" w:rsidR="00A90188" w:rsidRDefault="00A90188" w:rsidP="00EA5AC4">
      <w:pPr>
        <w:pStyle w:val="SMcaption"/>
        <w:rPr>
          <w:rFonts w:ascii="Myriad Pro" w:hAnsi="Myriad Pro"/>
        </w:rPr>
      </w:pPr>
    </w:p>
    <w:p w14:paraId="19D10000" w14:textId="77777777" w:rsidR="00A90188" w:rsidRDefault="00A90188" w:rsidP="00A90188">
      <w:pPr>
        <w:pStyle w:val="SMHeading"/>
        <w:rPr>
          <w:rFonts w:ascii="Myriad Pro" w:hAnsi="Myriad Pro"/>
          <w:sz w:val="22"/>
          <w:szCs w:val="22"/>
        </w:rPr>
      </w:pPr>
      <w:r w:rsidRPr="005314B5">
        <w:rPr>
          <w:rFonts w:ascii="Myriad Pro" w:hAnsi="Myriad Pro"/>
          <w:sz w:val="22"/>
          <w:szCs w:val="22"/>
        </w:rPr>
        <w:lastRenderedPageBreak/>
        <w:t>Text</w:t>
      </w:r>
      <w:r>
        <w:rPr>
          <w:rFonts w:ascii="Myriad Pro" w:hAnsi="Myriad Pro"/>
          <w:sz w:val="22"/>
          <w:szCs w:val="22"/>
        </w:rPr>
        <w:t xml:space="preserve"> S2.</w:t>
      </w:r>
    </w:p>
    <w:p w14:paraId="01F9AE89" w14:textId="77777777" w:rsidR="00A90188" w:rsidRPr="00093E37" w:rsidRDefault="00A90188" w:rsidP="00A90188">
      <w:pPr>
        <w:pStyle w:val="Text"/>
        <w:ind w:firstLine="0"/>
      </w:pPr>
      <w:r>
        <w:t>As with the 1 February storm, the largest deformation response during C</w:t>
      </w:r>
      <w:r w:rsidRPr="00A90188">
        <w:rPr>
          <w:vertAlign w:val="subscript"/>
        </w:rPr>
        <w:t>1</w:t>
      </w:r>
      <w:r>
        <w:t xml:space="preserve"> occurs at close to the time of the passage of the front (Figure S2). For the weaker cyclone, the full DN shows no significant divergence, while still showing a local maximum in maximum shear strain rate, and shows the same vorticity pattern with cyclonic vorticity during the approach of the front and anticyclonic vorticity thereafter. Deformation is localized. Here, the L-site triangle shows positive divergence while polygon DN 4 straddles a north-south oriented shear zone near L2 and shows convergence. We note in Figure S2d that there is evidence that the shear zone near L3 activated (weakly) during this storm; it is possible that the ice in the shear zone was weakened by the first storm enabling a stronger deformation response during the second storm. </w:t>
      </w:r>
    </w:p>
    <w:p w14:paraId="6CB2937C" w14:textId="77777777" w:rsidR="00A90188" w:rsidRPr="00CE6EAA" w:rsidRDefault="00A90188" w:rsidP="00EA5AC4">
      <w:pPr>
        <w:pStyle w:val="SMcaption"/>
        <w:rPr>
          <w:rFonts w:ascii="Myriad Pro" w:hAnsi="Myriad Pro"/>
        </w:rPr>
      </w:pPr>
    </w:p>
    <w:p w14:paraId="6CDF97EC" w14:textId="0D3249D1" w:rsidR="00EA5AC4" w:rsidRPr="005314B5" w:rsidRDefault="00EA5AC4" w:rsidP="00EA5AC4">
      <w:pPr>
        <w:pStyle w:val="SMcaption"/>
        <w:rPr>
          <w:rFonts w:ascii="Myriad Pro" w:hAnsi="Myriad Pro"/>
          <w:sz w:val="22"/>
          <w:szCs w:val="22"/>
        </w:rPr>
      </w:pPr>
      <w:r>
        <w:rPr>
          <w:rFonts w:ascii="Myriad Pro" w:hAnsi="Myriad Pro"/>
          <w:noProof/>
          <w:sz w:val="22"/>
          <w:szCs w:val="22"/>
        </w:rPr>
        <w:drawing>
          <wp:inline distT="0" distB="0" distL="0" distR="0" wp14:anchorId="69833335" wp14:editId="2F749D67">
            <wp:extent cx="5486400" cy="3093720"/>
            <wp:effectExtent l="0" t="0" r="0" b="5080"/>
            <wp:docPr id="1877225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25857" name="Picture 18772258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93720"/>
                    </a:xfrm>
                    <a:prstGeom prst="rect">
                      <a:avLst/>
                    </a:prstGeom>
                  </pic:spPr>
                </pic:pic>
              </a:graphicData>
            </a:graphic>
          </wp:inline>
        </w:drawing>
      </w:r>
    </w:p>
    <w:p w14:paraId="58D41F63" w14:textId="0F0AE15E" w:rsidR="00EA5AC4" w:rsidRPr="005314B5" w:rsidRDefault="00EA5AC4" w:rsidP="00EA5AC4">
      <w:pPr>
        <w:pStyle w:val="SMHeading"/>
        <w:rPr>
          <w:rFonts w:ascii="Myriad Pro" w:hAnsi="Myriad Pro"/>
          <w:sz w:val="22"/>
          <w:szCs w:val="22"/>
        </w:rPr>
      </w:pPr>
      <w:r w:rsidRPr="005314B5">
        <w:rPr>
          <w:rFonts w:ascii="Myriad Pro" w:hAnsi="Myriad Pro"/>
          <w:sz w:val="22"/>
          <w:szCs w:val="22"/>
        </w:rPr>
        <w:t>Figure S</w:t>
      </w:r>
      <w:r>
        <w:rPr>
          <w:rFonts w:ascii="Myriad Pro" w:hAnsi="Myriad Pro"/>
          <w:sz w:val="22"/>
          <w:szCs w:val="22"/>
        </w:rPr>
        <w:t>2</w:t>
      </w:r>
      <w:r w:rsidRPr="005314B5">
        <w:rPr>
          <w:rFonts w:ascii="Myriad Pro" w:hAnsi="Myriad Pro"/>
          <w:sz w:val="22"/>
          <w:szCs w:val="22"/>
        </w:rPr>
        <w:t xml:space="preserve">. </w:t>
      </w:r>
      <w:r w:rsidRPr="00EA5AC4">
        <w:rPr>
          <w:rFonts w:ascii="Myriad Pro" w:hAnsi="Myriad Pro"/>
          <w:b w:val="0"/>
          <w:sz w:val="22"/>
          <w:szCs w:val="22"/>
        </w:rPr>
        <w:t xml:space="preserve">Strain rate components (a-c) and velocity anomalies (d-g) of the Distributed Network for the </w:t>
      </w:r>
      <w:r>
        <w:rPr>
          <w:rFonts w:ascii="Myriad Pro" w:hAnsi="Myriad Pro"/>
          <w:b w:val="0"/>
          <w:sz w:val="22"/>
          <w:szCs w:val="22"/>
        </w:rPr>
        <w:t>Jan 30</w:t>
      </w:r>
      <w:r w:rsidRPr="00EA5AC4">
        <w:rPr>
          <w:rFonts w:ascii="Myriad Pro" w:hAnsi="Myriad Pro"/>
          <w:b w:val="0"/>
          <w:sz w:val="22"/>
          <w:szCs w:val="22"/>
        </w:rPr>
        <w:t xml:space="preserve"> cyclone. Polygons used for the deformation calculations are shown in panels d-g. The polygons were selected manually; note that the buoy in the upper left was not included in the “DN Full” array due to periods of missing data.  Velocity anomalies in panels d-g were computed relative to the ensemble average velocity, which is shown as the red arrow at the center of each panel.</w:t>
      </w:r>
    </w:p>
    <w:p w14:paraId="30335B5D" w14:textId="77777777" w:rsidR="00EA5AC4" w:rsidRDefault="00EA5AC4" w:rsidP="00477182">
      <w:pPr>
        <w:pStyle w:val="SMcaption"/>
        <w:rPr>
          <w:rFonts w:ascii="Myriad Pro" w:hAnsi="Myriad Pro"/>
          <w:sz w:val="22"/>
          <w:szCs w:val="22"/>
        </w:rPr>
      </w:pPr>
    </w:p>
    <w:p w14:paraId="5D7DAE3B" w14:textId="77777777" w:rsidR="00A90188" w:rsidRDefault="00A90188" w:rsidP="00477182">
      <w:pPr>
        <w:pStyle w:val="SMcaption"/>
        <w:rPr>
          <w:rFonts w:ascii="Myriad Pro" w:hAnsi="Myriad Pro"/>
          <w:sz w:val="22"/>
          <w:szCs w:val="22"/>
        </w:rPr>
      </w:pPr>
    </w:p>
    <w:p w14:paraId="14656D3E" w14:textId="77777777" w:rsidR="00EA5AC4" w:rsidRDefault="00EA5AC4" w:rsidP="00477182">
      <w:pPr>
        <w:pStyle w:val="SMcaption"/>
        <w:rPr>
          <w:rFonts w:ascii="Myriad Pro" w:hAnsi="Myriad Pro"/>
          <w:sz w:val="22"/>
          <w:szCs w:val="22"/>
        </w:rPr>
      </w:pPr>
    </w:p>
    <w:p w14:paraId="13D3A7B4" w14:textId="77777777" w:rsidR="00A90188" w:rsidRDefault="00A90188" w:rsidP="00477182">
      <w:pPr>
        <w:pStyle w:val="SMcaption"/>
        <w:rPr>
          <w:rFonts w:ascii="Myriad Pro" w:hAnsi="Myriad Pro"/>
          <w:sz w:val="22"/>
          <w:szCs w:val="22"/>
        </w:rPr>
      </w:pPr>
    </w:p>
    <w:p w14:paraId="49F481AC" w14:textId="77777777" w:rsidR="00A90188" w:rsidRDefault="00A90188" w:rsidP="00477182">
      <w:pPr>
        <w:pStyle w:val="SMcaption"/>
        <w:rPr>
          <w:rFonts w:ascii="Myriad Pro" w:hAnsi="Myriad Pro"/>
          <w:sz w:val="22"/>
          <w:szCs w:val="22"/>
        </w:rPr>
      </w:pPr>
    </w:p>
    <w:p w14:paraId="07094B7A" w14:textId="77777777" w:rsidR="00A90188" w:rsidRDefault="00A90188" w:rsidP="00477182">
      <w:pPr>
        <w:pStyle w:val="SMcaption"/>
        <w:rPr>
          <w:rFonts w:ascii="Myriad Pro" w:hAnsi="Myriad Pro"/>
          <w:sz w:val="22"/>
          <w:szCs w:val="22"/>
        </w:rPr>
      </w:pPr>
    </w:p>
    <w:p w14:paraId="639EF535" w14:textId="77777777" w:rsidR="00A90188" w:rsidRDefault="00A90188" w:rsidP="00477182">
      <w:pPr>
        <w:pStyle w:val="SMcaption"/>
        <w:rPr>
          <w:rFonts w:ascii="Myriad Pro" w:hAnsi="Myriad Pro"/>
          <w:sz w:val="22"/>
          <w:szCs w:val="22"/>
        </w:rPr>
      </w:pPr>
    </w:p>
    <w:p w14:paraId="65F6A04F" w14:textId="77777777" w:rsidR="00A90188" w:rsidRDefault="00A90188" w:rsidP="00477182">
      <w:pPr>
        <w:pStyle w:val="SMcaption"/>
        <w:rPr>
          <w:rFonts w:ascii="Myriad Pro" w:hAnsi="Myriad Pro"/>
          <w:sz w:val="22"/>
          <w:szCs w:val="22"/>
        </w:rPr>
      </w:pPr>
    </w:p>
    <w:p w14:paraId="2563B19A" w14:textId="77777777" w:rsidR="00A90188" w:rsidRDefault="00A90188" w:rsidP="00477182">
      <w:pPr>
        <w:pStyle w:val="SMcaption"/>
        <w:rPr>
          <w:rFonts w:ascii="Myriad Pro" w:hAnsi="Myriad Pro"/>
          <w:sz w:val="22"/>
          <w:szCs w:val="22"/>
        </w:rPr>
      </w:pPr>
    </w:p>
    <w:p w14:paraId="26A6C794" w14:textId="61616907" w:rsidR="0066722B" w:rsidRDefault="0066722B" w:rsidP="006237D4">
      <w:pPr>
        <w:pStyle w:val="SMcaption"/>
        <w:rPr>
          <w:rFonts w:ascii="Myriad Pro" w:hAnsi="Myriad Pro"/>
          <w:sz w:val="22"/>
          <w:szCs w:val="22"/>
        </w:rPr>
      </w:pPr>
    </w:p>
    <w:tbl>
      <w:tblPr>
        <w:tblStyle w:val="TableGrid"/>
        <w:tblW w:w="0" w:type="auto"/>
        <w:jc w:val="center"/>
        <w:tblLook w:val="04A0" w:firstRow="1" w:lastRow="0" w:firstColumn="1" w:lastColumn="0" w:noHBand="0" w:noVBand="1"/>
      </w:tblPr>
      <w:tblGrid>
        <w:gridCol w:w="701"/>
        <w:gridCol w:w="1171"/>
      </w:tblGrid>
      <w:tr w:rsidR="00376A96" w:rsidRPr="00376A96" w14:paraId="11EE67A0" w14:textId="77777777" w:rsidTr="00376A96">
        <w:trPr>
          <w:jc w:val="center"/>
        </w:trPr>
        <w:tc>
          <w:tcPr>
            <w:tcW w:w="701" w:type="dxa"/>
          </w:tcPr>
          <w:p w14:paraId="6A8CB15F"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Site</w:t>
            </w:r>
          </w:p>
        </w:tc>
        <w:tc>
          <w:tcPr>
            <w:tcW w:w="1171" w:type="dxa"/>
          </w:tcPr>
          <w:p w14:paraId="327D7496"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Sensor ID</w:t>
            </w:r>
          </w:p>
        </w:tc>
      </w:tr>
      <w:tr w:rsidR="00376A96" w:rsidRPr="00376A96" w14:paraId="486D200C" w14:textId="77777777" w:rsidTr="00376A96">
        <w:trPr>
          <w:jc w:val="center"/>
        </w:trPr>
        <w:tc>
          <w:tcPr>
            <w:tcW w:w="701" w:type="dxa"/>
          </w:tcPr>
          <w:p w14:paraId="020A2365"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CO1</w:t>
            </w:r>
          </w:p>
        </w:tc>
        <w:tc>
          <w:tcPr>
            <w:tcW w:w="1171" w:type="dxa"/>
          </w:tcPr>
          <w:p w14:paraId="59FC8AFE"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2019T66</w:t>
            </w:r>
          </w:p>
        </w:tc>
      </w:tr>
      <w:tr w:rsidR="00376A96" w:rsidRPr="00376A96" w14:paraId="75687288" w14:textId="77777777" w:rsidTr="00376A96">
        <w:trPr>
          <w:jc w:val="center"/>
        </w:trPr>
        <w:tc>
          <w:tcPr>
            <w:tcW w:w="701" w:type="dxa"/>
          </w:tcPr>
          <w:p w14:paraId="1D733AD0"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L1</w:t>
            </w:r>
          </w:p>
        </w:tc>
        <w:tc>
          <w:tcPr>
            <w:tcW w:w="1171" w:type="dxa"/>
          </w:tcPr>
          <w:p w14:paraId="68A3F7DB"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2019T67</w:t>
            </w:r>
          </w:p>
        </w:tc>
      </w:tr>
      <w:tr w:rsidR="00376A96" w:rsidRPr="00376A96" w14:paraId="7593AC70" w14:textId="77777777" w:rsidTr="00376A96">
        <w:trPr>
          <w:jc w:val="center"/>
        </w:trPr>
        <w:tc>
          <w:tcPr>
            <w:tcW w:w="701" w:type="dxa"/>
          </w:tcPr>
          <w:p w14:paraId="42FED3C7"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L2</w:t>
            </w:r>
          </w:p>
        </w:tc>
        <w:tc>
          <w:tcPr>
            <w:tcW w:w="1171" w:type="dxa"/>
          </w:tcPr>
          <w:p w14:paraId="450F433F"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2019T65</w:t>
            </w:r>
          </w:p>
        </w:tc>
      </w:tr>
      <w:tr w:rsidR="00376A96" w:rsidRPr="00376A96" w14:paraId="545A6119" w14:textId="77777777" w:rsidTr="00376A96">
        <w:trPr>
          <w:jc w:val="center"/>
        </w:trPr>
        <w:tc>
          <w:tcPr>
            <w:tcW w:w="701" w:type="dxa"/>
          </w:tcPr>
          <w:p w14:paraId="3D4B3BC0"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L3</w:t>
            </w:r>
          </w:p>
        </w:tc>
        <w:tc>
          <w:tcPr>
            <w:tcW w:w="1171" w:type="dxa"/>
          </w:tcPr>
          <w:p w14:paraId="0A40005B"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2019S94</w:t>
            </w:r>
          </w:p>
        </w:tc>
      </w:tr>
      <w:tr w:rsidR="00376A96" w:rsidRPr="00376A96" w14:paraId="1F7F20DE" w14:textId="77777777" w:rsidTr="00376A96">
        <w:trPr>
          <w:jc w:val="center"/>
        </w:trPr>
        <w:tc>
          <w:tcPr>
            <w:tcW w:w="701" w:type="dxa"/>
          </w:tcPr>
          <w:p w14:paraId="2A4BE535"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M1</w:t>
            </w:r>
          </w:p>
        </w:tc>
        <w:tc>
          <w:tcPr>
            <w:tcW w:w="1171" w:type="dxa"/>
          </w:tcPr>
          <w:p w14:paraId="3CA4F606"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2019O1</w:t>
            </w:r>
          </w:p>
        </w:tc>
      </w:tr>
      <w:tr w:rsidR="00376A96" w:rsidRPr="00376A96" w14:paraId="3A8FA17A" w14:textId="77777777" w:rsidTr="00376A96">
        <w:trPr>
          <w:jc w:val="center"/>
        </w:trPr>
        <w:tc>
          <w:tcPr>
            <w:tcW w:w="701" w:type="dxa"/>
          </w:tcPr>
          <w:p w14:paraId="6B1CB292"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M2</w:t>
            </w:r>
          </w:p>
        </w:tc>
        <w:tc>
          <w:tcPr>
            <w:tcW w:w="1171" w:type="dxa"/>
          </w:tcPr>
          <w:p w14:paraId="46FB87A5"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2019V2</w:t>
            </w:r>
          </w:p>
        </w:tc>
      </w:tr>
      <w:tr w:rsidR="00376A96" w:rsidRPr="00376A96" w14:paraId="649ADCCE" w14:textId="77777777" w:rsidTr="00376A96">
        <w:trPr>
          <w:jc w:val="center"/>
        </w:trPr>
        <w:tc>
          <w:tcPr>
            <w:tcW w:w="701" w:type="dxa"/>
          </w:tcPr>
          <w:p w14:paraId="3332ABAC"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M3</w:t>
            </w:r>
          </w:p>
        </w:tc>
        <w:tc>
          <w:tcPr>
            <w:tcW w:w="1171" w:type="dxa"/>
          </w:tcPr>
          <w:p w14:paraId="39F0C3F8"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2019O3</w:t>
            </w:r>
          </w:p>
        </w:tc>
      </w:tr>
      <w:tr w:rsidR="00376A96" w:rsidRPr="00376A96" w14:paraId="41AF0F56" w14:textId="77777777" w:rsidTr="00376A96">
        <w:trPr>
          <w:jc w:val="center"/>
        </w:trPr>
        <w:tc>
          <w:tcPr>
            <w:tcW w:w="701" w:type="dxa"/>
          </w:tcPr>
          <w:p w14:paraId="2415B144"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M4</w:t>
            </w:r>
          </w:p>
        </w:tc>
        <w:tc>
          <w:tcPr>
            <w:tcW w:w="1171" w:type="dxa"/>
          </w:tcPr>
          <w:p w14:paraId="6F3E3CCA"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2019O4</w:t>
            </w:r>
          </w:p>
        </w:tc>
      </w:tr>
      <w:tr w:rsidR="00376A96" w:rsidRPr="00376A96" w14:paraId="764CC756" w14:textId="77777777" w:rsidTr="00376A96">
        <w:trPr>
          <w:jc w:val="center"/>
        </w:trPr>
        <w:tc>
          <w:tcPr>
            <w:tcW w:w="701" w:type="dxa"/>
          </w:tcPr>
          <w:p w14:paraId="73EC3D1E"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M5</w:t>
            </w:r>
          </w:p>
        </w:tc>
        <w:tc>
          <w:tcPr>
            <w:tcW w:w="1171" w:type="dxa"/>
          </w:tcPr>
          <w:p w14:paraId="48F190CC"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2019O5</w:t>
            </w:r>
          </w:p>
        </w:tc>
      </w:tr>
      <w:tr w:rsidR="00376A96" w:rsidRPr="00376A96" w14:paraId="5B1B5E3E" w14:textId="77777777" w:rsidTr="00376A96">
        <w:trPr>
          <w:jc w:val="center"/>
        </w:trPr>
        <w:tc>
          <w:tcPr>
            <w:tcW w:w="701" w:type="dxa"/>
          </w:tcPr>
          <w:p w14:paraId="7A88174A"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M6</w:t>
            </w:r>
          </w:p>
        </w:tc>
        <w:tc>
          <w:tcPr>
            <w:tcW w:w="1171" w:type="dxa"/>
          </w:tcPr>
          <w:p w14:paraId="51F2650C"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2019O6</w:t>
            </w:r>
          </w:p>
        </w:tc>
      </w:tr>
      <w:tr w:rsidR="00376A96" w:rsidRPr="00376A96" w14:paraId="72E43AA7" w14:textId="77777777" w:rsidTr="00376A96">
        <w:trPr>
          <w:jc w:val="center"/>
        </w:trPr>
        <w:tc>
          <w:tcPr>
            <w:tcW w:w="701" w:type="dxa"/>
          </w:tcPr>
          <w:p w14:paraId="43FB450B"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M8</w:t>
            </w:r>
          </w:p>
        </w:tc>
        <w:tc>
          <w:tcPr>
            <w:tcW w:w="1171" w:type="dxa"/>
          </w:tcPr>
          <w:p w14:paraId="19948CA4" w14:textId="77777777" w:rsidR="00376A96" w:rsidRPr="00376A96" w:rsidRDefault="00376A96" w:rsidP="00376A96">
            <w:pPr>
              <w:pStyle w:val="SMcaption"/>
              <w:rPr>
                <w:rFonts w:ascii="Myriad Pro" w:hAnsi="Myriad Pro"/>
                <w:sz w:val="22"/>
                <w:szCs w:val="22"/>
              </w:rPr>
            </w:pPr>
            <w:r w:rsidRPr="00376A96">
              <w:rPr>
                <w:rFonts w:ascii="Myriad Pro" w:hAnsi="Myriad Pro"/>
                <w:sz w:val="22"/>
                <w:szCs w:val="22"/>
              </w:rPr>
              <w:t>2019T69</w:t>
            </w:r>
          </w:p>
        </w:tc>
      </w:tr>
      <w:tr w:rsidR="00376A96" w:rsidRPr="00376A96" w14:paraId="16EBB481" w14:textId="77777777" w:rsidTr="00376A96">
        <w:trPr>
          <w:jc w:val="center"/>
        </w:trPr>
        <w:tc>
          <w:tcPr>
            <w:tcW w:w="1872" w:type="dxa"/>
            <w:gridSpan w:val="2"/>
          </w:tcPr>
          <w:p w14:paraId="38AB1905" w14:textId="4C843902" w:rsidR="00376A96" w:rsidRPr="00376A96" w:rsidRDefault="00376A96" w:rsidP="00376A96">
            <w:pPr>
              <w:pStyle w:val="SMcaption"/>
              <w:rPr>
                <w:rFonts w:ascii="Myriad Pro" w:hAnsi="Myriad Pro"/>
                <w:sz w:val="22"/>
                <w:szCs w:val="22"/>
              </w:rPr>
            </w:pPr>
            <w:r w:rsidRPr="00376A96">
              <w:rPr>
                <w:rFonts w:ascii="Myriad Pro" w:hAnsi="Myriad Pro"/>
                <w:b/>
                <w:bCs/>
                <w:sz w:val="22"/>
                <w:szCs w:val="22"/>
              </w:rPr>
              <w:t xml:space="preserve">Table </w:t>
            </w:r>
            <w:r>
              <w:rPr>
                <w:rFonts w:ascii="Myriad Pro" w:hAnsi="Myriad Pro"/>
                <w:b/>
                <w:bCs/>
                <w:sz w:val="22"/>
                <w:szCs w:val="22"/>
              </w:rPr>
              <w:t>S</w:t>
            </w:r>
            <w:r w:rsidRPr="00376A96">
              <w:rPr>
                <w:rFonts w:ascii="Myriad Pro" w:hAnsi="Myriad Pro"/>
                <w:b/>
                <w:bCs/>
                <w:sz w:val="22"/>
                <w:szCs w:val="22"/>
              </w:rPr>
              <w:t xml:space="preserve">1 </w:t>
            </w:r>
          </w:p>
        </w:tc>
      </w:tr>
    </w:tbl>
    <w:p w14:paraId="097BB99F" w14:textId="77777777" w:rsidR="00376A96" w:rsidRPr="005314B5" w:rsidRDefault="00376A96" w:rsidP="006237D4">
      <w:pPr>
        <w:pStyle w:val="SMcaption"/>
        <w:rPr>
          <w:rFonts w:ascii="Myriad Pro" w:hAnsi="Myriad Pro"/>
          <w:sz w:val="22"/>
          <w:szCs w:val="22"/>
        </w:rPr>
      </w:pPr>
    </w:p>
    <w:p w14:paraId="67433767" w14:textId="458ED40A" w:rsidR="0066722B" w:rsidRPr="005314B5" w:rsidRDefault="0066722B" w:rsidP="0066722B">
      <w:pPr>
        <w:pStyle w:val="SMHeading"/>
        <w:rPr>
          <w:rFonts w:ascii="Myriad Pro" w:hAnsi="Myriad Pro"/>
          <w:sz w:val="22"/>
          <w:szCs w:val="22"/>
        </w:rPr>
      </w:pPr>
      <w:r w:rsidRPr="005314B5">
        <w:rPr>
          <w:rFonts w:ascii="Myriad Pro" w:hAnsi="Myriad Pro"/>
          <w:sz w:val="22"/>
          <w:szCs w:val="22"/>
        </w:rPr>
        <w:t xml:space="preserve">Table S1. </w:t>
      </w:r>
      <w:r w:rsidR="00376A96" w:rsidRPr="00376A96">
        <w:rPr>
          <w:rFonts w:ascii="Myriad Pro" w:hAnsi="Myriad Pro"/>
          <w:b w:val="0"/>
          <w:bCs w:val="0"/>
          <w:sz w:val="22"/>
          <w:szCs w:val="22"/>
        </w:rPr>
        <w:t>Representative buoys for multi-sensor sites</w:t>
      </w:r>
    </w:p>
    <w:p w14:paraId="18B164EE" w14:textId="77777777" w:rsidR="0066722B" w:rsidRPr="005314B5" w:rsidRDefault="0066722B" w:rsidP="0066722B">
      <w:pPr>
        <w:pStyle w:val="SMcaption"/>
        <w:rPr>
          <w:rFonts w:ascii="Myriad Pro" w:hAnsi="Myriad Pro"/>
          <w:sz w:val="22"/>
          <w:szCs w:val="22"/>
        </w:rPr>
      </w:pPr>
    </w:p>
    <w:p w14:paraId="7F792F84" w14:textId="4E327D2E" w:rsidR="00B9440A" w:rsidRPr="001265FA" w:rsidRDefault="00B9440A" w:rsidP="00B9440A">
      <w:pPr>
        <w:pStyle w:val="SMcaption"/>
        <w:rPr>
          <w:rFonts w:ascii="Myriad Pro" w:hAnsi="Myriad Pro"/>
          <w:b/>
          <w:i/>
          <w:sz w:val="22"/>
          <w:szCs w:val="22"/>
        </w:rPr>
      </w:pPr>
    </w:p>
    <w:sectPr w:rsidR="00B9440A" w:rsidRPr="001265FA" w:rsidSect="00F125E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C214" w14:textId="77777777" w:rsidR="00AC62CB" w:rsidRDefault="00AC62CB">
      <w:r>
        <w:separator/>
      </w:r>
    </w:p>
  </w:endnote>
  <w:endnote w:type="continuationSeparator" w:id="0">
    <w:p w14:paraId="271C5858" w14:textId="77777777" w:rsidR="00AC62CB" w:rsidRDefault="00AC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6050" w14:textId="77777777" w:rsidR="00AC62CB" w:rsidRDefault="00AC62CB">
      <w:r>
        <w:separator/>
      </w:r>
    </w:p>
  </w:footnote>
  <w:footnote w:type="continuationSeparator" w:id="0">
    <w:p w14:paraId="3DB125F6" w14:textId="77777777" w:rsidR="00AC62CB" w:rsidRDefault="00AC6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399125">
    <w:abstractNumId w:val="9"/>
  </w:num>
  <w:num w:numId="2" w16cid:durableId="2033215806">
    <w:abstractNumId w:val="7"/>
  </w:num>
  <w:num w:numId="3" w16cid:durableId="1944335922">
    <w:abstractNumId w:val="6"/>
  </w:num>
  <w:num w:numId="4" w16cid:durableId="880215763">
    <w:abstractNumId w:val="5"/>
  </w:num>
  <w:num w:numId="5" w16cid:durableId="1304894234">
    <w:abstractNumId w:val="4"/>
  </w:num>
  <w:num w:numId="6" w16cid:durableId="994188857">
    <w:abstractNumId w:val="8"/>
  </w:num>
  <w:num w:numId="7" w16cid:durableId="1506046954">
    <w:abstractNumId w:val="3"/>
  </w:num>
  <w:num w:numId="8" w16cid:durableId="31543740">
    <w:abstractNumId w:val="2"/>
  </w:num>
  <w:num w:numId="9" w16cid:durableId="1501461087">
    <w:abstractNumId w:val="1"/>
  </w:num>
  <w:num w:numId="10" w16cid:durableId="909004882">
    <w:abstractNumId w:val="0"/>
  </w:num>
  <w:num w:numId="11" w16cid:durableId="920213288">
    <w:abstractNumId w:val="11"/>
  </w:num>
  <w:num w:numId="12" w16cid:durableId="438374261">
    <w:abstractNumId w:val="13"/>
  </w:num>
  <w:num w:numId="13" w16cid:durableId="1146118364">
    <w:abstractNumId w:val="10"/>
  </w:num>
  <w:num w:numId="14" w16cid:durableId="1984233882">
    <w:abstractNumId w:val="15"/>
  </w:num>
  <w:num w:numId="15" w16cid:durableId="1230462683">
    <w:abstractNumId w:val="14"/>
  </w:num>
  <w:num w:numId="16" w16cid:durableId="1196040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00E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65FA"/>
    <w:rsid w:val="001278E3"/>
    <w:rsid w:val="00130743"/>
    <w:rsid w:val="00130B50"/>
    <w:rsid w:val="0016337A"/>
    <w:rsid w:val="00164269"/>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800B6"/>
    <w:rsid w:val="002B35D4"/>
    <w:rsid w:val="002C030F"/>
    <w:rsid w:val="002F3966"/>
    <w:rsid w:val="00320E2C"/>
    <w:rsid w:val="00331D75"/>
    <w:rsid w:val="00355362"/>
    <w:rsid w:val="00363E44"/>
    <w:rsid w:val="00376A96"/>
    <w:rsid w:val="003913E3"/>
    <w:rsid w:val="00395E86"/>
    <w:rsid w:val="003A2FD8"/>
    <w:rsid w:val="003B40E6"/>
    <w:rsid w:val="003C007A"/>
    <w:rsid w:val="003E1980"/>
    <w:rsid w:val="003E625A"/>
    <w:rsid w:val="003F6E14"/>
    <w:rsid w:val="00405336"/>
    <w:rsid w:val="004568BC"/>
    <w:rsid w:val="004571D5"/>
    <w:rsid w:val="00462F1B"/>
    <w:rsid w:val="0046356B"/>
    <w:rsid w:val="00477182"/>
    <w:rsid w:val="004779CB"/>
    <w:rsid w:val="00481118"/>
    <w:rsid w:val="004B2481"/>
    <w:rsid w:val="004D2A8C"/>
    <w:rsid w:val="004E42D8"/>
    <w:rsid w:val="004E7BA2"/>
    <w:rsid w:val="004F7EDF"/>
    <w:rsid w:val="005001AC"/>
    <w:rsid w:val="00517016"/>
    <w:rsid w:val="00527D71"/>
    <w:rsid w:val="00527D84"/>
    <w:rsid w:val="005314B5"/>
    <w:rsid w:val="0054432F"/>
    <w:rsid w:val="00552C23"/>
    <w:rsid w:val="005607DD"/>
    <w:rsid w:val="00572DFF"/>
    <w:rsid w:val="005A558C"/>
    <w:rsid w:val="005B186E"/>
    <w:rsid w:val="005C6651"/>
    <w:rsid w:val="005D6D71"/>
    <w:rsid w:val="005E28F8"/>
    <w:rsid w:val="005E6513"/>
    <w:rsid w:val="005F390D"/>
    <w:rsid w:val="00611F9E"/>
    <w:rsid w:val="006237D4"/>
    <w:rsid w:val="00651114"/>
    <w:rsid w:val="006622CF"/>
    <w:rsid w:val="00664A12"/>
    <w:rsid w:val="0066722B"/>
    <w:rsid w:val="00670299"/>
    <w:rsid w:val="0068469F"/>
    <w:rsid w:val="00691985"/>
    <w:rsid w:val="006962C1"/>
    <w:rsid w:val="006A1B64"/>
    <w:rsid w:val="006B03AD"/>
    <w:rsid w:val="006F602A"/>
    <w:rsid w:val="007108F5"/>
    <w:rsid w:val="00713AF2"/>
    <w:rsid w:val="00713E5B"/>
    <w:rsid w:val="007402FC"/>
    <w:rsid w:val="007411A1"/>
    <w:rsid w:val="007563F2"/>
    <w:rsid w:val="00764008"/>
    <w:rsid w:val="00795D4D"/>
    <w:rsid w:val="00807D35"/>
    <w:rsid w:val="008115D9"/>
    <w:rsid w:val="00825950"/>
    <w:rsid w:val="00885C9B"/>
    <w:rsid w:val="008927D0"/>
    <w:rsid w:val="00896FAB"/>
    <w:rsid w:val="008D5D2A"/>
    <w:rsid w:val="008E2CF1"/>
    <w:rsid w:val="008F08DC"/>
    <w:rsid w:val="008F5A8A"/>
    <w:rsid w:val="009055D1"/>
    <w:rsid w:val="00914B63"/>
    <w:rsid w:val="00922705"/>
    <w:rsid w:val="00924546"/>
    <w:rsid w:val="00932FE5"/>
    <w:rsid w:val="009354F3"/>
    <w:rsid w:val="0093736A"/>
    <w:rsid w:val="009447DC"/>
    <w:rsid w:val="00961BA5"/>
    <w:rsid w:val="009743A9"/>
    <w:rsid w:val="00975720"/>
    <w:rsid w:val="009859A7"/>
    <w:rsid w:val="009A5287"/>
    <w:rsid w:val="009B2AC5"/>
    <w:rsid w:val="009B7984"/>
    <w:rsid w:val="009F4BED"/>
    <w:rsid w:val="009F7D93"/>
    <w:rsid w:val="00A276DF"/>
    <w:rsid w:val="00A3084A"/>
    <w:rsid w:val="00A3403B"/>
    <w:rsid w:val="00A50033"/>
    <w:rsid w:val="00A51A12"/>
    <w:rsid w:val="00A627D4"/>
    <w:rsid w:val="00A74DA2"/>
    <w:rsid w:val="00A90188"/>
    <w:rsid w:val="00A92733"/>
    <w:rsid w:val="00AA76F3"/>
    <w:rsid w:val="00AC62CB"/>
    <w:rsid w:val="00AC7DA6"/>
    <w:rsid w:val="00AD499C"/>
    <w:rsid w:val="00B30334"/>
    <w:rsid w:val="00B3147F"/>
    <w:rsid w:val="00B36869"/>
    <w:rsid w:val="00B43B31"/>
    <w:rsid w:val="00B47CFA"/>
    <w:rsid w:val="00B529C0"/>
    <w:rsid w:val="00B57F00"/>
    <w:rsid w:val="00B626CB"/>
    <w:rsid w:val="00B7560C"/>
    <w:rsid w:val="00B77E40"/>
    <w:rsid w:val="00B82C22"/>
    <w:rsid w:val="00B93DBA"/>
    <w:rsid w:val="00B9440A"/>
    <w:rsid w:val="00B952C1"/>
    <w:rsid w:val="00B968D7"/>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B5072"/>
    <w:rsid w:val="00CC1384"/>
    <w:rsid w:val="00CD3720"/>
    <w:rsid w:val="00CE6EAA"/>
    <w:rsid w:val="00CF1848"/>
    <w:rsid w:val="00CF5C2F"/>
    <w:rsid w:val="00D04BCF"/>
    <w:rsid w:val="00D10134"/>
    <w:rsid w:val="00D143D9"/>
    <w:rsid w:val="00D4372A"/>
    <w:rsid w:val="00D60BB0"/>
    <w:rsid w:val="00D65708"/>
    <w:rsid w:val="00D6579D"/>
    <w:rsid w:val="00D8159F"/>
    <w:rsid w:val="00DD1D04"/>
    <w:rsid w:val="00DD79D7"/>
    <w:rsid w:val="00E20431"/>
    <w:rsid w:val="00E257C8"/>
    <w:rsid w:val="00E40896"/>
    <w:rsid w:val="00E43D2D"/>
    <w:rsid w:val="00E449CB"/>
    <w:rsid w:val="00E52A8F"/>
    <w:rsid w:val="00E63760"/>
    <w:rsid w:val="00E64049"/>
    <w:rsid w:val="00E9773B"/>
    <w:rsid w:val="00EA5AC4"/>
    <w:rsid w:val="00EB31C5"/>
    <w:rsid w:val="00EC13A3"/>
    <w:rsid w:val="00EC67A4"/>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uiPriority="10"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uiPriority w:val="10"/>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rsid w:val="00376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A90188"/>
    <w:pPr>
      <w:spacing w:before="120"/>
      <w:ind w:firstLine="720"/>
    </w:pPr>
    <w:rPr>
      <w:szCs w:val="24"/>
    </w:rPr>
  </w:style>
  <w:style w:type="paragraph" w:customStyle="1" w:styleId="Authors">
    <w:name w:val="Authors"/>
    <w:basedOn w:val="Normal"/>
    <w:rsid w:val="00A90188"/>
    <w:pPr>
      <w:spacing w:before="120" w:after="360"/>
    </w:pPr>
    <w:rPr>
      <w:b/>
      <w:szCs w:val="24"/>
    </w:rPr>
  </w:style>
  <w:style w:type="paragraph" w:customStyle="1" w:styleId="Affiliation">
    <w:name w:val="Affiliation"/>
    <w:basedOn w:val="Text"/>
    <w:qFormat/>
    <w:rsid w:val="00A90188"/>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203175800">
      <w:bodyDiv w:val="1"/>
      <w:marLeft w:val="0"/>
      <w:marRight w:val="0"/>
      <w:marTop w:val="0"/>
      <w:marBottom w:val="0"/>
      <w:divBdr>
        <w:top w:val="none" w:sz="0" w:space="0" w:color="auto"/>
        <w:left w:val="none" w:sz="0" w:space="0" w:color="auto"/>
        <w:bottom w:val="none" w:sz="0" w:space="0" w:color="auto"/>
        <w:right w:val="none" w:sz="0" w:space="0" w:color="auto"/>
      </w:divBdr>
    </w:div>
    <w:div w:id="546528266">
      <w:bodyDiv w:val="1"/>
      <w:marLeft w:val="0"/>
      <w:marRight w:val="0"/>
      <w:marTop w:val="0"/>
      <w:marBottom w:val="0"/>
      <w:divBdr>
        <w:top w:val="none" w:sz="0" w:space="0" w:color="auto"/>
        <w:left w:val="none" w:sz="0" w:space="0" w:color="auto"/>
        <w:bottom w:val="none" w:sz="0" w:space="0" w:color="auto"/>
        <w:right w:val="none" w:sz="0" w:space="0" w:color="auto"/>
      </w:divBdr>
    </w:div>
    <w:div w:id="873155705">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0139234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36816127">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8394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Watkins, Daniel</cp:lastModifiedBy>
  <cp:revision>4</cp:revision>
  <cp:lastPrinted>2014-09-30T16:49:00Z</cp:lastPrinted>
  <dcterms:created xsi:type="dcterms:W3CDTF">2023-10-30T17:56:00Z</dcterms:created>
  <dcterms:modified xsi:type="dcterms:W3CDTF">2023-12-21T21:25:00Z</dcterms:modified>
</cp:coreProperties>
</file>