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1A"/>
          <w:sz w:val="36"/>
          <w:szCs w:val="36"/>
        </w:rPr>
        <w:t xml:space="preserve">NovaPIP</w:t>
      </w:r>
    </w:p>
    <w:p>
      <w:pPr>
        <w:spacing w:after="40" w:before="0"/>
      </w:pPr>
      <w:r>
        <w:rPr>
          <w:rFonts w:ascii="Arial" w:cs="Arial" w:eastAsia="Arial" w:hAnsi="Arial"/>
          <w:color w:val="777777"/>
          <w:sz w:val="22"/>
          <w:szCs w:val="22"/>
        </w:rPr>
        <w:t xml:space="preserve">Product Intelligence Platform</w:t>
      </w:r>
    </w:p>
    <w:p>
      <w:pPr>
        <w:spacing w:after="100" w:before="0"/>
      </w:pPr>
      <w:r>
        <w:rPr>
          <w:rFonts w:ascii="Arial" w:cs="Arial" w:eastAsia="Arial" w:hAnsi="Arial"/>
          <w:i/>
          <w:iCs/>
          <w:color w:val="999999"/>
          <w:sz w:val="20"/>
          <w:szCs w:val="20"/>
        </w:rPr>
        <w:t xml:space="preserve">2gthr POC — Codebase Analysis &amp; Evidence Generation</w:t>
      </w:r>
    </w:p>
    <w:p>
      <w:pPr>
        <w:pBdr>
          <w:bottom w:val="single" w:color="1A1A1A" w:sz="4" w:space="1"/>
        </w:pBdr>
        <w:spacing w:after="360"/>
      </w:pPr>
    </w:p>
    <w:p>
      <w:pPr>
        <w:pStyle w:val="Heading1"/>
        <w:spacing w:after="200" w:before="0"/>
      </w:pPr>
      <w:r>
        <w:rPr>
          <w:rFonts w:ascii="Arial" w:cs="Arial" w:eastAsia="Arial" w:hAnsi="Arial"/>
          <w:sz w:val="22"/>
          <w:szCs w:val="22"/>
        </w:rPr>
        <w:t xml:space="preserve">What This Document Is</w:t>
      </w:r>
    </w:p>
    <w:p>
      <w:pPr>
        <w:spacing w:after="200" w:before="0"/>
      </w:pPr>
      <w:r>
        <w:rPr>
          <w:rFonts w:ascii="Arial" w:cs="Arial" w:eastAsia="Arial" w:hAnsi="Arial"/>
          <w:sz w:val="22"/>
          <w:szCs w:val="22"/>
        </w:rPr>
        <w:t xml:space="preserve">This document contains seven prompts designed to be run sequentially by Claude Code against the 2gthr POC codebase. Each prompt produces a markdown report inside a .nova-reports/ folder (which is gitignored and never pushed to the repo).</w:t>
      </w:r>
    </w:p>
    <w:p>
      <w:pPr>
        <w:spacing w:after="200" w:before="0"/>
      </w:pPr>
      <w:r>
        <w:rPr>
          <w:rFonts w:ascii="Arial" w:cs="Arial" w:eastAsia="Arial" w:hAnsi="Arial"/>
          <w:sz w:val="22"/>
          <w:szCs w:val="22"/>
        </w:rPr>
        <w:t xml:space="preserve">These reports serve two purposes:</w:t>
      </w:r>
    </w:p>
    <w:p>
      <w:pPr>
        <w:pStyle w:val="ListParagraph"/>
        <w:numPr>
          <w:ilvl w:val="0"/>
          <w:numId w:val="2"/>
        </w:numPr>
        <w:spacing w:after="100"/>
      </w:pPr>
      <w:r>
        <w:rPr>
          <w:rFonts w:ascii="Arial" w:cs="Arial" w:eastAsia="Arial" w:hAnsi="Arial"/>
          <w:b/>
          <w:bCs/>
          <w:sz w:val="22"/>
          <w:szCs w:val="22"/>
        </w:rPr>
        <w:t xml:space="preserve">Evidence for the Accenture proposal. </w:t>
      </w:r>
      <w:r>
        <w:rPr>
          <w:rFonts w:ascii="Arial" w:cs="Arial" w:eastAsia="Arial" w:hAnsi="Arial"/>
          <w:sz w:val="22"/>
          <w:szCs w:val="22"/>
        </w:rPr>
        <w:t xml:space="preserve">The reports document what was built, how fast it was built, how it compares to traditional delivery, and what value it creates for every stakeholder in Accenture’s delivery chain.</w:t>
      </w:r>
    </w:p>
    <w:p>
      <w:pPr>
        <w:pStyle w:val="ListParagraph"/>
        <w:numPr>
          <w:ilvl w:val="0"/>
          <w:numId w:val="2"/>
        </w:numPr>
        <w:spacing w:after="200"/>
      </w:pPr>
      <w:r>
        <w:rPr>
          <w:rFonts w:ascii="Arial" w:cs="Arial" w:eastAsia="Arial" w:hAnsi="Arial"/>
          <w:b/>
          <w:bCs/>
          <w:sz w:val="22"/>
          <w:szCs w:val="22"/>
        </w:rPr>
        <w:t xml:space="preserve">Inputs to NovaPIP itself. </w:t>
      </w:r>
      <w:r>
        <w:rPr>
          <w:rFonts w:ascii="Arial" w:cs="Arial" w:eastAsia="Arial" w:hAnsi="Arial"/>
          <w:sz w:val="22"/>
          <w:szCs w:val="22"/>
        </w:rPr>
        <w:t xml:space="preserve">The markdown files will be fed into the NovaPIP project, where they become source material for an interactive report built in the look and feel of the Nova platform. This report is itself a demonstration of what Nova does — the product is generating the evidence for its own pitch.</w:t>
      </w:r>
    </w:p>
    <w:p>
      <w:pPr>
        <w:pStyle w:val="Heading1"/>
        <w:spacing w:after="200" w:before="0"/>
      </w:pPr>
      <w:r>
        <w:rPr>
          <w:rFonts w:ascii="Arial" w:cs="Arial" w:eastAsia="Arial" w:hAnsi="Arial"/>
          <w:sz w:val="22"/>
          <w:szCs w:val="22"/>
        </w:rPr>
        <w:t xml:space="preserve">The Pipeline</w:t>
      </w:r>
    </w:p>
    <w:p>
      <w:pPr>
        <w:spacing w:after="200" w:before="0"/>
      </w:pPr>
      <w:r>
        <w:rPr>
          <w:rFonts w:ascii="Arial" w:cs="Arial" w:eastAsia="Arial" w:hAnsi="Arial"/>
          <w:b/>
          <w:bCs/>
          <w:sz w:val="22"/>
          <w:szCs w:val="22"/>
        </w:rPr>
        <w:t xml:space="preserve">Step 1: </w:t>
      </w:r>
      <w:r>
        <w:rPr>
          <w:rFonts w:ascii="Arial" w:cs="Arial" w:eastAsia="Arial" w:hAnsi="Arial"/>
          <w:sz w:val="22"/>
          <w:szCs w:val="22"/>
        </w:rPr>
        <w:t xml:space="preserve">Run the seven prompts below in Claude Code against the 2gthr POC repo. Each prompt outputs a .md file into .nova-reports/.</w:t>
      </w:r>
    </w:p>
    <w:p>
      <w:pPr>
        <w:spacing w:after="200" w:before="0"/>
      </w:pPr>
      <w:r>
        <w:rPr>
          <w:rFonts w:ascii="Arial" w:cs="Arial" w:eastAsia="Arial" w:hAnsi="Arial"/>
          <w:b/>
          <w:bCs/>
          <w:sz w:val="22"/>
          <w:szCs w:val="22"/>
        </w:rPr>
        <w:t xml:space="preserve">Step 2: </w:t>
      </w:r>
      <w:r>
        <w:rPr>
          <w:rFonts w:ascii="Arial" w:cs="Arial" w:eastAsia="Arial" w:hAnsi="Arial"/>
          <w:sz w:val="22"/>
          <w:szCs w:val="22"/>
        </w:rPr>
        <w:t xml:space="preserve">Copy the .nova-reports/ folder into the NovaPIP project.</w:t>
      </w:r>
    </w:p>
    <w:p>
      <w:pPr>
        <w:spacing w:after="200" w:before="0"/>
      </w:pPr>
      <w:r>
        <w:rPr>
          <w:rFonts w:ascii="Arial" w:cs="Arial" w:eastAsia="Arial" w:hAnsi="Arial"/>
          <w:b/>
          <w:bCs/>
          <w:sz w:val="22"/>
          <w:szCs w:val="22"/>
        </w:rPr>
        <w:t xml:space="preserve">Step 3: </w:t>
      </w:r>
      <w:r>
        <w:rPr>
          <w:rFonts w:ascii="Arial" w:cs="Arial" w:eastAsia="Arial" w:hAnsi="Arial"/>
          <w:sz w:val="22"/>
          <w:szCs w:val="22"/>
        </w:rPr>
        <w:t xml:space="preserve">Use Claude Code in the NovaPIP project to digest these files and generate an interactive report — built in Nova’s design system, with navigation into broader Nova platform features.</w:t>
      </w:r>
    </w:p>
    <w:p>
      <w:pPr>
        <w:spacing w:after="200" w:before="0"/>
      </w:pPr>
      <w:r>
        <w:rPr>
          <w:rFonts w:ascii="Arial" w:cs="Arial" w:eastAsia="Arial" w:hAnsi="Arial"/>
          <w:b/>
          <w:bCs/>
          <w:sz w:val="22"/>
          <w:szCs w:val="22"/>
        </w:rPr>
        <w:t xml:space="preserve">Step 4: </w:t>
      </w:r>
      <w:r>
        <w:rPr>
          <w:rFonts w:ascii="Arial" w:cs="Arial" w:eastAsia="Arial" w:hAnsi="Arial"/>
          <w:sz w:val="22"/>
          <w:szCs w:val="22"/>
        </w:rPr>
        <w:t xml:space="preserve">The interactive report becomes the centrepiece of the Accenture presentation. It demonstrates both what was learned about 2gthr and how Nova works as a platform.</w:t>
      </w:r>
    </w:p>
    <w:p>
      <w:pPr>
        <w:spacing w:after="100"/>
      </w:pPr>
    </w:p>
    <w:p>
      <w:pPr>
        <w:spacing w:after="200" w:before="0"/>
      </w:pPr>
      <w:r>
        <w:rPr>
          <w:rFonts w:ascii="Arial" w:cs="Arial" w:eastAsia="Arial" w:hAnsi="Arial"/>
          <w:i/>
          <w:iCs/>
          <w:color w:val="555555"/>
          <w:sz w:val="22"/>
          <w:szCs w:val="22"/>
        </w:rPr>
        <w:t xml:space="preserve">The result: Accenture doesn’t just read about what Nova can do. They experience it. The report they’re reviewing was produced by the platform they’re being asked to buy.</w:t>
      </w:r>
    </w:p>
    <w:p>
      <w:pPr>
        <w:pBdr>
          <w:bottom w:val="single" w:color="CCCCCC" w:sz="2" w:space="1"/>
        </w:pBdr>
        <w:spacing w:after="300"/>
      </w:pPr>
    </w:p>
    <w:p>
      <w:pPr>
        <w:pStyle w:val="Heading1"/>
        <w:spacing w:after="200" w:before="0"/>
      </w:pPr>
      <w:r>
        <w:rPr>
          <w:rFonts w:ascii="Arial" w:cs="Arial" w:eastAsia="Arial" w:hAnsi="Arial"/>
          <w:sz w:val="22"/>
          <w:szCs w:val="22"/>
        </w:rPr>
        <w:t xml:space="preserve">Setup (Run Once Before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1A1A" w:sz="6"/>
              <w:bottom w:val="single" w:color="DDDDDD" w:sz="1"/>
              <w:right w:val="single" w:color="DDDDDD" w:sz="1"/>
            </w:tcBorders>
            <w:shd w:fill="F7F7F7" w:val="clear"/>
            <w:tcMar>
              <w:top w:type="dxa" w:w="120"/>
              <w:left w:type="dxa" w:w="200"/>
              <w:bottom w:type="dxa" w:w="120"/>
              <w:right w:type="dxa" w:w="200"/>
            </w:tcMar>
          </w:tcPr>
          <w:p>
            <w:pPr>
              <w:spacing w:after="60"/>
            </w:pPr>
            <w:r>
              <w:rPr>
                <w:rFonts w:ascii="Courier New" w:cs="Courier New" w:eastAsia="Courier New" w:hAnsi="Courier New"/>
                <w:color w:val="333333"/>
                <w:sz w:val="20"/>
                <w:szCs w:val="20"/>
              </w:rPr>
              <w:t xml:space="preserve">mkdir -p .nova-reports</w:t>
            </w:r>
          </w:p>
          <w:p>
            <w:pPr>
              <w:spacing w:after="60"/>
            </w:pPr>
            <w:r>
              <w:rPr>
                <w:rFonts w:ascii="Courier New" w:cs="Courier New" w:eastAsia="Courier New" w:hAnsi="Courier New"/>
                <w:color w:val="333333"/>
                <w:sz w:val="20"/>
                <w:szCs w:val="20"/>
              </w:rPr>
              <w:t xml:space="preserve">echo ".nova-reports/" &gt;&gt; .gitignore</w:t>
            </w:r>
          </w:p>
          <w:p>
            <w:pPr>
              <w:spacing w:after="60"/>
            </w:pPr>
            <w:r>
              <w:rPr>
                <w:rFonts w:ascii="Courier New" w:cs="Courier New" w:eastAsia="Courier New" w:hAnsi="Courier New"/>
                <w:color w:val="333333"/>
                <w:sz w:val="20"/>
                <w:szCs w:val="20"/>
              </w:rPr>
              <w:t xml:space="preserve">git log --oneline --since="2025-01-01" &gt; .nova-reports/00_git_history_summary.md</w:t>
            </w:r>
          </w:p>
          <w:p>
            <w:pPr>
              <w:spacing w:after="0"/>
            </w:pPr>
            <w:r>
              <w:rPr>
                <w:rFonts w:ascii="Courier New" w:cs="Courier New" w:eastAsia="Courier New" w:hAnsi="Courier New"/>
                <w:color w:val="333333"/>
                <w:sz w:val="20"/>
                <w:szCs w:val="20"/>
              </w:rPr>
              <w:t xml:space="preserve">git log --stat --since="2025-01-01" &gt; .nova-reports/00_git_history_detailed.md</w:t>
            </w:r>
          </w:p>
        </w:tc>
      </w:tr>
    </w:tbl>
    <w:p>
      <w:pPr>
        <w:spacing w:after="300"/>
      </w:pPr>
    </w:p>
    <w:p>
      <w:pPr>
        <w:pStyle w:val="Heading1"/>
        <w:spacing w:after="200" w:before="0"/>
      </w:pPr>
      <w:r>
        <w:rPr>
          <w:rFonts w:ascii="Arial" w:cs="Arial" w:eastAsia="Arial" w:hAnsi="Arial"/>
          <w:sz w:val="22"/>
          <w:szCs w:val="22"/>
        </w:rPr>
        <w:t xml:space="preserve">The Seven Prompts</w:t>
      </w:r>
    </w:p>
    <w:p>
      <w:pPr>
        <w:spacing w:after="240" w:before="0"/>
      </w:pPr>
      <w:r>
        <w:rPr>
          <w:rFonts w:ascii="Arial" w:cs="Arial" w:eastAsia="Arial" w:hAnsi="Arial"/>
          <w:i/>
          <w:iCs/>
          <w:color w:val="666666"/>
          <w:sz w:val="22"/>
          <w:szCs w:val="22"/>
        </w:rPr>
        <w:t xml:space="preserve">Run these in order. Each builds on the context of the previous outputs.</w:t>
      </w:r>
    </w:p>
    <w:p>
      <w:pPr>
        <w:pStyle w:val="Heading2"/>
        <w:spacing w:after="200" w:before="0"/>
      </w:pPr>
      <w:r>
        <w:rPr>
          <w:rFonts w:ascii="Arial" w:cs="Arial" w:eastAsia="Arial" w:hAnsi="Arial"/>
          <w:sz w:val="22"/>
          <w:szCs w:val="22"/>
        </w:rPr>
        <w:t xml:space="preserve">Prompt 1 — System Overview</w:t>
      </w:r>
    </w:p>
    <w:p>
      <w:pPr>
        <w:spacing w:after="120" w:before="0"/>
      </w:pPr>
      <w:r>
        <w:rPr>
          <w:rFonts w:ascii="Arial" w:cs="Arial" w:eastAsia="Arial" w:hAnsi="Arial"/>
          <w:b/>
          <w:bCs/>
          <w:color w:val="555555"/>
          <w:sz w:val="20"/>
          <w:szCs w:val="20"/>
        </w:rPr>
        <w:t xml:space="preserve">Output: </w:t>
      </w:r>
      <w:r>
        <w:rPr>
          <w:rFonts w:ascii="Arial" w:cs="Arial" w:eastAsia="Arial" w:hAnsi="Arial"/>
          <w:i/>
          <w:iCs/>
          <w:color w:val="555555"/>
          <w:sz w:val="20"/>
          <w:szCs w:val="20"/>
        </w:rPr>
        <w:t xml:space="preserve">.nova-reports/01_system_overview.md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1A1A" w:sz="6"/>
              <w:bottom w:val="single" w:color="DDDDDD" w:sz="1"/>
              <w:right w:val="single" w:color="DDDDDD" w:sz="1"/>
            </w:tcBorders>
            <w:shd w:fill="F7F7F7" w:val="clear"/>
            <w:tcMar>
              <w:top w:type="dxa" w:w="120"/>
              <w:left w:type="dxa" w:w="200"/>
              <w:bottom w:type="dxa" w:w="120"/>
              <w:right w:type="dxa" w:w="200"/>
            </w:tcMar>
          </w:tcPr>
          <w:p>
            <w:pPr>
              <w:spacing w:after="0"/>
            </w:pPr>
            <w:r>
              <w:rPr>
                <w:rFonts w:ascii="Arial" w:cs="Arial" w:eastAsia="Arial" w:hAnsi="Arial"/>
                <w:color w:val="333333"/>
                <w:sz w:val="20"/>
                <w:szCs w:val="20"/>
              </w:rPr>
              <w:t xml:space="preserve">Scan this entire project. Produce a markdown report at .nova-reports/01_system_overview.md that covers: (a) a high-level description of what this system does from a user’s perspective, (b) the major features/modules and how they connect, (c) the tech stack — frontend framework, backend, database, auth, hosting, third-party integrations, (d) a simple architecture diagram in mermaid syntax. Write it so a non-technical executive could understand what the system is and what it does.</w:t>
            </w:r>
          </w:p>
        </w:tc>
      </w:tr>
    </w:tbl>
    <w:p>
      <w:pPr>
        <w:spacing w:after="200"/>
      </w:pPr>
    </w:p>
    <w:p>
      <w:pPr>
        <w:pStyle w:val="Heading2"/>
        <w:spacing w:after="200" w:before="0"/>
      </w:pPr>
      <w:r>
        <w:rPr>
          <w:rFonts w:ascii="Arial" w:cs="Arial" w:eastAsia="Arial" w:hAnsi="Arial"/>
          <w:sz w:val="22"/>
          <w:szCs w:val="22"/>
        </w:rPr>
        <w:t xml:space="preserve">Prompt 2 — “Land Your Next Job” Path Breakdown</w:t>
      </w:r>
    </w:p>
    <w:p>
      <w:pPr>
        <w:spacing w:after="120" w:before="0"/>
      </w:pPr>
      <w:r>
        <w:rPr>
          <w:rFonts w:ascii="Arial" w:cs="Arial" w:eastAsia="Arial" w:hAnsi="Arial"/>
          <w:b/>
          <w:bCs/>
          <w:color w:val="555555"/>
          <w:sz w:val="20"/>
          <w:szCs w:val="20"/>
        </w:rPr>
        <w:t xml:space="preserve">Output: </w:t>
      </w:r>
      <w:r>
        <w:rPr>
          <w:rFonts w:ascii="Arial" w:cs="Arial" w:eastAsia="Arial" w:hAnsi="Arial"/>
          <w:i/>
          <w:iCs/>
          <w:color w:val="555555"/>
          <w:sz w:val="20"/>
          <w:szCs w:val="20"/>
        </w:rPr>
        <w:t xml:space="preserve">.nova-reports/02_land_next_job_path_breakdown.md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1A1A" w:sz="6"/>
              <w:bottom w:val="single" w:color="DDDDDD" w:sz="1"/>
              <w:right w:val="single" w:color="DDDDDD" w:sz="1"/>
            </w:tcBorders>
            <w:shd w:fill="F7F7F7" w:val="clear"/>
            <w:tcMar>
              <w:top w:type="dxa" w:w="120"/>
              <w:left w:type="dxa" w:w="200"/>
              <w:bottom w:type="dxa" w:w="120"/>
              <w:right w:type="dxa" w:w="200"/>
            </w:tcMar>
          </w:tcPr>
          <w:p>
            <w:pPr>
              <w:spacing w:after="0"/>
            </w:pPr>
            <w:r>
              <w:rPr>
                <w:rFonts w:ascii="Arial" w:cs="Arial" w:eastAsia="Arial" w:hAnsi="Arial"/>
                <w:color w:val="333333"/>
                <w:sz w:val="20"/>
                <w:szCs w:val="20"/>
              </w:rPr>
              <w:t xml:space="preserve">This system contains multiple paths, but only one has been fully developed: "Land Your Next Job" (the evidence-based approach). Ignore all other paths — they are placeholders/dummy data. Produce a markdown report at .nova-reports/02_land_next_job_path_breakdown.md that explains: (a) the overall purpose of this path — who it’s for, what problem it solves, and what the end outcome looks like for the user, (b) every Milestone within this path — what it represents, what the user needs to achieve to complete it, and why it matters as a progression checkpoint, (c) for each Milestone, list every Go-Card — its type, the action it asks the user to take, how completion is tracked, and what Strides/progress it generates, (d) the relationships and sequencing — which Go-Cards feed which Milestones, what’s essential vs. optional, what dependencies or locks exist, (e) any evidence collection, validation, or reflection mechanisms built into the path. Present this as a structured hierarchy, not a flat list. Write it so someone unfamiliar with the system could understand the full user journey from start to finish.</w:t>
            </w:r>
          </w:p>
        </w:tc>
      </w:tr>
    </w:tbl>
    <w:p>
      <w:pPr>
        <w:spacing w:after="200"/>
      </w:pPr>
    </w:p>
    <w:p>
      <w:pPr>
        <w:pStyle w:val="Heading2"/>
        <w:spacing w:after="200" w:before="0"/>
      </w:pPr>
      <w:r>
        <w:rPr>
          <w:rFonts w:ascii="Arial" w:cs="Arial" w:eastAsia="Arial" w:hAnsi="Arial"/>
          <w:sz w:val="22"/>
          <w:szCs w:val="22"/>
        </w:rPr>
        <w:t xml:space="preserve">Prompt 3 — Design Asset Audit</w:t>
      </w:r>
    </w:p>
    <w:p>
      <w:pPr>
        <w:spacing w:after="120" w:before="0"/>
      </w:pPr>
      <w:r>
        <w:rPr>
          <w:rFonts w:ascii="Arial" w:cs="Arial" w:eastAsia="Arial" w:hAnsi="Arial"/>
          <w:b/>
          <w:bCs/>
          <w:color w:val="555555"/>
          <w:sz w:val="20"/>
          <w:szCs w:val="20"/>
        </w:rPr>
        <w:t xml:space="preserve">Output: </w:t>
      </w:r>
      <w:r>
        <w:rPr>
          <w:rFonts w:ascii="Arial" w:cs="Arial" w:eastAsia="Arial" w:hAnsi="Arial"/>
          <w:i/>
          <w:iCs/>
          <w:color w:val="555555"/>
          <w:sz w:val="20"/>
          <w:szCs w:val="20"/>
        </w:rPr>
        <w:t xml:space="preserve">.nova-reports/03_design_asset_audit.md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1A1A" w:sz="6"/>
              <w:bottom w:val="single" w:color="DDDDDD" w:sz="1"/>
              <w:right w:val="single" w:color="DDDDDD" w:sz="1"/>
            </w:tcBorders>
            <w:shd w:fill="F7F7F7" w:val="clear"/>
            <w:tcMar>
              <w:top w:type="dxa" w:w="120"/>
              <w:left w:type="dxa" w:w="200"/>
              <w:bottom w:type="dxa" w:w="120"/>
              <w:right w:type="dxa" w:w="200"/>
            </w:tcMar>
          </w:tcPr>
          <w:p>
            <w:pPr>
              <w:spacing w:after="0"/>
            </w:pPr>
            <w:r>
              <w:rPr>
                <w:rFonts w:ascii="Arial" w:cs="Arial" w:eastAsia="Arial" w:hAnsi="Arial"/>
                <w:color w:val="333333"/>
                <w:sz w:val="20"/>
                <w:szCs w:val="20"/>
              </w:rPr>
              <w:t xml:space="preserve">Scan for any Figma MCP files, design tokens, component libraries, or design system references in this project. Produce a report at .nova-reports/03_design_asset_audit.md covering: (a) what design files were pulled and what they contain, (b) how the current frontend components map to those designs, (c) what’s been implemented vs. what’s still in design, (d) a list of all unique UI components and their current state (built, partially built, design only).</w:t>
            </w:r>
          </w:p>
        </w:tc>
      </w:tr>
    </w:tbl>
    <w:p>
      <w:pPr>
        <w:spacing w:after="200"/>
      </w:pPr>
    </w:p>
    <w:p>
      <w:pPr>
        <w:pStyle w:val="Heading2"/>
        <w:spacing w:after="200" w:before="0"/>
      </w:pPr>
      <w:r>
        <w:rPr>
          <w:rFonts w:ascii="Arial" w:cs="Arial" w:eastAsia="Arial" w:hAnsi="Arial"/>
          <w:sz w:val="22"/>
          <w:szCs w:val="22"/>
        </w:rPr>
        <w:t xml:space="preserve">Prompt 4 — Frontend Isolation &amp; Portability Analysis</w:t>
      </w:r>
    </w:p>
    <w:p>
      <w:pPr>
        <w:spacing w:after="120" w:before="0"/>
      </w:pPr>
      <w:r>
        <w:rPr>
          <w:rFonts w:ascii="Arial" w:cs="Arial" w:eastAsia="Arial" w:hAnsi="Arial"/>
          <w:b/>
          <w:bCs/>
          <w:color w:val="555555"/>
          <w:sz w:val="20"/>
          <w:szCs w:val="20"/>
        </w:rPr>
        <w:t xml:space="preserve">Output: </w:t>
      </w:r>
      <w:r>
        <w:rPr>
          <w:rFonts w:ascii="Arial" w:cs="Arial" w:eastAsia="Arial" w:hAnsi="Arial"/>
          <w:i/>
          <w:iCs/>
          <w:color w:val="555555"/>
          <w:sz w:val="20"/>
          <w:szCs w:val="20"/>
        </w:rPr>
        <w:t xml:space="preserve">.nova-reports/04_frontend_portability.md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1A1A" w:sz="6"/>
              <w:bottom w:val="single" w:color="DDDDDD" w:sz="1"/>
              <w:right w:val="single" w:color="DDDDDD" w:sz="1"/>
            </w:tcBorders>
            <w:shd w:fill="F7F7F7" w:val="clear"/>
            <w:tcMar>
              <w:top w:type="dxa" w:w="120"/>
              <w:left w:type="dxa" w:w="200"/>
              <w:bottom w:type="dxa" w:w="120"/>
              <w:right w:type="dxa" w:w="200"/>
            </w:tcMar>
          </w:tcPr>
          <w:p>
            <w:pPr>
              <w:spacing w:after="0"/>
            </w:pPr>
            <w:r>
              <w:rPr>
                <w:rFonts w:ascii="Arial" w:cs="Arial" w:eastAsia="Arial" w:hAnsi="Arial"/>
                <w:color w:val="333333"/>
                <w:sz w:val="20"/>
                <w:szCs w:val="20"/>
              </w:rPr>
              <w:t xml:space="preserve">Analyze the frontend architecture and produce a report at .nova-reports/04_frontend_portability.md that explains: (a) how the frontend could be cleanly separated from the current backend so that Accenture could plug in their own backend, auth, and security protocols, (b) what data structures and objects exist and how they could be written into a BRD (Business Requirements Document) or ERD (Entity Relationship Diagram) — produce a draft ERD in mermaid syntax, (c) what API contracts the frontend currently expects — list every endpoint, payload shape, and response, (d) what would need to change to make the frontend fully portable, and what’s already clean enough to hand over.</w:t>
            </w:r>
          </w:p>
        </w:tc>
      </w:tr>
    </w:tbl>
    <w:p>
      <w:pPr>
        <w:spacing w:after="200"/>
      </w:pPr>
    </w:p>
    <w:p>
      <w:pPr>
        <w:pStyle w:val="Heading2"/>
        <w:spacing w:after="200" w:before="0"/>
      </w:pPr>
      <w:r>
        <w:rPr>
          <w:rFonts w:ascii="Arial" w:cs="Arial" w:eastAsia="Arial" w:hAnsi="Arial"/>
          <w:sz w:val="22"/>
          <w:szCs w:val="22"/>
        </w:rPr>
        <w:t xml:space="preserve">Prompt 5 — Hosted Tools &amp; Microservice Architecture</w:t>
      </w:r>
    </w:p>
    <w:p>
      <w:pPr>
        <w:spacing w:after="120" w:before="0"/>
      </w:pPr>
      <w:r>
        <w:rPr>
          <w:rFonts w:ascii="Arial" w:cs="Arial" w:eastAsia="Arial" w:hAnsi="Arial"/>
          <w:b/>
          <w:bCs/>
          <w:color w:val="555555"/>
          <w:sz w:val="20"/>
          <w:szCs w:val="20"/>
        </w:rPr>
        <w:t xml:space="preserve">Output: </w:t>
      </w:r>
      <w:r>
        <w:rPr>
          <w:rFonts w:ascii="Arial" w:cs="Arial" w:eastAsia="Arial" w:hAnsi="Arial"/>
          <w:i/>
          <w:iCs/>
          <w:color w:val="555555"/>
          <w:sz w:val="20"/>
          <w:szCs w:val="20"/>
        </w:rPr>
        <w:t xml:space="preserve">.nova-reports/05_hosted_tools_architecture.md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1A1A" w:sz="6"/>
              <w:bottom w:val="single" w:color="DDDDDD" w:sz="1"/>
              <w:right w:val="single" w:color="DDDDDD" w:sz="1"/>
            </w:tcBorders>
            <w:shd w:fill="F7F7F7" w:val="clear"/>
            <w:tcMar>
              <w:top w:type="dxa" w:w="120"/>
              <w:left w:type="dxa" w:w="200"/>
              <w:bottom w:type="dxa" w:w="120"/>
              <w:right w:type="dxa" w:w="200"/>
            </w:tcMar>
          </w:tcPr>
          <w:p>
            <w:pPr>
              <w:spacing w:after="0"/>
            </w:pPr>
            <w:r>
              <w:rPr>
                <w:rFonts w:ascii="Arial" w:cs="Arial" w:eastAsia="Arial" w:hAnsi="Arial"/>
                <w:color w:val="333333"/>
                <w:sz w:val="20"/>
                <w:szCs w:val="20"/>
              </w:rPr>
              <w:t xml:space="preserve">Produce a report at .nova-reports/05_hosted_tools_architecture.md that explains: (a) which tools, calculators, or interactive features in this system could be hosted independently on separate servers, (b) how these could pass data to Accenture’s system using encrypted OAuth2 authentication and REST APIs via microservices, (c) what security controls this architecture would need to satisfy (data encryption in transit and at rest, token-based auth, audit logging, rate limiting), (d) a proposed microservice architecture diagram in mermaid syntax showing how Nova’s hosted tools connect to Accenture’s system while respecting their security boundaries.</w:t>
            </w:r>
          </w:p>
        </w:tc>
      </w:tr>
    </w:tbl>
    <w:p>
      <w:pPr>
        <w:spacing w:after="200"/>
      </w:pPr>
    </w:p>
    <w:p>
      <w:pPr>
        <w:pStyle w:val="Heading2"/>
        <w:spacing w:after="200" w:before="0"/>
      </w:pPr>
      <w:r>
        <w:rPr>
          <w:rFonts w:ascii="Arial" w:cs="Arial" w:eastAsia="Arial" w:hAnsi="Arial"/>
          <w:sz w:val="22"/>
          <w:szCs w:val="22"/>
        </w:rPr>
        <w:t xml:space="preserve">Prompt 6 — Development Velocity Report</w:t>
      </w:r>
    </w:p>
    <w:p>
      <w:pPr>
        <w:spacing w:after="120" w:before="0"/>
      </w:pPr>
      <w:r>
        <w:rPr>
          <w:rFonts w:ascii="Arial" w:cs="Arial" w:eastAsia="Arial" w:hAnsi="Arial"/>
          <w:b/>
          <w:bCs/>
          <w:color w:val="555555"/>
          <w:sz w:val="20"/>
          <w:szCs w:val="20"/>
        </w:rPr>
        <w:t xml:space="preserve">Output: </w:t>
      </w:r>
      <w:r>
        <w:rPr>
          <w:rFonts w:ascii="Arial" w:cs="Arial" w:eastAsia="Arial" w:hAnsi="Arial"/>
          <w:i/>
          <w:iCs/>
          <w:color w:val="555555"/>
          <w:sz w:val="20"/>
          <w:szCs w:val="20"/>
        </w:rPr>
        <w:t xml:space="preserve">.nova-reports/06_development_velocity.md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1A1A" w:sz="6"/>
              <w:bottom w:val="single" w:color="DDDDDD" w:sz="1"/>
              <w:right w:val="single" w:color="DDDDDD" w:sz="1"/>
            </w:tcBorders>
            <w:shd w:fill="F7F7F7" w:val="clear"/>
            <w:tcMar>
              <w:top w:type="dxa" w:w="120"/>
              <w:left w:type="dxa" w:w="200"/>
              <w:bottom w:type="dxa" w:w="120"/>
              <w:right w:type="dxa" w:w="200"/>
            </w:tcMar>
          </w:tcPr>
          <w:p>
            <w:pPr>
              <w:spacing w:after="0"/>
            </w:pPr>
            <w:r>
              <w:rPr>
                <w:rFonts w:ascii="Arial" w:cs="Arial" w:eastAsia="Arial" w:hAnsi="Arial"/>
                <w:color w:val="333333"/>
                <w:sz w:val="20"/>
                <w:szCs w:val="20"/>
              </w:rPr>
              <w:t xml:space="preserve">Read the files at .nova-reports/00_git_history_summary.md and .nova-reports/00_git_history_detailed.md. Produce a report at .nova-reports/06_development_velocity.md. Important: do NOT include any contributor names, author information, specific commit dates, or per-feature timelines. Do not attribute any work to specific individuals. The report should cover: (a) the total scope of work completed — features shipped, components built, modules delivered, and the overall complexity of what was produced, (b) a category-by-category summary of what was built (e.g., “user onboarding flow,” “path navigation system,” “go-card engine,” etc.) grouped by functional area rather than by chronological order, (c) for each category, an estimate of how long this work would typically take a traditional delivery team (product manager + designers + BAs + developers + QA) using conventional methods, (d) a comparison of the total traditional estimate vs. the actual scope delivered during the POC period, expressed as a multiplier or percentage acceleration, (e) specific examples of where the Nova-powered approach eliminated or compressed steps that would normally exist in a traditional workflow — be concrete about what was skipped or automated and why. Frame the report around what was achieved and how the approach compares to traditional delivery, not around who did what or when.</w:t>
            </w:r>
          </w:p>
        </w:tc>
      </w:tr>
    </w:tbl>
    <w:p>
      <w:pPr>
        <w:spacing w:after="200"/>
      </w:pPr>
    </w:p>
    <w:p>
      <w:pPr>
        <w:pStyle w:val="Heading2"/>
        <w:spacing w:after="200" w:before="0"/>
      </w:pPr>
      <w:r>
        <w:rPr>
          <w:rFonts w:ascii="Arial" w:cs="Arial" w:eastAsia="Arial" w:hAnsi="Arial"/>
          <w:sz w:val="22"/>
          <w:szCs w:val="22"/>
        </w:rPr>
        <w:t xml:space="preserve">Prompt 7 — Stakeholder Value Mapping</w:t>
      </w:r>
    </w:p>
    <w:p>
      <w:pPr>
        <w:spacing w:after="120" w:before="0"/>
      </w:pPr>
      <w:r>
        <w:rPr>
          <w:rFonts w:ascii="Arial" w:cs="Arial" w:eastAsia="Arial" w:hAnsi="Arial"/>
          <w:b/>
          <w:bCs/>
          <w:color w:val="555555"/>
          <w:sz w:val="20"/>
          <w:szCs w:val="20"/>
        </w:rPr>
        <w:t xml:space="preserve">Output: </w:t>
      </w:r>
      <w:r>
        <w:rPr>
          <w:rFonts w:ascii="Arial" w:cs="Arial" w:eastAsia="Arial" w:hAnsi="Arial"/>
          <w:i/>
          <w:iCs/>
          <w:color w:val="555555"/>
          <w:sz w:val="20"/>
          <w:szCs w:val="20"/>
        </w:rPr>
        <w:t xml:space="preserve">.nova-reports/07_stakeholder_value_map.md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1A1A" w:sz="6"/>
              <w:bottom w:val="single" w:color="DDDDDD" w:sz="1"/>
              <w:right w:val="single" w:color="DDDDDD" w:sz="1"/>
            </w:tcBorders>
            <w:shd w:fill="F7F7F7" w:val="clear"/>
            <w:tcMar>
              <w:top w:type="dxa" w:w="120"/>
              <w:left w:type="dxa" w:w="200"/>
              <w:bottom w:type="dxa" w:w="120"/>
              <w:right w:type="dxa" w:w="200"/>
            </w:tcMar>
          </w:tcPr>
          <w:p>
            <w:pPr>
              <w:spacing w:after="0"/>
            </w:pPr>
            <w:r>
              <w:rPr>
                <w:rFonts w:ascii="Arial" w:cs="Arial" w:eastAsia="Arial" w:hAnsi="Arial"/>
                <w:color w:val="333333"/>
                <w:sz w:val="20"/>
                <w:szCs w:val="20"/>
              </w:rPr>
              <w:t xml:space="preserve">Using everything in the .nova-reports/ folder so far, produce a final report at .nova-reports/07_stakeholder_value_map.md that maps the value of this approach for each stakeholder in Accenture’s delivery chain: (a) Design Team — what they receive, how it accelerates their work, (b) BA Team — what requirements and specs are generated, how this replaces manual discovery, (c) Dev Team — what they get handed, how it reduces ambiguity and rework, (d) QA/Testing — how validated requirements reduce test cycles, (e) Marketing/GTM — what user insights and positioning data is produced, (f) Strategy/Leadership — what evidence-based decision making looks like with this approach, (g) Salesforce/CRM — what data structures and integration points are ready. For each stakeholder, explain what they get today without Nova, what they get with Nova, and the time/cost difference.</w:t>
            </w:r>
          </w:p>
        </w:tc>
      </w:tr>
    </w:tbl>
    <w:p>
      <w:pPr>
        <w:spacing w:after="200"/>
      </w:pPr>
    </w:p>
    <w:p>
      <w:pPr>
        <w:pBdr>
          <w:bottom w:val="single" w:color="CCCCCC" w:sz="2" w:space="1"/>
        </w:pBdr>
        <w:spacing w:after="300" w:before="200"/>
      </w:pPr>
    </w:p>
    <w:p>
      <w:pPr>
        <w:pStyle w:val="Heading1"/>
        <w:spacing w:after="200" w:before="0"/>
      </w:pPr>
      <w:r>
        <w:rPr>
          <w:rFonts w:ascii="Arial" w:cs="Arial" w:eastAsia="Arial" w:hAnsi="Arial"/>
          <w:sz w:val="22"/>
          <w:szCs w:val="22"/>
        </w:rPr>
        <w:t xml:space="preserve">What Happens Next: The Interactive Report</w:t>
      </w:r>
    </w:p>
    <w:p>
      <w:pPr>
        <w:spacing w:after="200" w:before="0"/>
      </w:pPr>
      <w:r>
        <w:rPr>
          <w:rFonts w:ascii="Arial" w:cs="Arial" w:eastAsia="Arial" w:hAnsi="Arial"/>
          <w:sz w:val="22"/>
          <w:szCs w:val="22"/>
        </w:rPr>
        <w:t xml:space="preserve">Once all seven markdown files exist, they get copied into the NovaPIP project. Claude Code in that project will digest them and produce an interactive report that:</w:t>
      </w:r>
    </w:p>
    <w:p>
      <w:pPr>
        <w:pStyle w:val="ListParagraph"/>
        <w:numPr>
          <w:ilvl w:val="0"/>
          <w:numId w:val="3"/>
        </w:numPr>
        <w:spacing w:after="80"/>
      </w:pPr>
      <w:r>
        <w:rPr>
          <w:rFonts w:ascii="Arial" w:cs="Arial" w:eastAsia="Arial" w:hAnsi="Arial"/>
          <w:sz w:val="22"/>
          <w:szCs w:val="22"/>
        </w:rPr>
        <w:t xml:space="preserve">Is built in the Nova design system — same look, feel, and interaction patterns as the platform itself</w:t>
      </w:r>
    </w:p>
    <w:p>
      <w:pPr>
        <w:pStyle w:val="ListParagraph"/>
        <w:numPr>
          <w:ilvl w:val="0"/>
          <w:numId w:val="3"/>
        </w:numPr>
        <w:spacing w:after="80"/>
      </w:pPr>
      <w:r>
        <w:rPr>
          <w:rFonts w:ascii="Arial" w:cs="Arial" w:eastAsia="Arial" w:hAnsi="Arial"/>
          <w:sz w:val="22"/>
          <w:szCs w:val="22"/>
        </w:rPr>
        <w:t xml:space="preserve">Presents the 2gthr POC findings as a navigable, interactive experience — not a static PDF</w:t>
      </w:r>
    </w:p>
    <w:p>
      <w:pPr>
        <w:pStyle w:val="ListParagraph"/>
        <w:numPr>
          <w:ilvl w:val="0"/>
          <w:numId w:val="3"/>
        </w:numPr>
        <w:spacing w:after="80"/>
      </w:pPr>
      <w:r>
        <w:rPr>
          <w:rFonts w:ascii="Arial" w:cs="Arial" w:eastAsia="Arial" w:hAnsi="Arial"/>
          <w:sz w:val="22"/>
          <w:szCs w:val="22"/>
        </w:rPr>
        <w:t xml:space="preserve">Includes navigation into broader Nova features — so Accenture can explore what else the platform offers beyond this specific analysis</w:t>
      </w:r>
    </w:p>
    <w:p>
      <w:pPr>
        <w:pStyle w:val="ListParagraph"/>
        <w:numPr>
          <w:ilvl w:val="0"/>
          <w:numId w:val="3"/>
        </w:numPr>
        <w:spacing w:after="200"/>
      </w:pPr>
      <w:r>
        <w:rPr>
          <w:rFonts w:ascii="Arial" w:cs="Arial" w:eastAsia="Arial" w:hAnsi="Arial"/>
          <w:sz w:val="22"/>
          <w:szCs w:val="22"/>
        </w:rPr>
        <w:t xml:space="preserve">Serves as a live demo: the report Accenture is reviewing was itself produced by the platform they’re being asked to invest in</w:t>
      </w:r>
    </w:p>
    <w:p>
      <w:pPr>
        <w:spacing w:after="200" w:before="0"/>
      </w:pPr>
      <w:r>
        <w:rPr>
          <w:rFonts w:ascii="Arial" w:cs="Arial" w:eastAsia="Arial" w:hAnsi="Arial"/>
          <w:sz w:val="22"/>
          <w:szCs w:val="22"/>
        </w:rPr>
        <w:t xml:space="preserve">This is the pitch in action. Nova doesn’t just tell Accenture what it can do — it shows them by doing it on their own project, with their own data, in real time.</w:t>
      </w:r>
    </w:p>
    <w:p>
      <w:pPr>
        <w:pStyle w:val="Heading2"/>
        <w:spacing w:after="200" w:before="0"/>
      </w:pPr>
      <w:r>
        <w:rPr>
          <w:rFonts w:ascii="Arial" w:cs="Arial" w:eastAsia="Arial" w:hAnsi="Arial"/>
          <w:sz w:val="22"/>
          <w:szCs w:val="22"/>
        </w:rPr>
        <w:t xml:space="preserve">The Interactive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3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Source Reports</w:t>
            </w:r>
          </w:p>
        </w:tc>
        <w:tc>
          <w:tcPr>
            <w:tcW w:type="dxa" w:w="3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What Accenture Sees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Platform Overview</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#01 System Overview</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What was built, the architecture, the tech stack</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Solution Deep-Dive</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#02 Path Breakdown</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The full “Land Your Next Job” journey — interactive, navigable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Design System</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#03 Design Asset Audit</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What’s designed, what’s built, component status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Portability &amp; Integration</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#04 Frontend Portability
#05 Hosted Tools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How this plugs into Accenture’s systems securely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Delivery Acceleration</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#06 Dev Velocity</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Traditional delivery vs. Nova — the speed multiplier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Stakeholder Impact</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#07 Value Map</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What every team in Accenture’s chain gets from this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Explore Nova</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Platform navigation</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Browse Nova’s broader capabilities beyond this POC</w:t>
            </w:r>
          </w:p>
        </w:tc>
      </w:tr>
    </w:tbl>
    <w:p>
      <w:pPr>
        <w:spacing w:after="300"/>
      </w:pPr>
    </w:p>
    <w:p>
      <w:pPr>
        <w:spacing w:after="200" w:before="0"/>
      </w:pPr>
      <w:r>
        <w:rPr>
          <w:rFonts w:ascii="Arial" w:cs="Arial" w:eastAsia="Arial" w:hAnsi="Arial"/>
          <w:sz w:val="22"/>
          <w:szCs w:val="22"/>
        </w:rPr>
        <w:t xml:space="preserve">The last row — “Explore Nova” — is the conversion point. Once Accenture has seen what Nova produced for their project, they can navigate into what else the platform does. That’s where the R2m/month conversation becomes obvious.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0"/>
      <w:szCs w:val="30"/>
    </w:rPr>
  </w:style>
  <w:style w:type="paragraph" w:styleId="Heading2">
    <w:name w:val="Heading 2"/>
    <w:basedOn w:val="Normal"/>
    <w:next w:val="Normal"/>
    <w:qFormat/>
    <w:pPr>
      <w:spacing w:before="320" w:after="140"/>
      <w:outlineLvl w:val="1"/>
    </w:pPr>
    <w:rPr>
      <w:rFonts w:ascii="Arial" w:cs="Arial" w:eastAsia="Arial" w:hAnsi="Arial"/>
      <w:b/>
      <w:bCs/>
      <w:color w:val="333333"/>
      <w:sz w:val="25"/>
      <w:szCs w:val="25"/>
    </w:rPr>
  </w:style>
  <w:style w:type="paragraph" w:styleId="Heading3">
    <w:name w:val="Heading 3"/>
    <w:basedOn w:val="Normal"/>
    <w:next w:val="Normal"/>
    <w:qFormat/>
    <w:pPr>
      <w:spacing w:before="24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2026-02-13T15:11:40.211Z</dcterms:created>
  <dcterms:modified xsi:type="dcterms:W3CDTF">2026-02-13T15:11:40.212Z</dcterms:modified>
</cp:coreProperties>
</file>

<file path=docProps/custom.xml><?xml version="1.0" encoding="utf-8"?>
<Properties xmlns="http://schemas.openxmlformats.org/officeDocument/2006/custom-properties" xmlns:vt="http://schemas.openxmlformats.org/officeDocument/2006/docPropsVTypes"/>
</file>