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TELECOM TOWER POWER (TTP)</w:t>
      </w:r>
    </w:p>
    <w:p>
      <w:pPr>
        <w:jc w:val="center"/>
      </w:pPr>
      <w:r>
        <w:rPr>
          <w:i/>
          <w:sz w:val="26"/>
        </w:rPr>
        <w:t>Resumo executivo para revisão jurídica</w:t>
      </w:r>
    </w:p>
    <w:p>
      <w:pPr>
        <w:jc w:val="center"/>
      </w:pPr>
      <w:r>
        <w:rPr>
          <w:color w:val="666666"/>
          <w:sz w:val="20"/>
        </w:rPr>
        <w:t>5 de maio de 2026</w:t>
      </w:r>
    </w:p>
    <w:p/>
    <w:p>
      <w:r>
        <w:rPr>
          <w:b/>
          <w:color w:val="1F3A5F"/>
          <w:sz w:val="28"/>
        </w:rPr>
        <w:t>1. O que é, em uma frase</w:t>
      </w:r>
    </w:p>
    <w:p>
      <w:pPr>
        <w:spacing w:after="120"/>
        <w:jc w:val="both"/>
      </w:pPr>
      <w:r>
        <w:t>É um software disponibilizado pela internet (modelo "SaaS" — Software como Serviço; o cliente não instala nada, acessa pelo navegador ou por integração técnica e paga uma mensalidade) que ajuda engenheiros de telecomunicações a planejar antenas e torres de celular e internet em áreas rurais e remotas do Brasil.</w:t>
      </w:r>
    </w:p>
    <w:p>
      <w:r>
        <w:rPr>
          <w:b/>
          <w:color w:val="1F3A5F"/>
          <w:sz w:val="28"/>
        </w:rPr>
        <w:t>2. Que problema resolve</w:t>
      </w:r>
    </w:p>
    <w:p>
      <w:pPr>
        <w:spacing w:after="120"/>
        <w:jc w:val="both"/>
      </w:pPr>
      <w:r>
        <w:t>Antes de instalar uma torre nova ou estabelecer uma comunicação por rádio entre duas localidades (por exemplo, levar internet a uma fazenda, mineradora ou posto de fronteira), o engenheiro precisa responder: "o sinal vai chegar lá com qualidade, considerando montanhas, mata e curvatura da Terra?".</w:t>
      </w:r>
    </w:p>
    <w:p>
      <w:pPr>
        <w:spacing w:after="120"/>
        <w:jc w:val="both"/>
      </w:pPr>
      <w:r>
        <w:t>Hoje, isso é feito com softwares estrangeiros caros (entre US$ 5 mil e US$ 20 mil por licença), demorados, e que não conhecem o relevo nem a base de torres do Brasil. O TTP entrega a mesma resposta em segundos, com dados brasileiros, por uma fração do preço.</w:t>
      </w:r>
    </w:p>
    <w:p>
      <w:r>
        <w:rPr>
          <w:b/>
          <w:color w:val="1F3A5F"/>
          <w:sz w:val="28"/>
        </w:rPr>
        <w:t>3. O que o TTP faz, concretamente — seis serviços principais</w:t>
      </w:r>
    </w:p>
    <w:p>
      <w:pPr>
        <w:pStyle w:val="ListNumber"/>
        <w:jc w:val="both"/>
      </w:pPr>
      <w:r>
        <w:t>Banco de dados de torres do Brasil — temos cadastradas 140 mil torres existentes no país (fontes públicas: ANATEL, agência reguladora brasileira, e OpenCellID, base colaborativa internacional). O cliente consulta "quais torres existem perto deste ponto?".</w:t>
      </w:r>
    </w:p>
    <w:p>
      <w:pPr>
        <w:pStyle w:val="ListNumber"/>
        <w:jc w:val="both"/>
      </w:pPr>
      <w:r>
        <w:t>Análise de enlace ponto a ponto — o cliente informa duas coordenadas (origem e destino) e o sistema calcula se há visada entre elas (se as montanhas atrapalham) e qual a qualidade do sinal esperada.</w:t>
      </w:r>
    </w:p>
    <w:p>
      <w:pPr>
        <w:pStyle w:val="ListNumber"/>
        <w:jc w:val="both"/>
      </w:pPr>
      <w:r>
        <w:t>Planejamento de repetidoras — quando o sinal não chega direto, o sistema sugere "caminhos com torres intermediárias" ("salte de A para C, depois para B").</w:t>
      </w:r>
    </w:p>
    <w:p>
      <w:pPr>
        <w:pStyle w:val="ListNumber"/>
        <w:jc w:val="both"/>
      </w:pPr>
      <w:r>
        <w:t>Relatórios em PDF — o cliente faz centenas de cálculos de uma vez e recebe um pacote de relatórios prontos para entregar ao cliente final dele.</w:t>
      </w:r>
    </w:p>
    <w:p>
      <w:pPr>
        <w:pStyle w:val="ListNumber"/>
        <w:jc w:val="both"/>
      </w:pPr>
      <w:r>
        <w:t>Assistente com Inteligência Artificial — o engenheiro pode conversar em português com o sistema (por exemplo: "compare estes dois cenários e me explique") usando IA da Amazon (serviço Bedrock).</w:t>
      </w:r>
    </w:p>
    <w:p>
      <w:pPr>
        <w:pStyle w:val="ListNumber"/>
        <w:jc w:val="both"/>
      </w:pPr>
      <w:r>
        <w:t>Previsão de cobertura com IA própria — modelo treinado pelo TTP que prevê onde o sinal de uma torre alcança, gerando mapas coloridos de cobertura.</w:t>
      </w:r>
    </w:p>
    <w:p>
      <w:r>
        <w:rPr>
          <w:b/>
          <w:color w:val="1F3A5F"/>
          <w:sz w:val="28"/>
        </w:rPr>
        <w:t>4. Para quem vendemos (perfil de cliente)</w:t>
      </w:r>
    </w:p>
    <w:p>
      <w:pPr>
        <w:spacing w:after="120"/>
        <w:jc w:val="both"/>
      </w:pPr>
      <w:r>
        <w:t>São empresas, e não consumidores finais (modelo B2B):</w:t>
      </w:r>
    </w:p>
    <w:p>
      <w:pPr>
        <w:pStyle w:val="ListBullet"/>
        <w:jc w:val="both"/>
      </w:pPr>
      <w:r>
        <w:t>Operadoras de telecom regionais — provedores de internet (ISPs) que atendem cidades pequenas e zona rural; existem aproximadamente 20 mil no Brasil.</w:t>
      </w:r>
    </w:p>
    <w:p>
      <w:pPr>
        <w:pStyle w:val="ListBullet"/>
        <w:jc w:val="both"/>
      </w:pPr>
      <w:r>
        <w:t>Integradoras e consultorias de RF (radiofrequência) — empresas que projetam redes para terceiros.</w:t>
      </w:r>
    </w:p>
    <w:p>
      <w:pPr>
        <w:pStyle w:val="ListBullet"/>
        <w:jc w:val="both"/>
      </w:pPr>
      <w:r>
        <w:t>Mineradoras, agronegócio e empresas de energia — precisam de comunicação privada em fazendas, minas e linhas de transmissão.</w:t>
      </w:r>
    </w:p>
    <w:p>
      <w:pPr>
        <w:pStyle w:val="ListBullet"/>
        <w:jc w:val="both"/>
      </w:pPr>
      <w:r>
        <w:t>Defesa e segurança pública — mercado potencial, ainda não explorado.</w:t>
      </w:r>
    </w:p>
    <w:p>
      <w:r>
        <w:rPr>
          <w:b/>
        </w:rPr>
        <w:t>Não vendemos para pessoa física. O contrato sempre será com empresa.</w:t>
      </w:r>
    </w:p>
    <w:p>
      <w:r>
        <w:rPr>
          <w:b/>
          <w:color w:val="1F3A5F"/>
          <w:sz w:val="28"/>
        </w:rPr>
        <w:t>5. Por que o TTP existe (proposta de valor e diferenciação)</w:t>
      </w:r>
    </w:p>
    <w:p>
      <w:pPr>
        <w:pStyle w:val="ListBullet"/>
        <w:jc w:val="both"/>
      </w:pPr>
      <w:r>
        <w:t>Único produto do mercado que combina dados oficiais brasileiros (ANATEL) + relevo do Brasil + IA treinada com dados locais. Concorrentes estrangeiros (por exemplo, Atoll e ICS Telecom) cobram caro e ignoram a realidade brasileira.</w:t>
      </w:r>
    </w:p>
    <w:p>
      <w:pPr>
        <w:pStyle w:val="ListBullet"/>
        <w:jc w:val="both"/>
      </w:pPr>
      <w:r>
        <w:t>Preço acessível (mensalidade em vez de licença milionária) — democratiza o acesso para o pequeno provedor.</w:t>
      </w:r>
    </w:p>
    <w:p>
      <w:pPr>
        <w:pStyle w:val="ListBullet"/>
        <w:jc w:val="both"/>
      </w:pPr>
      <w:r>
        <w:t>Conformidade nacional — dados ficam em servidores no Brasil (São Paulo), atendendo a LGPD; documentação em português; suporte em horário comercial brasileiro.</w:t>
      </w:r>
    </w:p>
    <w:p>
      <w:r>
        <w:rPr>
          <w:b/>
          <w:color w:val="1F3A5F"/>
          <w:sz w:val="28"/>
        </w:rPr>
        <w:t>6. Como o cliente paga e usa</w:t>
      </w:r>
    </w:p>
    <w:p>
      <w:pPr>
        <w:pStyle w:val="ListBullet"/>
        <w:jc w:val="both"/>
      </w:pPr>
      <w:r>
        <w:t>Auto-serviço pelo site: cria conta, escolhe um plano (cinco faixas, da mais barata para uso pequeno até a "Enterprise" para grandes operadoras), paga mensalidade no cartão (processador de pagamentos: Stripe).</w:t>
      </w:r>
    </w:p>
    <w:p>
      <w:pPr>
        <w:pStyle w:val="ListBullet"/>
        <w:jc w:val="both"/>
      </w:pPr>
      <w:r>
        <w:t>Recebe uma "chave de API" (uma senha técnica) que ele coloca no software dele para consultar o TTP automaticamente, ou usa o painel web.</w:t>
      </w:r>
    </w:p>
    <w:p>
      <w:pPr>
        <w:pStyle w:val="ListBullet"/>
        <w:jc w:val="both"/>
      </w:pPr>
      <w:r>
        <w:t>Plano Enterprise: contrato direto com a empresa, com SLA (garantias de disponibilidade) e suporte dedicado — é nessa modalidade que precisamos do Contrato Mestre (MSA) que o advogado vai redigir.</w:t>
      </w:r>
    </w:p>
    <w:p>
      <w:r>
        <w:rPr>
          <w:b/>
          <w:color w:val="1F3A5F"/>
          <w:sz w:val="28"/>
        </w:rPr>
        <w:t>7. Onde rodam os dados (relevante para LGPD)</w:t>
      </w:r>
    </w:p>
    <w:p>
      <w:pPr>
        <w:pStyle w:val="ListBullet"/>
        <w:jc w:val="both"/>
      </w:pPr>
      <w:r>
        <w:t>Servidores principais: Amazon Web Services, região São Paulo (Brasil).</w:t>
      </w:r>
    </w:p>
    <w:p>
      <w:pPr>
        <w:pStyle w:val="ListBullet"/>
        <w:jc w:val="both"/>
      </w:pPr>
      <w:r>
        <w:t>Funcionalidade de IA conversacional: Amazon Bedrock, região Norte da Virgínia (Estados Unidos) — esse é o ponto que exige cláusula de transferência internacional de dados no contrato.</w:t>
      </w:r>
    </w:p>
    <w:p>
      <w:pPr>
        <w:pStyle w:val="ListBullet"/>
        <w:jc w:val="both"/>
      </w:pPr>
      <w:r>
        <w:t>Pagamentos: Stripe (Irlanda e Estados Unidos).</w:t>
      </w:r>
    </w:p>
    <w:p>
      <w:pPr>
        <w:pStyle w:val="ListBullet"/>
        <w:jc w:val="both"/>
      </w:pPr>
      <w:r>
        <w:t>Código-fonte: GitHub (Estados Unidos).</w:t>
      </w:r>
    </w:p>
    <w:p>
      <w:r>
        <w:rPr>
          <w:b/>
          <w:color w:val="1F3A5F"/>
          <w:sz w:val="28"/>
        </w:rPr>
        <w:t>8. Que dados processamos</w:t>
      </w:r>
    </w:p>
    <w:p>
      <w:pPr>
        <w:pStyle w:val="ListBullet"/>
        <w:jc w:val="both"/>
      </w:pPr>
      <w:r>
        <w:t>Dados técnicos: coordenadas geográficas de torres e pontos de interesse, parâmetros de antenas (altura, potência, frequência), relevo do terreno.</w:t>
      </w:r>
    </w:p>
    <w:p>
      <w:pPr>
        <w:pStyle w:val="ListBullet"/>
        <w:jc w:val="both"/>
      </w:pPr>
      <w:r>
        <w:t>Dados pessoais: apenas nome e e-mail corporativo do usuário cliente, e dados de cobrança (via Stripe — não armazenamos número de cartão).</w:t>
      </w:r>
    </w:p>
    <w:p>
      <w:pPr>
        <w:pStyle w:val="ListBullet"/>
        <w:jc w:val="both"/>
      </w:pPr>
      <w:r>
        <w:t>Não processamos dados de usuários finais de telecom (assinantes do nosso cliente). Trabalhamos um nível acima: ajudamos o cliente a planejar a rede, não a operá-la.</w:t>
      </w:r>
    </w:p>
    <w:p>
      <w:r>
        <w:rPr>
          <w:b/>
          <w:color w:val="1F3A5F"/>
          <w:sz w:val="28"/>
        </w:rPr>
        <w:t>9. Riscos jurídicos já mapeados — pontos para opinião do advogado</w:t>
      </w:r>
    </w:p>
    <w:p>
      <w:pPr>
        <w:pStyle w:val="ListNumber"/>
        <w:jc w:val="both"/>
      </w:pPr>
      <w:r>
        <w:t>Modelo de IA treinado em base OpenCellID — essa base tem licença que exige "compartilhamento igual" (CC-BY-SA). Pode contaminar nosso modelo? Como blindamos?</w:t>
      </w:r>
    </w:p>
    <w:p>
      <w:pPr>
        <w:pStyle w:val="ListNumber"/>
        <w:jc w:val="both"/>
      </w:pPr>
      <w:r>
        <w:t>Bedrock nos Estados Unidos — precisamos de cláusula específica de transferência internacional no contrato com cliente?</w:t>
      </w:r>
    </w:p>
    <w:p>
      <w:pPr>
        <w:pStyle w:val="ListNumber"/>
        <w:jc w:val="both"/>
      </w:pPr>
      <w:r>
        <w:t>Limitação de responsabilidade — quanto podemos limitar legalmente quando o cliente é PJ pequena (microempresa)?</w:t>
      </w:r>
    </w:p>
    <w:p>
      <w:pPr>
        <w:pStyle w:val="ListNumber"/>
        <w:jc w:val="both"/>
      </w:pPr>
      <w:r>
        <w:t>Cláusula anti-engenharia-reversa — proibir o cliente de copiar nosso modelo é executável no Brasil?</w:t>
      </w:r>
    </w:p>
    <w:p>
      <w:pPr>
        <w:pStyle w:val="ListNumber"/>
        <w:jc w:val="both"/>
      </w:pPr>
      <w:r>
        <w:t>Marca "TELECOM TOWER POWER" — o nome é descritivo demais para registro no INPI? Devemos criar uma marca-fantasia paralela?</w:t>
      </w:r>
    </w:p>
    <w:p>
      <w:pPr>
        <w:pStyle w:val="ListNumber"/>
        <w:jc w:val="both"/>
      </w:pPr>
      <w:r>
        <w:t>Cessão automática PF para PJ — quando o CNPJ sair, todos os contratos já assinados com a pessoa física precisam migrar para a empresa sem reassinatura individual.</w:t>
      </w:r>
    </w:p>
    <w:p>
      <w:r>
        <w:rPr>
          <w:b/>
          <w:color w:val="1F3A5F"/>
          <w:sz w:val="28"/>
        </w:rPr>
        <w:t>10. Estágio do negócio (contexto)</w:t>
      </w:r>
    </w:p>
    <w:p>
      <w:pPr>
        <w:pStyle w:val="ListBullet"/>
        <w:jc w:val="both"/>
      </w:pPr>
      <w:r>
        <w:t>Produto em produção, funcionando, com infraestrutura completa de monitoramento e backup.</w:t>
      </w:r>
    </w:p>
    <w:p>
      <w:pPr>
        <w:pStyle w:val="ListBullet"/>
        <w:jc w:val="both"/>
      </w:pPr>
      <w:r>
        <w:t>Ainda sem clientes pagantes — fase pré-comercial. A revisão jurídica é prévia ao primeiro contrato, justamente para começar a vender com segurança.</w:t>
      </w:r>
    </w:p>
    <w:p>
      <w:pPr>
        <w:pStyle w:val="ListBullet"/>
        <w:jc w:val="both"/>
      </w:pPr>
      <w:r>
        <w:t>Operação atual: pessoa física. CNPJ sendo aberto pelo contador.</w:t>
      </w:r>
    </w:p>
    <w:p>
      <w:r>
        <w:rPr>
          <w:b/>
          <w:color w:val="1F3A5F"/>
          <w:sz w:val="28"/>
        </w:rPr>
        <w:t>Documentos do repositório a serem revisados</w:t>
      </w:r>
    </w:p>
    <w:p>
      <w:pPr>
        <w:spacing w:after="120"/>
        <w:jc w:val="both"/>
      </w:pPr>
      <w:r>
        <w:t>Já redigidos como minuta, precisam de validação jurídica:</w:t>
      </w:r>
    </w:p>
    <w:p>
      <w:pPr>
        <w:pStyle w:val="ListBullet"/>
        <w:jc w:val="both"/>
      </w:pPr>
      <w:r>
        <w:t>EULA.md — Termos de uso clickwrap (modalidade auto-serviço).</w:t>
      </w:r>
    </w:p>
    <w:p>
      <w:pPr>
        <w:pStyle w:val="ListBullet"/>
        <w:jc w:val="both"/>
      </w:pPr>
      <w:r>
        <w:t>DPA-LGPD.md — Acordo de tratamento de dados (LGPD).</w:t>
      </w:r>
    </w:p>
    <w:p>
      <w:pPr>
        <w:pStyle w:val="ListBullet"/>
        <w:jc w:val="both"/>
      </w:pPr>
      <w:r>
        <w:t>LICENSE.md — Licença do software.</w:t>
      </w:r>
    </w:p>
    <w:p>
      <w:pPr>
        <w:pStyle w:val="ListBullet"/>
        <w:jc w:val="both"/>
      </w:pPr>
      <w:r>
        <w:t>LICENSE-DATA.md — Licença dos dados e modelos de Inteligência Artificial.</w:t>
      </w:r>
    </w:p>
    <w:p>
      <w:pPr>
        <w:pStyle w:val="ListBullet"/>
        <w:jc w:val="both"/>
      </w:pPr>
      <w:r>
        <w:t>NOTICE — Créditos de bibliotecas de terceiros (caráter informativo).</w:t>
      </w:r>
    </w:p>
    <w:p/>
    <w:p>
      <w:pPr>
        <w:jc w:val="center"/>
      </w:pPr>
      <w:r>
        <w:rPr>
          <w:i/>
          <w:color w:val="888888"/>
          <w:sz w:val="18"/>
        </w:rPr>
        <w:t>Documento de uso interno — preparado para reunião de revisão jurídica.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