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Times New Roman" w:hAnsi="Times New Roman"/>
          <w:b/>
          <w:sz w:val="24"/>
        </w:rPr>
        <w:t>CAMPUSFIT: DESIGN AND IMPLEMENTATION OF A GAMIFIED, CHECKPOINT-BASED MOBILE FITNESS APPLICATION FOR UNIVERSITY STUDENTS</w:t>
      </w:r>
    </w:p>
    <w:p>
      <w:pPr>
        <w:spacing w:before="360" w:after="240"/>
        <w:jc w:val="center"/>
      </w:pPr>
      <w:r>
        <w:rPr>
          <w:rFonts w:ascii="Times New Roman" w:hAnsi="Times New Roman"/>
          <w:b/>
          <w:sz w:val="32"/>
        </w:rPr>
        <w:t>CHAPTER TWO: THEORY, BACKGROUND AND REVIEW</w:t>
      </w:r>
    </w:p>
    <w:p>
      <w:pPr>
        <w:pStyle w:val="Heading1"/>
      </w:pPr>
      <w:r>
        <w:t>CHAPTER TWO: THEORY, BACKGROUND AND REVIEW</w:t>
      </w:r>
    </w:p>
    <w:p>
      <w:pPr>
        <w:pStyle w:val="Heading2"/>
      </w:pPr>
      <w:r>
        <w:t>2.1 Introduction</w:t>
      </w:r>
    </w:p>
    <w:p>
      <w:r>
        <w:t>This chapter establishes the theoretical and empirical foundation for CampusFit. It moves from broad theories of motivation and behaviour change, through the specific literature on gamification and mobile health, to the enabling technologies of QR and NFC validation, and finally to a critical comparison of existing systems. The purpose is not to compile sources descriptively but to analyse them against one another, identify what they agree upon, where they conflict, and precisely which gap this research occupies.</w:t>
      </w:r>
    </w:p>
    <w:p>
      <w:r>
        <w:t>The chapter is organised in seven movements. Section 2.2 reviews the psychological theories that explain why game elements can influence physical activity at all. Section 2.3 examines what empirical research actually shows about gamification, including null and negative findings that a credible design must accommodate. Section 2.4 reviews mobile fitness applications and self-monitoring. Section 2.5 reviews location-based and campus-based activity systems. Section 2.6 reviews QR and NFC technologies as validation media. Section 2.7 examines leaderboards through the lens of social comparison. Section 2.8 reviews student wellness in higher education. Section 2.9 compares existing commercial and research systems, and Section 2.10 states the research gap and the resulting conceptual framework.</w:t>
      </w:r>
    </w:p>
    <w:p>
      <w:pPr>
        <w:pStyle w:val="Heading2"/>
      </w:pPr>
      <w:r>
        <w:t>2.2 Theoretical Foundations</w:t>
      </w:r>
    </w:p>
    <w:p>
      <w:pPr>
        <w:pStyle w:val="Heading3"/>
      </w:pPr>
      <w:r>
        <w:t>2.2.1 Self-Determination Theory</w:t>
      </w:r>
    </w:p>
    <w:p>
      <w:r>
        <w:t xml:space="preserve">Self-Determination Theory (SDT) is the most widely used motivational framework in gamification research (Ryan &amp; Deci, 2000). SDT distinguishes intrinsic motivation — doing an activity because it is inherently satisfying — from extrinsic motivation, which is driven by external outcomes such as rewards, grades, or social approval. Central to the theory is the claim that human functioning is optimised when three basic psychological needs are satisfied: </w:t>
      </w:r>
      <w:r>
        <w:rPr>
          <w:b/>
        </w:rPr>
        <w:t>autonomy</w:t>
      </w:r>
      <w:r>
        <w:t xml:space="preserve"> (the sense of acting by choice), </w:t>
      </w:r>
      <w:r>
        <w:rPr>
          <w:b/>
        </w:rPr>
        <w:t>competence</w:t>
      </w:r>
      <w:r>
        <w:t xml:space="preserve"> (the sense of being effective and progressing), and </w:t>
      </w:r>
      <w:r>
        <w:rPr>
          <w:b/>
        </w:rPr>
        <w:t>relatedness</w:t>
      </w:r>
      <w:r>
        <w:t xml:space="preserve"> (the sense of belonging to others).</w:t>
      </w:r>
    </w:p>
    <w:p>
      <w:r>
        <w:t>CampusFit maps directly onto these three needs. Autonomy is satisfied because students choose which checkpoints to visit, when to visit them, and whether to compete publicly or quietly track personal bests. Competence is satisfied by the difficulty-tiered points system, the level progression curve, and the badge ladder, all of which provide continuously attainable yet non-trivial targets. Relatedness is satisfied through clubs, crews, shared FitTrip routes, and leaderboards that place the individual inside a community of peers.</w:t>
      </w:r>
    </w:p>
    <w:p>
      <w:r>
        <w:t xml:space="preserve">A crucial caution from SDT is that poorly designed external rewards can </w:t>
      </w:r>
      <w:r>
        <w:rPr>
          <w:i/>
        </w:rPr>
        <w:t>undermine</w:t>
      </w:r>
      <w:r>
        <w:t xml:space="preserve"> intrinsic motivation — the classic over-justification effect (Deci et al., 1999). Decades of studies show that tangible, expected, contingent rewards tend to reduce interest in open-ended tasks. The practical implication for this research is that points must be framed as feedback on competence rather than as a payment for compliance. CampusFit therefore emphasises progress information (level bars, streak counters, "you are 60 points from Level 7") at least as heavily as the raw point total, and it never withholds access to core functionality based on score.</w:t>
      </w:r>
    </w:p>
    <w:p>
      <w:pPr>
        <w:pStyle w:val="Heading3"/>
      </w:pPr>
      <w:r>
        <w:t>2.2.2 Flow Theory and the Difficulty Calibration Problem</w:t>
      </w:r>
    </w:p>
    <w:p>
      <w:r>
        <w:t>Csikszentmihalyi's (1990) flow theory describes a state of deep absorption that arises when the challenge of a task is closely matched to the skill of the person performing it. Too little challenge produces boredom; too much produces anxiety. Flow has been repeatedly associated with sustained engagement in games and in exercise alike, and it provides the design rationale for CampusFit's four difficulty tiers (easy, medium, hard, epic) with multipliers of 1.0, 1.3, 1.8, and 2.5.</w:t>
      </w:r>
    </w:p>
    <w:p>
      <w:r>
        <w:t>A single flat point value for every checkpoint would produce a flow failure for all but the least active students: early on, everything feels rewarding, and later, everything feels trivial. By contrast, a tiered schedule lets a beginner accumulate wins at the library entrance while a trained runner is still motivated by the ridge trail. Section 4.5 formalises this as the dynamic points allocation algorithm required by specific objective five.</w:t>
      </w:r>
    </w:p>
    <w:p>
      <w:pPr>
        <w:pStyle w:val="Heading3"/>
      </w:pPr>
      <w:r>
        <w:t>2.2.3 Behaviour Change Frameworks</w:t>
      </w:r>
    </w:p>
    <w:p>
      <w:r>
        <w:t xml:space="preserve">Two complementary frameworks guide the intervention design. The </w:t>
      </w:r>
      <w:r>
        <w:rPr>
          <w:b/>
        </w:rPr>
        <w:t>transtheoretical model</w:t>
      </w:r>
      <w:r>
        <w:t xml:space="preserve"> (Prochaska &amp; DiClemente, 1983) holds that behaviour change proceeds through precontemplation, contemplation, preparation, action, and maintenance, and that interventions must match a person's stage. CampusFit implicitly stages its users: a new student in precontemplation is invited to make a single low-difficulty scan (preparation), while a student in action is served streak protection, weekly challenges, and competitive rankings (maintenance).</w:t>
      </w:r>
    </w:p>
    <w:p>
      <w:r>
        <w:t xml:space="preserve">The </w:t>
      </w:r>
      <w:r>
        <w:rPr>
          <w:b/>
        </w:rPr>
        <w:t>behaviour change wheel</w:t>
      </w:r>
      <w:r>
        <w:t xml:space="preserve"> (Michie et al., 2011) provides a more systematic vocabulary, mapping intervention functions onto behaviour-change techniques. Table 2.1 shows how the system's features correspond to techniques in the Michie taxonomy. This mapping is not decorative: it is used again in Chapter Five to interpret evaluation results, because it allows observed effects to be attributed to specific techniques rather than to "gamification" as an undifferentiated whole.</w:t>
      </w:r>
    </w:p>
    <w:p>
      <w:pPr>
        <w:pStyle w:val="Heading3"/>
      </w:pPr>
      <w:r>
        <w:t>2.2.4 Why Theory Must Constrain Points Systems</w:t>
      </w:r>
    </w:p>
    <w:p>
      <w:r>
        <w:t>The three theoretical lenses above jointly imply three design constraints that the implemented system honours. First, rewards must inform competence rather than replace autonomy (SDT). Second, challenge must escalate with ability (flow). Third, each game element must be traceable to a recognised behaviour-change technique, so that the evaluation can be evidence-based rather than aesthetic. Chapter Four shows how each constraint is realised in code.</w:t>
      </w:r>
    </w:p>
    <w:p>
      <w:pPr>
        <w:pStyle w:val="Heading3"/>
      </w:pPr>
      <w:r>
        <w:t>2.2.5 Habit Formation, Automaticity and Maintenance</w:t>
      </w:r>
    </w:p>
    <w:p>
      <w:r>
        <w:t xml:space="preserve">Motivation theories explain why a student begins; habit theory explains whether the behaviour survives the first month. Lally et al. (2010) observed a single new health behaviour in everyday life and measured the acquisition of automaticity — the transition from deliberate effort to default action — finding a median of approximately 66 days to plateau, but with an extremely wide individual range of roughly 18 to 254 days, and an asymptotic rather than linear shape: gains accumulate quickly and then flatten. Two design implications follow directly. First, a campus intervention must be planned for a horizon of months rather than days, which is one reason CampusFit is architected as an always-on service with an administration surface rather than as a campaign with an end date. Second, because individual acquisition rates differ so widely, a system that reports </w:t>
      </w:r>
      <w:r>
        <w:rPr>
          <w:i/>
        </w:rPr>
        <w:t>personal</w:t>
      </w:r>
      <w:r>
        <w:t xml:space="preserve"> progress against personal baselines is better aligned with the underlying psychology than one that measures every student against a fixed calendar promise.</w:t>
      </w:r>
    </w:p>
    <w:p>
      <w:r>
        <w:t>Wood and Neal (2007) supply the mechanism: habits form as repeatedly cued behaviour in a stable context, as an environmental stimulus comes to elicit the response automatically, and the behaviour then persists even when the original goal is forgotten, postponed, or replaced. The same model predicts disruption — when the context changes (a holiday, a timetable rewrite, a relocation) the habit lapses together with its cue. The architectural consequence for this research is that the cue should be the campus itself. CampusFit's checkpoints are fixed, named, physically signposted locations; walking past the Main Library is a standing prompt that fires without a notification, a server, or a battery-intensive beacon. The eight-hour per-checkpoint cooldown quietly enforces a cadence of several rewarded visits per day rather than a single burst, which is consistent with distributed repetition in one context rather than with an atypical saturation session.</w:t>
      </w:r>
    </w:p>
    <w:p>
      <w:r>
        <w:t>Stawarz et al. (2015) made the corresponding critique of mobile applications: self-tracking and calendar reminders transfer the entire burden of remembering to the user, whereas applications that genuinely support habit formation embed the cue inside the activity context and make the desired behaviour the path of least resistance. CampusFit's response is structural rather than nag-based — the sign on the wall is the prompt, the scan is the response, and the award is the immediate confirmation that closes the loop — and the interaction is deliberately short enough to be completed while walking. Habit theory also reframes the streak counter: it is not a decorative number but a visible proxy for the repetition count that habit research identifies as the driver of automaticity, and its loss rule (a missed day resets it, two scans on one day do not double it) mirrors the empirical finding that single omissions erode cue–response bonds unless they are promptly re-established.</w:t>
      </w:r>
    </w:p>
    <w:p>
      <w:r>
        <w:t>Taken together, SDT, flow, the behaviour-change frameworks, and habit theory yield four cumulative constraints: rewards must inform rather than substitute for autonomy; challenge must track ability; every mechanic must map to a recognised technique; and the system must sustain a stable cue over a maintenance horizon of months. These constraints are the acceptance criteria against which the design in Chapter Four is argued and the evaluation in Chapter Five is organised.</w:t>
      </w:r>
    </w:p>
    <w:p>
      <w:pPr>
        <w:pStyle w:val="Heading2"/>
      </w:pPr>
      <w:r>
        <w:t>2.3 Gamification: Definitions, Mechanics and Evidence</w:t>
      </w:r>
    </w:p>
    <w:p>
      <w:pPr>
        <w:pStyle w:val="Heading3"/>
      </w:pPr>
      <w:r>
        <w:t>2.3.1 Defining Gamification</w:t>
      </w:r>
    </w:p>
    <w:p>
      <w:r>
        <w:t>Deterding et al. (2011) offered the now-standard definition: gamification is the use of design elements characteristic of games in non-game contexts. The definition matters because it distinguishes gamification (design features) from games (complete artefacts with rules, goals, and feedback loops) and from "gamefulness" (the experiential outcome). CampusFit is gamified rather than a game: its purpose remains fitness, and the game elements are scaffolding, not the product.</w:t>
      </w:r>
    </w:p>
    <w:p>
      <w:r>
        <w:t>The most common mechanics — points, badges, and leaderboards (PBL) — dominate both industry and research, and they are also the three mechanics critiqued most sharply. KOI (knobs, points, badges) designs are often implemented as superficial layers on unengaging tasks, producing short-lived novelty effects (Hamari et al., 2014).</w:t>
      </w:r>
    </w:p>
    <w:p>
      <w:pPr>
        <w:pStyle w:val="Heading3"/>
      </w:pPr>
      <w:r>
        <w:t>2.3.2 What the Evidence Actually Shows</w:t>
      </w:r>
    </w:p>
    <w:p>
      <w:r>
        <w:t>The most frequently cited empirical synthesis remains Hamari et al. (2014), who reviewed 24 studies and found that gamification produced positive effects in the majority of cases, while noting substantial heterogeneity in context, population, and methodological quality. Since then, the evidence base has grown considerably and has become more careful.</w:t>
      </w:r>
    </w:p>
    <w:p>
      <w:r>
        <w:t>Mazeas et al. (2022) conducted a systematic review and meta-analysis focused specifically on physical activity and concluded that while gamified interventions generally increase activity, effect sizes vary widely and depend heavily on the mechanics chosen and the population studied. Alzghoul et al. (2024) similarly reported that points combined with leaderboards were associated with significant increases in physical activity, whereas points alone were weaker. Nishi et al. (2024), in a meta-analysis of randomised trials published in eClinicalMedicine, found that gamified app interventions increased steps per day relative to non-gamified comparators. Wang et al. (2025) confirmed moderate-to-vigorous physical activity gains in younger populations with effects that were partly sustained over time.</w:t>
      </w:r>
    </w:p>
    <w:p>
      <w:r>
        <w:t xml:space="preserve">The convergence of these reviews supports a nuanced position: gamification works, but not uniformly, and its effectiveness is a property of the </w:t>
      </w:r>
      <w:r>
        <w:rPr>
          <w:i/>
        </w:rPr>
        <w:t>combination</w:t>
      </w:r>
      <w:r>
        <w:t xml:space="preserve"> of mechanics rather than of any single element. Three implications follow for this research. First, CampusFit deliberately combines all three PBL mechanics rather than relying on points alone. Second, it treats the leaderboard as one motivational channel among several, with a personal-progress path that remains rewarding for students who do not wish to compete publicly. Third, it builds evaluation instrumentation from the outset so that the relative contribution of each mechanic can be discussed in Chapter Five rather than assumed.</w:t>
      </w:r>
    </w:p>
    <w:p>
      <w:pPr>
        <w:pStyle w:val="Heading3"/>
      </w:pPr>
      <w:r>
        <w:t>2.3.3 The Risks and Dark Sides of Gamification</w:t>
      </w:r>
    </w:p>
    <w:p>
      <w:r>
        <w:t>A critical review must engage with negative findings. Hamari et al. (2014) documented cases where leaderboards demotivated low-ranking users, and Sailer and Homner (2020), in their meta-analysis of gamification in learning, reported that cognitive and motivational outcomes diverged considerably across designs. Social-comparison-dependent mechanics can produce discouragement, cheating, or disengagement when the top of the ranking is perceived as unreachable (Mekler et al., 2017). Competition can also crowd out prosocial motives in group settings.</w:t>
      </w:r>
    </w:p>
    <w:p>
      <w:r>
        <w:t>These risks translate into concrete design decisions in CampusFit: the leaderboard shows a bounded window around the current user rather than an intimidating full list by default; rank is recomputed weekly so that entry into the table is always achievable; and the badge system provides a non-competitive achievement track with identical prestige cues. Section 2.7 returns to this point through social comparison theory.</w:t>
      </w:r>
    </w:p>
    <w:p>
      <w:pPr>
        <w:pStyle w:val="Heading3"/>
      </w:pPr>
      <w:r>
        <w:t>2.3.4 Mapping Mechanics to Behaviour-Change Techniques</w:t>
      </w:r>
    </w:p>
    <w:p>
      <w:r>
        <w:t>Table 2.1 summarises the mapping used throughout this thesis. The right-hand column uses the vocabulary of the behaviour change wheel (Michie et al., 2011) and the 93-technique taxonomy that operationalised it (Michie et al., 2013), so that each design element can be named as a technique rather than as a preference.</w:t>
      </w:r>
    </w:p>
    <w:p>
      <w:r>
        <w:t>Table 2.1</w:t>
      </w:r>
    </w:p>
    <w:p>
      <w:r>
        <w:rPr>
          <w:i/>
        </w:rPr>
        <w:t>Mapping of game mechanics to behaviour-change techniques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after="40"/>
              <w:jc w:val="left"/>
            </w:pPr>
            <w:r/>
            <w:r>
              <w:rPr>
                <w:rFonts w:ascii="Times New Roman" w:hAnsi="Times New Roman"/>
                <w:b/>
                <w:sz w:val="21"/>
              </w:rPr>
              <w:t>Points and levels</w:t>
            </w:r>
          </w:p>
        </w:tc>
        <w:tc>
          <w:tcPr>
            <w:tcW w:type="dxa" w:w="3120"/>
          </w:tcPr>
          <w:p>
            <w:pPr>
              <w:spacing w:line="276" w:lineRule="auto" w:after="40"/>
              <w:jc w:val="left"/>
            </w:pPr>
            <w:r/>
            <w:r>
              <w:rPr>
                <w:rFonts w:ascii="Times New Roman" w:hAnsi="Times New Roman"/>
                <w:b/>
                <w:sz w:val="21"/>
              </w:rPr>
              <w:t>Feedback and monitoring; contingent reward</w:t>
            </w:r>
          </w:p>
        </w:tc>
        <w:tc>
          <w:tcPr>
            <w:tcW w:type="dxa" w:w="3120"/>
          </w:tcPr>
          <w:p>
            <w:pPr>
              <w:spacing w:line="276" w:lineRule="auto" w:after="40"/>
              <w:jc w:val="left"/>
            </w:pPr>
            <w:r/>
            <w:r>
              <w:rPr>
                <w:rFonts w:ascii="Times New Roman" w:hAnsi="Times New Roman"/>
                <w:b/>
                <w:sz w:val="21"/>
              </w:rPr>
              <w:t>Difficulty-tiered awards, level bar, progress text</w:t>
            </w:r>
          </w:p>
        </w:tc>
      </w:tr>
      <w:tr>
        <w:tc>
          <w:tcPr>
            <w:tcW w:type="dxa" w:w="3120"/>
          </w:tcPr>
          <w:p>
            <w:pPr>
              <w:spacing w:line="276" w:lineRule="auto" w:after="40"/>
              <w:jc w:val="left"/>
            </w:pPr>
            <w:r/>
            <w:r>
              <w:rPr>
                <w:rFonts w:ascii="Times New Roman" w:hAnsi="Times New Roman"/>
                <w:sz w:val="21"/>
              </w:rPr>
              <w:t>Badges</w:t>
            </w:r>
          </w:p>
        </w:tc>
        <w:tc>
          <w:tcPr>
            <w:tcW w:type="dxa" w:w="3120"/>
          </w:tcPr>
          <w:p>
            <w:pPr>
              <w:spacing w:line="276" w:lineRule="auto" w:after="40"/>
              <w:jc w:val="left"/>
            </w:pPr>
            <w:r/>
            <w:r>
              <w:rPr>
                <w:rFonts w:ascii="Times New Roman" w:hAnsi="Times New Roman"/>
                <w:sz w:val="21"/>
              </w:rPr>
              <w:t>Social reward; demonstrative signage of achievement</w:t>
            </w:r>
          </w:p>
        </w:tc>
        <w:tc>
          <w:tcPr>
            <w:tcW w:type="dxa" w:w="3120"/>
          </w:tcPr>
          <w:p>
            <w:pPr>
              <w:spacing w:line="276" w:lineRule="auto" w:after="40"/>
              <w:jc w:val="left"/>
            </w:pPr>
            <w:r/>
            <w:r>
              <w:rPr>
                <w:rFonts w:ascii="Times New Roman" w:hAnsi="Times New Roman"/>
                <w:sz w:val="21"/>
              </w:rPr>
              <w:t>Four-tier shelf evaluated server-side after each scan</w:t>
            </w:r>
          </w:p>
        </w:tc>
      </w:tr>
      <w:tr>
        <w:tc>
          <w:tcPr>
            <w:tcW w:type="dxa" w:w="3120"/>
          </w:tcPr>
          <w:p>
            <w:pPr>
              <w:spacing w:line="276" w:lineRule="auto" w:after="40"/>
              <w:jc w:val="left"/>
            </w:pPr>
            <w:r/>
            <w:r>
              <w:rPr>
                <w:rFonts w:ascii="Times New Roman" w:hAnsi="Times New Roman"/>
                <w:sz w:val="21"/>
              </w:rPr>
              <w:t>Leaderboards</w:t>
            </w:r>
          </w:p>
        </w:tc>
        <w:tc>
          <w:tcPr>
            <w:tcW w:type="dxa" w:w="3120"/>
          </w:tcPr>
          <w:p>
            <w:pPr>
              <w:spacing w:line="276" w:lineRule="auto" w:after="40"/>
              <w:jc w:val="left"/>
            </w:pPr>
            <w:r/>
            <w:r>
              <w:rPr>
                <w:rFonts w:ascii="Times New Roman" w:hAnsi="Times New Roman"/>
                <w:sz w:val="21"/>
              </w:rPr>
              <w:t>Social comparison; competition</w:t>
            </w:r>
          </w:p>
        </w:tc>
        <w:tc>
          <w:tcPr>
            <w:tcW w:type="dxa" w:w="3120"/>
          </w:tcPr>
          <w:p>
            <w:pPr>
              <w:spacing w:line="276" w:lineRule="auto" w:after="40"/>
              <w:jc w:val="left"/>
            </w:pPr>
            <w:r/>
            <w:r>
              <w:rPr>
                <w:rFonts w:ascii="Times New Roman" w:hAnsi="Times New Roman"/>
                <w:sz w:val="21"/>
              </w:rPr>
              <w:t>Bounded weekly window computed by a database view</w:t>
            </w:r>
          </w:p>
        </w:tc>
      </w:tr>
      <w:tr>
        <w:tc>
          <w:tcPr>
            <w:tcW w:type="dxa" w:w="3120"/>
          </w:tcPr>
          <w:p>
            <w:pPr>
              <w:spacing w:line="276" w:lineRule="auto" w:after="40"/>
              <w:jc w:val="left"/>
            </w:pPr>
            <w:r/>
            <w:r>
              <w:rPr>
                <w:rFonts w:ascii="Times New Roman" w:hAnsi="Times New Roman"/>
                <w:sz w:val="21"/>
              </w:rPr>
              <w:t>Streaks</w:t>
            </w:r>
          </w:p>
        </w:tc>
        <w:tc>
          <w:tcPr>
            <w:tcW w:type="dxa" w:w="3120"/>
          </w:tcPr>
          <w:p>
            <w:pPr>
              <w:spacing w:line="276" w:lineRule="auto" w:after="40"/>
              <w:jc w:val="left"/>
            </w:pPr>
            <w:r/>
            <w:r>
              <w:rPr>
                <w:rFonts w:ascii="Times New Roman" w:hAnsi="Times New Roman"/>
                <w:sz w:val="21"/>
              </w:rPr>
              <w:t>Habit formation; commitment device</w:t>
            </w:r>
          </w:p>
        </w:tc>
        <w:tc>
          <w:tcPr>
            <w:tcW w:type="dxa" w:w="3120"/>
          </w:tcPr>
          <w:p>
            <w:pPr>
              <w:spacing w:line="276" w:lineRule="auto" w:after="40"/>
              <w:jc w:val="left"/>
            </w:pPr>
            <w:r/>
            <w:r>
              <w:rPr>
                <w:rFonts w:ascii="Times New Roman" w:hAnsi="Times New Roman"/>
                <w:sz w:val="21"/>
              </w:rPr>
              <w:t>Consecutive-day counter with same-day collapse rule</w:t>
            </w:r>
          </w:p>
        </w:tc>
      </w:tr>
      <w:tr>
        <w:tc>
          <w:tcPr>
            <w:tcW w:type="dxa" w:w="3120"/>
          </w:tcPr>
          <w:p>
            <w:pPr>
              <w:spacing w:line="276" w:lineRule="auto" w:after="40"/>
              <w:jc w:val="left"/>
            </w:pPr>
            <w:r/>
            <w:r>
              <w:rPr>
                <w:rFonts w:ascii="Times New Roman" w:hAnsi="Times New Roman"/>
                <w:sz w:val="21"/>
              </w:rPr>
              <w:t>Checkpoints</w:t>
            </w:r>
          </w:p>
        </w:tc>
        <w:tc>
          <w:tcPr>
            <w:tcW w:type="dxa" w:w="3120"/>
          </w:tcPr>
          <w:p>
            <w:pPr>
              <w:spacing w:line="276" w:lineRule="auto" w:after="40"/>
              <w:jc w:val="left"/>
            </w:pPr>
            <w:r/>
            <w:r>
              <w:rPr>
                <w:rFonts w:ascii="Times New Roman" w:hAnsi="Times New Roman"/>
                <w:sz w:val="21"/>
              </w:rPr>
              <w:t>Action planning; restructuring the physical environment</w:t>
            </w:r>
          </w:p>
        </w:tc>
        <w:tc>
          <w:tcPr>
            <w:tcW w:type="dxa" w:w="3120"/>
          </w:tcPr>
          <w:p>
            <w:pPr>
              <w:spacing w:line="276" w:lineRule="auto" w:after="40"/>
              <w:jc w:val="left"/>
            </w:pPr>
            <w:r/>
            <w:r>
              <w:rPr>
                <w:rFonts w:ascii="Times New Roman" w:hAnsi="Times New Roman"/>
                <w:sz w:val="21"/>
              </w:rPr>
              <w:t>Fixed, signposted locations students already visit</w:t>
            </w:r>
          </w:p>
        </w:tc>
      </w:tr>
      <w:tr>
        <w:tc>
          <w:tcPr>
            <w:tcW w:type="dxa" w:w="3120"/>
          </w:tcPr>
          <w:p>
            <w:pPr>
              <w:spacing w:line="276" w:lineRule="auto" w:after="40"/>
              <w:jc w:val="left"/>
            </w:pPr>
            <w:r/>
            <w:r>
              <w:rPr>
                <w:rFonts w:ascii="Times New Roman" w:hAnsi="Times New Roman"/>
                <w:sz w:val="21"/>
              </w:rPr>
              <w:t>Clubs and crews</w:t>
            </w:r>
          </w:p>
        </w:tc>
        <w:tc>
          <w:tcPr>
            <w:tcW w:type="dxa" w:w="3120"/>
          </w:tcPr>
          <w:p>
            <w:pPr>
              <w:spacing w:line="276" w:lineRule="auto" w:after="40"/>
              <w:jc w:val="left"/>
            </w:pPr>
            <w:r/>
            <w:r>
              <w:rPr>
                <w:rFonts w:ascii="Times New Roman" w:hAnsi="Times New Roman"/>
                <w:sz w:val="21"/>
              </w:rPr>
              <w:t>Social support; identity building</w:t>
            </w:r>
          </w:p>
        </w:tc>
        <w:tc>
          <w:tcPr>
            <w:tcW w:type="dxa" w:w="3120"/>
          </w:tcPr>
          <w:p>
            <w:pPr>
              <w:spacing w:line="276" w:lineRule="auto" w:after="40"/>
              <w:jc w:val="left"/>
            </w:pPr>
            <w:r/>
            <w:r>
              <w:rPr>
                <w:rFonts w:ascii="Times New Roman" w:hAnsi="Times New Roman"/>
                <w:sz w:val="21"/>
              </w:rPr>
              <w:t>Membership, shared totals, cooperative challenges</w:t>
            </w:r>
          </w:p>
        </w:tc>
      </w:tr>
    </w:tbl>
    <w:p/>
    <w:p>
      <w:r>
        <w:t>Because every mechanic is anchored to a technique, Chapter Five can evaluate not merely whether students enjoyed the application, but which techniques plausibly produced the observed behaviour. The mapping also disciplines scope: a mechanic that could not be anchored to a technique — for example an avatar shop, or a monetised reward wheel — was considered and rejected as decoration without a behaviour-change rationale.</w:t>
      </w:r>
    </w:p>
    <w:p>
      <w:pPr>
        <w:pStyle w:val="Heading3"/>
      </w:pPr>
      <w:r>
        <w:t>2.3.5 Motivational Affordances: What Each Mechanic Actually Does</w:t>
      </w:r>
    </w:p>
    <w:p>
      <w:r>
        <w:t xml:space="preserve">The mapping above says what a mechanic is </w:t>
      </w:r>
      <w:r>
        <w:rPr>
          <w:i/>
        </w:rPr>
        <w:t>for</w:t>
      </w:r>
      <w:r>
        <w:t>; the experimental literature says how it works. Sailer et al. (2017) decomposed gamification into its constituent affordances and manipulated points, badges, and leaderboards independently, finding that they act through different psychological routes: informational elements (feedback on progress, recognition of achievement) primarily satisfy the need for competence, while controlling elements (obligation, public ranking pressure) can be experienced as pressure, and the motivational outcome depends on which route dominates. The practical reading for this research is that the same leaderboard can be experienced as information by one student and as judgement by another, and that the informational framing of points — what they tell the user about progress — is the part that should be amplified.</w:t>
      </w:r>
    </w:p>
    <w:p>
      <w:r>
        <w:t xml:space="preserve">Mekler et al. (2017) reinforce the decomposition from the opposite direction: when individual mechanics are attached to an otherwise identical activity, motivational and performance outcomes diverge, which is evidence that gamification is not a single dose with a single effect size. This is why the review in Section 2.3.2 found the </w:t>
      </w:r>
      <w:r>
        <w:rPr>
          <w:i/>
        </w:rPr>
        <w:t>combination</w:t>
      </w:r>
      <w:r>
        <w:t xml:space="preserve"> of mechanics to be the effective unit, and why CampusFit ships the full interlocking set — points, badges, leaderboard, streaks — rather than a counter. It also justifies the informational styling of every award surface in the product: each scan result names the checkpoint, the difficulty tier, the points awarded, and the resulting distance to the next level, so the reward reads as competence feedback first and as payment second.</w:t>
      </w:r>
    </w:p>
    <w:p>
      <w:pPr>
        <w:pStyle w:val="Heading3"/>
      </w:pPr>
      <w:r>
        <w:t>2.3.6 Heterogeneity of Response and Its Design Consequences</w:t>
      </w:r>
    </w:p>
    <w:p>
      <w:r>
        <w:t>If mechanics act through separable psychological routes, then students will not respond identically, and the empirical record confirms this. Hamari et al. (2014) concluded that effects depend heavily on the context in which gamification is implemented and on the users who encounter it; Sailer and Homner (2020) found that cognitive and motivational outcomes diverge across designs even within the same domain; and the physical-activity meta-analyses report wide confidence intervals rather than a uniform effect (Mazeas et al., 2022; Nishi et al., 2024). A design that offers only competitive ranking therefore serves its top-ranked users well while actively disengaging its bottom-ranked users — precisely the asymmetry documented in Section 2.7.</w:t>
      </w:r>
    </w:p>
    <w:p>
      <w:r>
        <w:t xml:space="preserve">Four design consequences were adopted in response, each traceable to the evidence above. </w:t>
      </w:r>
      <w:r>
        <w:rPr>
          <w:b/>
        </w:rPr>
        <w:t>Dual paths.</w:t>
      </w:r>
      <w:r>
        <w:t xml:space="preserve"> Every competitive surface (leaderboard) has a non-competitive twin of equal visual weight (personal progress, streaks, badge shelf), so a student who dislikes ranking is not locked out of the reward system. </w:t>
      </w:r>
      <w:r>
        <w:rPr>
          <w:b/>
        </w:rPr>
        <w:t>Bounded comparison.</w:t>
      </w:r>
      <w:r>
        <w:t xml:space="preserve"> The leaderboard shows a window around the requesting student rather than a full table, keeping comparison within the attainable range where upward comparison motivates rather than discourages (Wood, 1989). </w:t>
      </w:r>
      <w:r>
        <w:rPr>
          <w:b/>
        </w:rPr>
        <w:t>Cooperation.</w:t>
      </w:r>
      <w:r>
        <w:t xml:space="preserve"> Club totals allow contribution to a shared goal, converting social comparison into social support. </w:t>
      </w:r>
      <w:r>
        <w:rPr>
          <w:b/>
        </w:rPr>
        <w:t>No functional gating.</w:t>
      </w:r>
      <w:r>
        <w:t xml:space="preserve"> Score never unlocks or withholds product functionality, which keeps the reward informational and protects the autonomy constraint from Section 2.2.1.</w:t>
      </w:r>
    </w:p>
    <w:p>
      <w:r>
        <w:t>These are not aesthetic preferences; they are hypotheses about differential response, and Chapter Five evaluates them as design claims — the heuristic inspection checks that the non-competitive path is genuinely present, and the planned pilot measures whether both paths are used.</w:t>
      </w:r>
    </w:p>
    <w:p>
      <w:pPr>
        <w:pStyle w:val="Heading3"/>
      </w:pPr>
      <w:r>
        <w:t>2.3.7 From Engagement to Behaviour: What Counts as Evidence of Effect</w:t>
      </w:r>
    </w:p>
    <w:p>
      <w:r>
        <w:t>A final methodological point closes the gamification review, because the literature uses the word "effect" for at least three different things, and the difference determines what a study may legitimately claim.</w:t>
      </w:r>
    </w:p>
    <w:p>
      <w:r>
        <w:rPr>
          <w:b/>
        </w:rPr>
        <w:t>Engagement effects</w:t>
      </w:r>
      <w:r>
        <w:t xml:space="preserve"> concern interaction with the system itself: sessions, scans, badges earned, time on the leaderboard. These are observable directly in the application's own data and are the easiest to measure — they are also the most vulnerable to novelty, since almost any new mechanism raises engagement briefly (Section 2.5.2). </w:t>
      </w:r>
      <w:r>
        <w:rPr>
          <w:b/>
        </w:rPr>
        <w:t>Behavioural effects</w:t>
      </w:r>
      <w:r>
        <w:t xml:space="preserve"> concern physical activity outside the application: steps taken, minutes accumulated, distance covered. They are harder to measure honestly, because the cheapest instrument (self-report) is also the one most exposed to recall and social-desirability bias, while the more credible instruments (device-measured activity) require either sensors the system deliberately does not collect (Section 2.9.1) or a study design that supplies them. </w:t>
      </w:r>
      <w:r>
        <w:rPr>
          <w:b/>
        </w:rPr>
        <w:t>Health and academic effects</w:t>
      </w:r>
      <w:r>
        <w:t xml:space="preserve"> — mood, fitness, grades — sit furthest from the intervention and are mediated by everything in between; the review evidence for them is correlational for the most part (Biddle &amp; Asare, 2011), so an intervention study that claims them without a control group overreaches.</w:t>
      </w:r>
    </w:p>
    <w:p>
      <w:r>
        <w:t xml:space="preserve">This taxonomy sets the evidential policy of the present study. The thesis claims </w:t>
      </w:r>
      <w:r>
        <w:rPr>
          <w:b/>
        </w:rPr>
        <w:t>engagement-mechanism effects</w:t>
      </w:r>
      <w:r>
        <w:t xml:space="preserve"> in full — the reward loop functions, is auditable, and behaves as designed under simulation — because those are measured against the running system. It claims </w:t>
      </w:r>
      <w:r>
        <w:rPr>
          <w:b/>
        </w:rPr>
        <w:t>behavioural effects</w:t>
      </w:r>
      <w:r>
        <w:t xml:space="preserve"> only as a design intent supported by the literature (Mazeas et al., 2022; Nishi et al., 2024), not as a result, because no activity data were collected under study conditions. And it explicitly declines to claim health or academic effects. The same discipline applies in reverse: the pilot instrument in Section 5.8 is designed so that its self-reported activity items are reported as self-reported, and the ledger-derived engagement items are reported as telemetry, without merging the two into a single headline number. Distinguishing what was measured from what was hoped is the difference between an evaluation and an advertisement, and it is the standard Chapter Five is written to.</w:t>
      </w:r>
    </w:p>
    <w:p>
      <w:pPr>
        <w:pStyle w:val="Heading2"/>
      </w:pPr>
      <w:r>
        <w:t>2.4 Mobile Fitness Applications and Self-Monitoring</w:t>
      </w:r>
    </w:p>
    <w:p>
      <w:r>
        <w:t>Self-monitoring is one of the oldest and most robust behaviour-change techniques, and the smartphone has democratised it. Commercial applications such as step counters, running logs, and workout planners rely on continuous recording, immediate feedback, and goal setting. Reviews of mobile health interventions consistently identify self-monitoring combined with feedback as among the most effective feature clusters (Patterson et al., 2021).</w:t>
      </w:r>
    </w:p>
    <w:p>
      <w:r>
        <w:t>Yet the literature also identifies a well-known attrition problem: engagement with fitness applications typically decays sharply after the first weeks (Stawarz et al., 2015). Applications that depend on user-initiated logging suffer from friction; applications that log passively suffer from invisibility, because users do not feel ownership of automatically captured data. CampusFit addresses the first problem by making the core action — scanning a checkpoint — take under three seconds, and the second by attaching meaning to each scan: a named place, a difficulty, a route, and a visible contribution to a club total.</w:t>
      </w:r>
    </w:p>
    <w:p>
      <w:r>
        <w:t>The genericity of existing applications is a recurrent critique. McCallum et al. (2018) observed that evaluations of commercial physical activity applications rarely capture long-term engagement, and that such applications are seldom tailored to the physical and social structures of the environments in which their users actually live. For students, that environment is the campus: a bounded, familiar, walkable space with named landmarks, fixed timetables, and a natural social cohort. Chapter Four shows how the system models that environment explicitly through the checkpoints, fittrips, and clubs tables rather than treating location as a map pin.</w:t>
      </w:r>
    </w:p>
    <w:p>
      <w:pPr>
        <w:pStyle w:val="Heading3"/>
      </w:pPr>
      <w:r>
        <w:t>2.4.1 Attrition and Adherence in Digital Behaviour-Change Interventions</w:t>
      </w:r>
    </w:p>
    <w:p>
      <w:r>
        <w:t>The attrition problem deserves its own treatment because it is the failure mode most likely to silently invalidate an otherwise correct system. Linardon and Fuller-Tyszkiewicz (2020) meta-analysed attrition and adherence across smartphone-delivered interventions and found that drop-out is the norm rather than the exception, that it concentrates in the earliest sessions, and that adherence is itself a strong predictor of whether the intervention produces its intended outcome. In other words, engagement is not a vanity metric sitting on top of an intervention — it is a precondition for the intervention to work at all. McCallum et al. (2018) reach a compatible conclusion from the activity-tracking side: short evaluation windows systematically overstate the value of applications whose engagement decays.</w:t>
      </w:r>
    </w:p>
    <w:p>
      <w:r>
        <w:t>Three mechanisms are usually proposed for early attrition: friction in the core action, absence of an immediately legible payoff, and loss of the novelty that produced initial installation. CampusFit responds to each in the interface rather than in messaging. Friction is bounded by design — the core action is a single scan that completes in under three seconds, and the application shell is served from cache so that cold-start latency does not become a tax on the habit. The payoff is immediate and legible: the scan result renders the award, the new total, and the distance to the next level in one frame, with no intermediate screen. Novelty decay is addressed organisationally rather than behaviourally: checkpoints, weekly challenges, and club totals are data administered through the dashboard, so the content supply can be refreshed without a release, which is the only durable answer the novelty literature offers (Althoff et al., 2016; Li et al., 2021).</w:t>
      </w:r>
    </w:p>
    <w:p>
      <w:pPr>
        <w:pStyle w:val="Heading3"/>
      </w:pPr>
      <w:r>
        <w:t>2.4.2 Self-Monitoring, Feedback and Goal Setting as Techniques</w:t>
      </w:r>
    </w:p>
    <w:p>
      <w:r>
        <w:t>Self-monitoring, feedback on behaviour, and goal setting are among the most consistently applied techniques in the behaviour-change literature, and they are explicitly enumerated in the taxonomy referenced in Section 2.3.4 (Michie et al., 2011; Michie et al., 2013). Reviews of mobile interventions repeatedly find that self-monitoring combined with feedback is the strongest feature cluster, while monitoring alone — recording without a return signal — contributes much less (Patterson et al., 2021).</w:t>
      </w:r>
    </w:p>
    <w:p>
      <w:r>
        <w:t xml:space="preserve">CampusFit implements the cluster as a closed loop with three stations. </w:t>
      </w:r>
      <w:r>
        <w:rPr>
          <w:b/>
        </w:rPr>
        <w:t>Monitoring</w:t>
      </w:r>
      <w:r>
        <w:t xml:space="preserve"> happens through the activity statistics surface (steps, active minutes, distance over time) and, implicitly, through every scan, which is an unambiguous record of a completed visit. </w:t>
      </w:r>
      <w:r>
        <w:rPr>
          <w:b/>
        </w:rPr>
        <w:t>Feedback</w:t>
      </w:r>
      <w:r>
        <w:t xml:space="preserve"> is delivered at three timescales: immediately (the award frame after a scan), daily (the streak counter), and cumulatively (the dashboard progress ring, level bar, and distance-to-next-level text). </w:t>
      </w:r>
      <w:r>
        <w:rPr>
          <w:b/>
        </w:rPr>
        <w:t>Goal setting</w:t>
      </w:r>
      <w:r>
        <w:t xml:space="preserve"> appears as weekly club challenges and the level ladder itself, whose thresholds — 100 points to level two, 8,100 to level ten — are published rather than hidden, giving students a concrete target they can plan around.</w:t>
      </w:r>
    </w:p>
    <w:p>
      <w:r>
        <w:t xml:space="preserve">The loop is deliberately closed without manual logging. Applications that require the user to remember to record an activity fail at the monitoring station exactly where habit formation requires reliability (Stawarz et al., 2015), and the friction literature in Section 2.4 predicts that this failure concentrates in the first weeks. Because the checkpoint scan </w:t>
      </w:r>
      <w:r>
        <w:rPr>
          <w:i/>
        </w:rPr>
        <w:t>is</w:t>
      </w:r>
      <w:r>
        <w:t xml:space="preserve"> the monitoring act, and it occurs while the student is already moving through the place being monitored, the technique is embedded in the behaviour rather than layered on top of it.</w:t>
      </w:r>
    </w:p>
    <w:p>
      <w:pPr>
        <w:pStyle w:val="Heading2"/>
      </w:pPr>
      <w:r>
        <w:t>2.5 Location-Based and Campus-Based Activity Systems</w:t>
      </w:r>
    </w:p>
    <w:p>
      <w:r>
        <w:t>The idea that a game can convert geography into a progress medium has been validated at massive scale. Althoff et al. (2016) analysed location-based game data and estimated that Pokémon Go added roughly 144 billion steps to United States physical activity in a short window, with the largest relative gains among groups with the lowest baseline activity. Li et al. (2021), reviewing the same literature, concluded that playing the game was associated with reduced sedentary behaviour and increased walking duration, distance, and daily steps, while also noting that effects tended to attenuate once the novelty faded.</w:t>
      </w:r>
    </w:p>
    <w:p>
      <w:r>
        <w:t>Two lessons are decisive for this research. First, location-based mechanics can reach precisely the population that static fitness applications miss, because walking to a place is intrinsically legible as an accomplishment. Second, novelty decay is real; sustained engagement requires a content treadmill — new checkpoints, rotating challenges, and social obligations — rather than a one-time attraction. CampusFit's admin dashboard exists partly to supply that treadmill: administrators can create and retire checkpoints and challenges without redeploying the application.</w:t>
      </w:r>
    </w:p>
    <w:p>
      <w:r>
        <w:t>Educational institutions have long used scavenger hunts for orientation and engagement, and QR-based hunts have become a standard practice in higher education. However, the reviewed literature on campus scavenger hunts is dominated by descriptive practice reports rather than instrumented evaluations (for example, orientation activities in student-success journals). This is itself a gap: there are few examples of a campus checkpoint system that is instrumented for research from day one, with an auditable points ledger and server-side validation. CampusFit is positioned precisely there.</w:t>
      </w:r>
    </w:p>
    <w:p>
      <w:pPr>
        <w:pStyle w:val="Heading3"/>
      </w:pPr>
      <w:r>
        <w:t>2.5.1 Persuasive Technology and the Behaviour Model</w:t>
      </w:r>
    </w:p>
    <w:p>
      <w:r>
        <w:t xml:space="preserve">The design of a system whose purpose is to change behaviour is the subject matter of persuasive technology, and its most influential compact model is Fogg's (2009) behaviour model, in which a target behaviour occurs at the moment when </w:t>
      </w:r>
      <w:r>
        <w:rPr>
          <w:b/>
        </w:rPr>
        <w:t>motivation</w:t>
      </w:r>
      <w:r>
        <w:t xml:space="preserve">, </w:t>
      </w:r>
      <w:r>
        <w:rPr>
          <w:b/>
        </w:rPr>
        <w:t>ability</w:t>
      </w:r>
      <w:r>
        <w:t xml:space="preserve">, and a </w:t>
      </w:r>
      <w:r>
        <w:rPr>
          <w:b/>
        </w:rPr>
        <w:t>prompt</w:t>
      </w:r>
      <w:r>
        <w:t xml:space="preserve"> converge. The model's most counter-intuitive lesson is that prompt effectiveness collapses when the behaviour is difficult: prompts succeed for simple behaviours and fail for hard ones, so increasing simplicity often buys more than increasing persuasion.</w:t>
      </w:r>
    </w:p>
    <w:p>
      <w:r>
        <w:t xml:space="preserve">Analysed through this model, the checkpoint intervention supplies all three components with unusual balance. </w:t>
      </w:r>
      <w:r>
        <w:rPr>
          <w:i/>
        </w:rPr>
        <w:t>Motivation</w:t>
      </w:r>
      <w:r>
        <w:t xml:space="preserve"> is provided by the entire motivation layer — points, levels, badges, weekly ranking, club belonging. </w:t>
      </w:r>
      <w:r>
        <w:rPr>
          <w:i/>
        </w:rPr>
        <w:t>Ability</w:t>
      </w:r>
      <w:r>
        <w:t xml:space="preserve"> is provided by the environment and the interaction cost: the campus is already walkable, the target locations are places students visit anyway, no equipment or changing clothes are required, and the interaction itself takes seconds. </w:t>
      </w:r>
      <w:r>
        <w:rPr>
          <w:i/>
        </w:rPr>
        <w:t>Prompt</w:t>
      </w:r>
      <w:r>
        <w:t xml:space="preserve"> is provided by the physical sign — a persistent, situated cue that requires no battery, no permission, and no network. The design consequence is a sequencing rule: because prompts fail when ability is low, the checkpoint population is seeded with easy, conveniently located targets before aspirational ones, and the difficulty tiers (Section 2.2.2) make the entry ramp explicit.</w:t>
      </w:r>
    </w:p>
    <w:p>
      <w:r>
        <w:t>The model also carries an ethical reading that this research adopts: persuasive design should make the desired behaviour easier rather than making refusal harder. CampusFit therefore contains no artificial friction on leaving, no dark patterns in the profile or privacy surfaces, and no withholding of content by score. Participation is voluntary by design (Section 1.6), which is both an ethical position and a methodological one — coerced or incentivised participation would contaminate any pilot evaluation of engagement.</w:t>
      </w:r>
    </w:p>
    <w:p>
      <w:pPr>
        <w:pStyle w:val="Heading3"/>
      </w:pPr>
      <w:r>
        <w:t>2.5.2 Location-Based Play as Precedent: What Transfers and What Does Not</w:t>
      </w:r>
    </w:p>
    <w:p>
      <w:r>
        <w:t>The location-based game literature is the closest empirical precedent for this intervention, and it repays a closer reading than a single citation. Althoff et al. (2016) did not merely show that Pokémon Go increased walking; they showed that the increase was concentrated in players who were least active before playing, which is precisely the distribution an institutional wellness programme cares about. Li et al. (2021) added the qualification that matters most for design: the effects attenuated as novelty faded. Read together, the two findings describe a mechanic with a proven ceiling — high initial reach, declining persistence — and any system reusing that mechanic inherits both properties.</w:t>
      </w:r>
    </w:p>
    <w:p>
      <w:r>
        <w:t xml:space="preserve">Three lessons transfer directly. </w:t>
      </w:r>
      <w:r>
        <w:rPr>
          <w:b/>
        </w:rPr>
        <w:t>Place works as a reward medium</w:t>
      </w:r>
      <w:r>
        <w:t xml:space="preserve">: walking to a named location is legible as an accomplishment in a way that accumulating steps is not, which justifies the checkpoint rather than the step counter as the atomic unit. </w:t>
      </w:r>
      <w:r>
        <w:rPr>
          <w:b/>
        </w:rPr>
        <w:t>The cue can be environmental</w:t>
      </w:r>
      <w:r>
        <w:t xml:space="preserve">: the game's map objects functioned as situated prompts, which is the mechanism CampusFit reproduces with printed signs (Section 2.5.1). </w:t>
      </w:r>
      <w:r>
        <w:rPr>
          <w:b/>
        </w:rPr>
        <w:t>Reach extends to the least active</w:t>
      </w:r>
      <w:r>
        <w:t>: a mechanic that engages beginners is worth more, for this population, than one that optimises already-active users — the rationale behind the difficulty tiers.</w:t>
      </w:r>
    </w:p>
    <w:p>
      <w:r>
        <w:t>Three properties do not transfer and had to be rebuilt. A commercial game is served by a professional content operation that continuously produces new locations, creatures, and events; a wellness system has no such studio, so the content treadmill must be supplied institutionally — hence the administration dashboard that lets staff create and retire checkpoints and challenges without a software release. A game's collection loop is self-rewarding and private; an intervention concerned with auditable participation needs an award record that survives scrutiny, which is why CampusFit writes an append-only ledger rather than a satisfaction score. And a game has no obligation to be fair to its least successful players, whereas a ranking shown to students who are already least active must be designed against the demotivation risk analysed in Section 2.7. CampusFit therefore borrows the mechanic and replaces all three supports that made it work: content supply becomes governance, collection becomes audit, and unbounded competition becomes bounded comparison.</w:t>
      </w:r>
    </w:p>
    <w:p>
      <w:pPr>
        <w:pStyle w:val="Heading2"/>
      </w:pPr>
      <w:r>
        <w:t>2.6 QR Codes and NFC as Validation Media</w:t>
      </w:r>
    </w:p>
    <w:p>
      <w:r>
        <w:t>QR (Quick Response) codes were introduced by Denso Wave in 1994 and are standardised in ISO/IEC 18004. They encode data in a two-dimensional matrix, tolerate moderate damage through Reed–Solomon error correction, and can be read by any commodity smartphone camera without additional hardware. Near Field Communication (NFC), standardised through ISO/IEC 18092 and related specifications, is a short-range wireless protocol that allows a tap-to-read interaction using passive tags.</w:t>
      </w:r>
    </w:p>
    <w:p>
      <w:r>
        <w:t>From a security perspective the two media differ in important ways. A QR code is a bearer token: whoever photographs it can present it, so QR-only systems are vulnerable to code copying, screenshot sharing, and remote replay. NFC tags are harder to photograph but are still bearer tokens, and their short range (a few centimetres) provides modest additional assurance that the user was physically present. Neither medium alone proves presence.</w:t>
      </w:r>
    </w:p>
    <w:p>
      <w:r>
        <w:t xml:space="preserve">CampusFit therefore treats the scanned code as an </w:t>
      </w:r>
      <w:r>
        <w:rPr>
          <w:i/>
        </w:rPr>
        <w:t>assertion</w:t>
      </w:r>
      <w:r>
        <w:t xml:space="preserve"> rather than as proof, and validates it server-side against four controls: code existence and active status, an account-level cooldown window (eight hours by default) that defeats rapid replay, a per-user ledger entry that makes awards auditable, and a difficulty-based multiplier computed inside the database transaction rather than on the client. Section 4.5 specifies the routine in detail, and Section 3.9 discusses the residual threat of collusion and future mitigations (signed one-time tokens printed per interval, device attestation, and optional geofence checks).</w:t>
      </w:r>
    </w:p>
    <w:p>
      <w:r>
        <w:t>The choice of QR as the primary medium is pragmatic: zero marginal hardware cost, install-free reading, and trivial printing. The data model is deliberately medium-agnostic — a checkpoint carries a unique code string, and an NFC tag can carry the same string, so adding NFC support later requires no schema change. This is stated explicitly as a scope decision in Section 1.6. Section 3.9 discusses the residual threat of collusion and the future mitigations (signed one-time tokens printed per interval, device attestation, and optional geofence checks).</w:t>
      </w:r>
    </w:p>
    <w:p>
      <w:pPr>
        <w:pStyle w:val="Heading3"/>
      </w:pPr>
      <w:r>
        <w:t>2.6.1 Threat Model for Bearer Validation Media</w:t>
      </w:r>
    </w:p>
    <w:p>
      <w:r>
        <w:t>Krombholz et al. (2014) surveyed the security properties of QR codes and concluded that their central weakness is structural rather than cryptographic: a code is a bearer artefact that any holder can present, and — more insidiously — that ordinary users have no reliable way to distinguish a legitimate code from a malicious one. CampusFit's interest is narrower than payment or login security, but the same taxonomy applies to the integrity of the reward economy. The asset under protection is not money but the credibility of the ranking: if points can be obtained without visiting a checkpoint, every downstream artefact (leaderboard, badges, level) becomes meaningless.</w:t>
      </w:r>
    </w:p>
    <w:p>
      <w:r>
        <w:t xml:space="preserve">Five threats are in scope. </w:t>
      </w:r>
      <w:r>
        <w:rPr>
          <w:b/>
        </w:rPr>
        <w:t>T1 — remote replay.</w:t>
      </w:r>
      <w:r>
        <w:t xml:space="preserve"> A student photographs a code and submits it later, or from a location far from the checkpoint. </w:t>
      </w:r>
      <w:r>
        <w:rPr>
          <w:b/>
        </w:rPr>
        <w:t>T2 — duplication.</w:t>
      </w:r>
      <w:r>
        <w:t xml:space="preserve"> A code is shared in a group chat and redeemed by many students who never visited. </w:t>
      </w:r>
      <w:r>
        <w:rPr>
          <w:b/>
        </w:rPr>
        <w:t>T3 — enumeration.</w:t>
      </w:r>
      <w:r>
        <w:t xml:space="preserve"> Codes such as `LIB-A1` are short and human-legible, so they are guessable by design; a client could iterate candidates. </w:t>
      </w:r>
      <w:r>
        <w:rPr>
          <w:b/>
        </w:rPr>
        <w:t>T4 — client forgery.</w:t>
      </w:r>
      <w:r>
        <w:t xml:space="preserve"> A modified browser submits fabricated awards or edits its own totals directly. </w:t>
      </w:r>
      <w:r>
        <w:rPr>
          <w:b/>
        </w:rPr>
        <w:t>T5 — administrative compromise.</w:t>
      </w:r>
      <w:r>
        <w:t xml:space="preserve"> An attacker with the administrator role mutates checkpoint definitions or ledger history.</w:t>
      </w:r>
    </w:p>
    <w:p>
      <w:r>
        <w:t>Each threat is met by a control that lives outside the client, so that none of them depends on the honesty of the application running on the student's device: T1 and T2 by the eight-hour cooldown combined with an append-only, timestamped per-user ledger that makes anomalous sequences visible to administrators; T3 by the fact that guessing yields no advantage — a guessed code still consumes the same cooldown, still writes an auditable row, and repeated attempts are rate-limited and logged; T4 by server-side computation of every award inside the database transaction plus row-level security on all tables; and T5 by role checks evaluated in the database, immutable scan and ledger storage that only permits appended corrections, and an audit trail of administrative reads. ISO/IEC 18004's Reed–Solomon error correction (2015) is an availability property rather than a security one — a damaged sign still scans — and it is explicitly not treated as protection against any of T1–T5.</w:t>
      </w:r>
    </w:p>
    <w:p>
      <w:r>
        <w:t>The residual threats — collusion between students, and codes captured by a student who never travels — cannot be closed by a bearer medium alone and are stated as limitations rather than concealed. Section 3.9 records the planned mitigations: time-boxed signed codes rotated per interval, device attestation, and an optional geofence check that would convert presence from an assertion into a corroborated claim.</w:t>
      </w:r>
    </w:p>
    <w:p>
      <w:pPr>
        <w:pStyle w:val="Heading3"/>
      </w:pPr>
      <w:r>
        <w:t>2.6.2 The Printed Artefact and the Code Registry</w:t>
      </w:r>
    </w:p>
    <w:p>
      <w:r>
        <w:t>The physical sign is part of the system rather than documentation about it, and its design follows from the threat model and the interaction budget. Each sign carries four fields: the QR matrix, the human-readable code, the checkpoint name and difficulty tier, and a one-line instruction with the point value. The dual representation is a deliberate redundancy — the camera path costs one tap and the typed path costs one screen and four characters — and it exists because a camera is not always convenient (bright sun, low battery, camera-in-use) while a typed code always works. The human-readable format is also why codes appear in examples throughout this thesis: legibility was chosen over entropy, with the enumeration consequence of that trade-off managed by the controls in Section 2.6.1 rather than denied.</w:t>
      </w:r>
    </w:p>
    <w:p>
      <w:r>
        <w:t>The code registry is the checkpoint table itself. Codes are unique by database constraint, so duplication is impossible; codes are opaque strings rather than encoded payloads, so nothing about the checkpoint (its coordinates, its value, its schedule) can be decoded from a photograph of the sign; and checkpoints carry an active flag, so retiring a station removes it from validation immediately without invalidating historical ledger entries — the audit trail must outlive the objects it references. An NFC tag, when deployed, carries the same string, so the registry gains a medium without gaining a schema.</w:t>
      </w:r>
    </w:p>
    <w:p>
      <w:r>
        <w:t>Two governance conditions complete the artefact. Placement requires institutional permission, which is recorded as an explicit assumption rather than a silent dependency (Section 1.6.2), because a checkpoint that students cannot legitimately approach is a fairness defect and not merely a logistics problem. And the sign is authored content: its text, tier, and value are administered through the dashboard described in Section 4.3, so the content supply that the novelty literature demands (Section 2.5.2) can be refreshed by staff without a redeployment.</w:t>
      </w:r>
    </w:p>
    <w:p>
      <w:pPr>
        <w:pStyle w:val="Heading2"/>
      </w:pPr>
      <w:r>
        <w:t>2.7 Leaderboards, Competition and Social Comparison</w:t>
      </w:r>
    </w:p>
    <w:p>
      <w:r>
        <w:t>The leaderboard is the most visible and most contested mechanic in the gamification canon. Its psychological basis is Festinger's (1954) social comparison theory, which proposes that people evaluate their own abilities and opinions by comparing themselves with others, and that comparison is especially frequent when objective evaluation is difficult. A fitness activity such as a walk to the library has no intrinsic scoreboard; a leaderboard supplies one.</w:t>
      </w:r>
    </w:p>
    <w:p>
      <w:r>
        <w:t xml:space="preserve">Social comparison operates in two directions. </w:t>
      </w:r>
      <w:r>
        <w:rPr>
          <w:b/>
        </w:rPr>
        <w:t>Upward comparison</w:t>
      </w:r>
      <w:r>
        <w:t xml:space="preserve"> (against those performing better) can motivate effort when the gap feels attainable and the cause of the gap is understood, and can demotivate when the gap feels permanent (Wood, 1989). </w:t>
      </w:r>
      <w:r>
        <w:rPr>
          <w:b/>
        </w:rPr>
        <w:t>Downward comparison</w:t>
      </w:r>
      <w:r>
        <w:t xml:space="preserve"> protects self-esteem but rarely sustains effort. Gamification research has repeatedly observed that leaderboards improve aggregate performance while simultaneously increasing variance in experience: top-ranked users report higher engagement, and bottom-ranked users report lower engagement than they would in the absence of a ranking (Hamari et al., 2014; Sailer &amp; Homner, 2020).</w:t>
      </w:r>
    </w:p>
    <w:p>
      <w:r>
        <w:t>Design responses documented in the literature include percentile-based rather than absolute rankings, rotating leaderboards that reset periodically, team-based rather than individual competition, and opt-in visibility. CampusFit adopts three of these four: ranks are computed by a SQL view that returns a bounded window around the requesting student, the leaderboard is presented as a weekly league so that entry remains achievable, and clubs introduce a cooperative layer in which individuals contribute to a shared total. Privacy opt-in is handled by the profile visibility settings described in Section 4.8.</w:t>
      </w:r>
    </w:p>
    <w:p>
      <w:r>
        <w:t>An important empirical nuance from Alzghoul et al. (2024) is that leaderboards appear to amplify the effect of points rather than substitute for them: the combination was significant where points alone were weaker. This supports the decision to implement all three point-badge-leaderboard mechanics as an interlocking system rather than to ship a points counter alone.</w:t>
      </w:r>
    </w:p>
    <w:p>
      <w:pPr>
        <w:pStyle w:val="Heading3"/>
      </w:pPr>
      <w:r>
        <w:t>2.7.1 Design Patterns for Comparison Without Demotivation</w:t>
      </w:r>
    </w:p>
    <w:p>
      <w:r>
        <w:t xml:space="preserve">The negative findings reviewed above have generated a small but consistent vocabulary of design responses, and each was evaluated for adoption here. </w:t>
      </w:r>
      <w:r>
        <w:rPr>
          <w:b/>
        </w:rPr>
        <w:t>Percentile or windowed ranking</w:t>
      </w:r>
      <w:r>
        <w:t xml:space="preserve"> replaces absolute position, so that a student compares against a local reference class rather than against the head of the table. </w:t>
      </w:r>
      <w:r>
        <w:rPr>
          <w:b/>
        </w:rPr>
        <w:t>Rotation</w:t>
      </w:r>
      <w:r>
        <w:t xml:space="preserve"> — resetting the ranking at a fixed interval — converts a permanent hierarchy into a recurring competition in which entry is always possible again. </w:t>
      </w:r>
      <w:r>
        <w:rPr>
          <w:b/>
        </w:rPr>
        <w:t>Team-based competition</w:t>
      </w:r>
      <w:r>
        <w:t xml:space="preserve"> shifts the comparison target from individuals to groups, activating cooperative motives alongside competitive ones. </w:t>
      </w:r>
      <w:r>
        <w:rPr>
          <w:b/>
        </w:rPr>
        <w:t>Opt-in visibility</w:t>
      </w:r>
      <w:r>
        <w:t xml:space="preserve"> lets a user withdraw from public ranking without withdrawing from the system. And </w:t>
      </w:r>
      <w:r>
        <w:rPr>
          <w:b/>
        </w:rPr>
        <w:t>self-comparison</w:t>
      </w:r>
      <w:r>
        <w:t xml:space="preserve"> — performance against one's own history — provides a completely non-social reference standard.</w:t>
      </w:r>
    </w:p>
    <w:p>
      <w:r>
        <w:t>CampusFit adopts windowed ranking, rotation, team-based competition, and self-comparison, and implements opt-in visibility partially through profile visibility settings. Windowing is realised structurally: the ranking view computes the full ordering inside the database but the interface renders a podium plus a bounded band of rows around the requesting student, with that student's own rank and score pinned at the top of the screen — comparison information without a full exposure of position. Rotation is realised as a weekly league framing, so a student who had a bad week competes again on equal terms on Monday rather than carrying a permanently visible deficit. Team competition is realised through clubs, whose shared totals let a student's individual contribution matter without requiring individual rank. Self-comparison is realised through the streak counter, the level bar, and the activity statistics history, all of which compare the student to their own past.</w:t>
      </w:r>
    </w:p>
    <w:p>
      <w:r>
        <w:t>One response was deliberately not adopted: permanent full-table visibility is offered nowhere in the student-facing interface, because the evidence reviewed in Section 2.7 indicates that it concentrates motivational benefit at the top and concentrates discouragement at the bottom — an outcome incompatible with an intervention whose target population includes students who are currently least active (Alkhawaldeh et al., 2024).</w:t>
      </w:r>
    </w:p>
    <w:p>
      <w:pPr>
        <w:pStyle w:val="Heading3"/>
      </w:pPr>
      <w:r>
        <w:t>2.7.2 The Trust Precondition: Ranking Only Motivates If It Is Believed</w:t>
      </w:r>
    </w:p>
    <w:p>
      <w:r>
        <w:t xml:space="preserve">A frequently overlooked condition sits underneath every comparison mechanic: a ranking is only a source of information if the ranking is believed to be accurate. Social comparison theory describes the mechanism by which people use others as a standard for self-evaluation (Festinger, 1954), but the mechanism presupposes that the measured quantity is real. If awards can be obtained without effort — by photographing a friend's screen, by guessing codes, by running a modified client — then the leaderboard stops measuring fitness and starts measuring exploitation, and every student who notices withdraws the belief that the comparison is informative. The documented disengagement of low-ranked users is bad; the disengagement of </w:t>
      </w:r>
      <w:r>
        <w:rPr>
          <w:i/>
        </w:rPr>
        <w:t>all</w:t>
      </w:r>
      <w:r>
        <w:t xml:space="preserve"> users when a ranking is perceived as farmable is terminal.</w:t>
      </w:r>
    </w:p>
    <w:p>
      <w:r>
        <w:t xml:space="preserve">This establishes an argument that the thesis returns to in Chapter Five: the validation layer is not only a security component, it is a </w:t>
      </w:r>
      <w:r>
        <w:rPr>
          <w:b/>
        </w:rPr>
        <w:t>motivation</w:t>
      </w:r>
      <w:r>
        <w:t xml:space="preserve"> component. Server-side computation, cooldowns, and the append-only ledger (Sections 2.6.1 and 4.5) are what make rank credible; the visible award message after each scan states the rule that produced the points; and the fact that an award is attributable to a named checkpoint gives the number a story a student can verify against their own memory. Perceived procedural fairness — the sense that the rules are known, applied uniformly, and auditable — is the bridge between the database transaction and the leaderboard's motivational effect.</w:t>
      </w:r>
    </w:p>
    <w:p>
      <w:r>
        <w:t>The trust precondition also sets an evaluation target. A pilot should measure not only whether students scan, but whether they believe the ranking: a single question about confidence in the fairness of the leaderboard distinguishes a working comparison mechanic from a decorative one. Section 5.8's instrument includes open items capable of surfacing exactly this, and Section 6.7 recommends fairness review as an institutional policy.</w:t>
      </w:r>
    </w:p>
    <w:p>
      <w:pPr>
        <w:pStyle w:val="Heading2"/>
      </w:pPr>
      <w:r>
        <w:t>2.8 Student Wellness in Higher Education</w:t>
      </w:r>
    </w:p>
    <w:p>
      <w:r>
        <w:t>The population this system targets is unusually well documented. Edelmann et al. (2022) found that 22.4% of university students in their sample were insufficiently active, with higher inactivity among female and diverse-gender respondents. Alkhawaldeh et al. (2024) reported that fewer than half (48.1%) of surveyed students engaged in physical activity, with 41.4% classified as inactive, and identified perceived barriers including time pressure, lack of motivation, and absence of convenient facilities. Roberts et al. (2024) estimated that 37% of students failed to meet the 150-minute weekly moderate-to-vigorous activity guideline and 56% failed the muscle-strengthening guideline.</w:t>
      </w:r>
    </w:p>
    <w:p>
      <w:r>
        <w:t xml:space="preserve">These figures matter for design in three ways. First, a substantial share of the target population is not merely unmotivated but </w:t>
      </w:r>
      <w:r>
        <w:rPr>
          <w:i/>
        </w:rPr>
        <w:t>inactive to a degree that a beginner-facing entry point is required</w:t>
      </w:r>
      <w:r>
        <w:t xml:space="preserve"> — hence a campus of tiered checkpoints where the easiest reward requires walking to a building students already visit. Second, the barriers reported are structural as well as motivational: time, convenience, and intimidation. A system that uses space students already occupy removes the convenience barrier rather than exhorting them to overcome it. Third, inactivity correlates with sedentary academic routines, so the intervention must fit around timetables rather than compete with them; the cooldown-based, on-demand scan model does exactly that.</w:t>
      </w:r>
    </w:p>
    <w:p>
      <w:r>
        <w:t>University wellness programmes are typically push-based: campaigns, gym inductions, and one-off events. The engagement decay documented for mobile health applications (Stawarz et al., 2015) suggests that push campaigns alone cannot sustain behaviour, which is why CampusFit is designed as an always-on system with continuous content (checkpoints, challenges, clubs) administered through a dashboard rather than as a campaign with a fixed end date.</w:t>
      </w:r>
    </w:p>
    <w:p>
      <w:pPr>
        <w:pStyle w:val="Heading3"/>
      </w:pPr>
      <w:r>
        <w:t>2.8.1 Why Activity Matters for This Population: Mental Health and Academic Outcomes</w:t>
      </w:r>
    </w:p>
    <w:p>
      <w:r>
        <w:t>The case for student physical activity is not limited to long-term disease risk, and a student audience is more responsive to proximal benefits than to distal ones. Biddle and Asare (2011), synthesising the review literature for children and adolescents, reported small but reasonably consistent associations between physical activity and lower depression and anxiety, higher self-esteem, and better cognitive functioning, while cautioning that the causal direction is difficult to establish from the available designs. Loprinzi (2019) supplied the academic link most relevant to this population: acute exercise produces measurable improvements in episodic memory function, which situates a walk between classes inside the study process rather than in competition with it. The World Health Organization (2020) guidelines set the quantitative target — adults should accumulate substantial moderate-intensity activity across the week and should also perform muscle-strengthening activity — a target that the reviewed student populations fail at scale (Roberts et al., 2024).</w:t>
      </w:r>
    </w:p>
    <w:p>
      <w:r>
        <w:t>Three implications follow for this system's positioning. First, benefit framing can honestly emphasise immediate, academically adjacent returns (attention, memory, mood regulation) alongside the conventional long-term framing, because those are the outcomes students experience within a week rather than within decades. Second, the intervention should not medicalise activity: CampusFit positions itself as a wellness and participation system, records no clinical data, and makes no clinical claims — a boundary already enforced by the data-minimisation rule in Section 3.7. Third, because the mental-health associations are correlational in the underlying evidence, the thesis claims participation and engagement outcomes only; it does not claim mental-health improvement, and Chapter Six marks that boundary explicitly.</w:t>
      </w:r>
    </w:p>
    <w:p>
      <w:pPr>
        <w:pStyle w:val="Heading3"/>
      </w:pPr>
      <w:r>
        <w:t>2.8.2 Barrier Taxonomy and Corresponding System Responses</w:t>
      </w:r>
    </w:p>
    <w:p>
      <w:r>
        <w:t>The barriers documented in Section 2.8 are not a single phenomenon, and treating "laziness" as the explanation would be both empirically wrong and design-fatal. A taxonomy is useful because each barrier class demands a different response: some are removed by removing friction, others require motivation, and others require belonging. Table 2.3 states the mapping used in this study.</w:t>
      </w:r>
    </w:p>
    <w:p>
      <w:r>
        <w:t>Table 2.3</w:t>
      </w:r>
    </w:p>
    <w:p>
      <w:r>
        <w:rPr>
          <w:i/>
        </w:rPr>
        <w:t>Student barriers and corresponding system responses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after="40"/>
              <w:jc w:val="left"/>
            </w:pPr>
            <w:r/>
            <w:r>
              <w:rPr>
                <w:rFonts w:ascii="Times New Roman" w:hAnsi="Times New Roman"/>
                <w:b/>
                <w:sz w:val="21"/>
              </w:rPr>
              <w:t>Time pressure</w:t>
            </w:r>
          </w:p>
        </w:tc>
        <w:tc>
          <w:tcPr>
            <w:tcW w:type="dxa" w:w="3120"/>
          </w:tcPr>
          <w:p>
            <w:pPr>
              <w:spacing w:line="276" w:lineRule="auto" w:after="40"/>
              <w:jc w:val="left"/>
            </w:pPr>
            <w:r/>
            <w:r>
              <w:rPr>
                <w:rFonts w:ascii="Times New Roman" w:hAnsi="Times New Roman"/>
                <w:b/>
                <w:sz w:val="21"/>
              </w:rPr>
              <w:t>Schedules and competing academic demands reported as the leading barrier (Alkhawaldeh et al., 2024)</w:t>
            </w:r>
          </w:p>
        </w:tc>
        <w:tc>
          <w:tcPr>
            <w:tcW w:type="dxa" w:w="3120"/>
          </w:tcPr>
          <w:p>
            <w:pPr>
              <w:spacing w:line="276" w:lineRule="auto" w:after="40"/>
              <w:jc w:val="left"/>
            </w:pPr>
            <w:r/>
            <w:r>
              <w:rPr>
                <w:rFonts w:ascii="Times New Roman" w:hAnsi="Times New Roman"/>
                <w:b/>
                <w:sz w:val="21"/>
              </w:rPr>
              <w:t>Opportunistic scans on routes already taken; sub-three-second core action; no gym session required</w:t>
            </w:r>
          </w:p>
        </w:tc>
      </w:tr>
      <w:tr>
        <w:tc>
          <w:tcPr>
            <w:tcW w:type="dxa" w:w="3120"/>
          </w:tcPr>
          <w:p>
            <w:pPr>
              <w:spacing w:line="276" w:lineRule="auto" w:after="40"/>
              <w:jc w:val="left"/>
            </w:pPr>
            <w:r/>
            <w:r>
              <w:rPr>
                <w:rFonts w:ascii="Times New Roman" w:hAnsi="Times New Roman"/>
                <w:sz w:val="21"/>
              </w:rPr>
              <w:t>Low motivation and absent accountability</w:t>
            </w:r>
          </w:p>
        </w:tc>
        <w:tc>
          <w:tcPr>
            <w:tcW w:type="dxa" w:w="3120"/>
          </w:tcPr>
          <w:p>
            <w:pPr>
              <w:spacing w:line="276" w:lineRule="auto" w:after="40"/>
              <w:jc w:val="left"/>
            </w:pPr>
            <w:r/>
            <w:r>
              <w:rPr>
                <w:rFonts w:ascii="Times New Roman" w:hAnsi="Times New Roman"/>
                <w:sz w:val="21"/>
              </w:rPr>
              <w:t>41.4% classified as inactive (Alkhawaldeh et al., 2024); 37% miss the weekly guideline (Roberts et al., 2024)</w:t>
            </w:r>
          </w:p>
        </w:tc>
        <w:tc>
          <w:tcPr>
            <w:tcW w:type="dxa" w:w="3120"/>
          </w:tcPr>
          <w:p>
            <w:pPr>
              <w:spacing w:line="276" w:lineRule="auto" w:after="40"/>
              <w:jc w:val="left"/>
            </w:pPr>
            <w:r/>
            <w:r>
              <w:rPr>
                <w:rFonts w:ascii="Times New Roman" w:hAnsi="Times New Roman"/>
                <w:sz w:val="21"/>
              </w:rPr>
              <w:t>Points, streaks, weekly league, club challenges — the motivation layer of Section 2.10</w:t>
            </w:r>
          </w:p>
        </w:tc>
      </w:tr>
      <w:tr>
        <w:tc>
          <w:tcPr>
            <w:tcW w:type="dxa" w:w="3120"/>
          </w:tcPr>
          <w:p>
            <w:pPr>
              <w:spacing w:line="276" w:lineRule="auto" w:after="40"/>
              <w:jc w:val="left"/>
            </w:pPr>
            <w:r/>
            <w:r>
              <w:rPr>
                <w:rFonts w:ascii="Times New Roman" w:hAnsi="Times New Roman"/>
                <w:sz w:val="21"/>
              </w:rPr>
              <w:t>Intimidation and facility access</w:t>
            </w:r>
          </w:p>
        </w:tc>
        <w:tc>
          <w:tcPr>
            <w:tcW w:type="dxa" w:w="3120"/>
          </w:tcPr>
          <w:p>
            <w:pPr>
              <w:spacing w:line="276" w:lineRule="auto" w:after="40"/>
              <w:jc w:val="left"/>
            </w:pPr>
            <w:r/>
            <w:r>
              <w:rPr>
                <w:rFonts w:ascii="Times New Roman" w:hAnsi="Times New Roman"/>
                <w:sz w:val="21"/>
              </w:rPr>
              <w:t>Traditional gym and sport settings do not appeal to all students (Roberts et al., 2024)</w:t>
            </w:r>
          </w:p>
        </w:tc>
        <w:tc>
          <w:tcPr>
            <w:tcW w:type="dxa" w:w="3120"/>
          </w:tcPr>
          <w:p>
            <w:pPr>
              <w:spacing w:line="276" w:lineRule="auto" w:after="40"/>
              <w:jc w:val="left"/>
            </w:pPr>
            <w:r/>
            <w:r>
              <w:rPr>
                <w:rFonts w:ascii="Times New Roman" w:hAnsi="Times New Roman"/>
                <w:sz w:val="21"/>
              </w:rPr>
              <w:t>No equipment, no changing rooms, no audience; the easiest award requires walking to a building already visited</w:t>
            </w:r>
          </w:p>
        </w:tc>
      </w:tr>
      <w:tr>
        <w:tc>
          <w:tcPr>
            <w:tcW w:type="dxa" w:w="3120"/>
          </w:tcPr>
          <w:p>
            <w:pPr>
              <w:spacing w:line="276" w:lineRule="auto" w:after="40"/>
              <w:jc w:val="left"/>
            </w:pPr>
            <w:r/>
            <w:r>
              <w:rPr>
                <w:rFonts w:ascii="Times New Roman" w:hAnsi="Times New Roman"/>
                <w:sz w:val="21"/>
              </w:rPr>
              <w:t>Invisible progress</w:t>
            </w:r>
          </w:p>
        </w:tc>
        <w:tc>
          <w:tcPr>
            <w:tcW w:type="dxa" w:w="3120"/>
          </w:tcPr>
          <w:p>
            <w:pPr>
              <w:spacing w:line="276" w:lineRule="auto" w:after="40"/>
              <w:jc w:val="left"/>
            </w:pPr>
            <w:r/>
            <w:r>
              <w:rPr>
                <w:rFonts w:ascii="Times New Roman" w:hAnsi="Times New Roman"/>
                <w:sz w:val="21"/>
              </w:rPr>
              <w:t>Self-monitoring without feedback underperforms monitoring with feedback (Patterson et al., 2021)</w:t>
            </w:r>
          </w:p>
        </w:tc>
        <w:tc>
          <w:tcPr>
            <w:tcW w:type="dxa" w:w="3120"/>
          </w:tcPr>
          <w:p>
            <w:pPr>
              <w:spacing w:line="276" w:lineRule="auto" w:after="40"/>
              <w:jc w:val="left"/>
            </w:pPr>
            <w:r/>
            <w:r>
              <w:rPr>
                <w:rFonts w:ascii="Times New Roman" w:hAnsi="Times New Roman"/>
                <w:sz w:val="21"/>
              </w:rPr>
              <w:t>Progress ring, level ladder, distance-to-next-level text, activity statistics (Section 2.4.2)</w:t>
            </w:r>
          </w:p>
        </w:tc>
      </w:tr>
      <w:tr>
        <w:tc>
          <w:tcPr>
            <w:tcW w:type="dxa" w:w="3120"/>
          </w:tcPr>
          <w:p>
            <w:pPr>
              <w:spacing w:line="276" w:lineRule="auto" w:after="40"/>
              <w:jc w:val="left"/>
            </w:pPr>
            <w:r/>
            <w:r>
              <w:rPr>
                <w:rFonts w:ascii="Times New Roman" w:hAnsi="Times New Roman"/>
                <w:sz w:val="21"/>
              </w:rPr>
              <w:t>Forgetting and failed habit</w:t>
            </w:r>
          </w:p>
        </w:tc>
        <w:tc>
          <w:tcPr>
            <w:tcW w:type="dxa" w:w="3120"/>
          </w:tcPr>
          <w:p>
            <w:pPr>
              <w:spacing w:line="276" w:lineRule="auto" w:after="40"/>
              <w:jc w:val="left"/>
            </w:pPr>
            <w:r/>
            <w:r>
              <w:rPr>
                <w:rFonts w:ascii="Times New Roman" w:hAnsi="Times New Roman"/>
                <w:sz w:val="21"/>
              </w:rPr>
              <w:t>Logging-based applications decay (Stawarz et al., 2015); automaticity takes weeks (Lally et al., 2010)</w:t>
            </w:r>
          </w:p>
        </w:tc>
        <w:tc>
          <w:tcPr>
            <w:tcW w:type="dxa" w:w="3120"/>
          </w:tcPr>
          <w:p>
            <w:pPr>
              <w:spacing w:line="276" w:lineRule="auto" w:after="40"/>
              <w:jc w:val="left"/>
            </w:pPr>
            <w:r/>
            <w:r>
              <w:rPr>
                <w:rFonts w:ascii="Times New Roman" w:hAnsi="Times New Roman"/>
                <w:sz w:val="21"/>
              </w:rPr>
              <w:t>Campus-embedded cues, streak counter, cooldown cadence (Section 2.2.5)</w:t>
            </w:r>
          </w:p>
        </w:tc>
      </w:tr>
      <w:tr>
        <w:tc>
          <w:tcPr>
            <w:tcW w:type="dxa" w:w="3120"/>
          </w:tcPr>
          <w:p>
            <w:pPr>
              <w:spacing w:line="276" w:lineRule="auto" w:after="40"/>
              <w:jc w:val="left"/>
            </w:pPr>
            <w:r/>
            <w:r>
              <w:rPr>
                <w:rFonts w:ascii="Times New Roman" w:hAnsi="Times New Roman"/>
                <w:sz w:val="21"/>
              </w:rPr>
              <w:t>Solo activity without belonging</w:t>
            </w:r>
          </w:p>
        </w:tc>
        <w:tc>
          <w:tcPr>
            <w:tcW w:type="dxa" w:w="3120"/>
          </w:tcPr>
          <w:p>
            <w:pPr>
              <w:spacing w:line="276" w:lineRule="auto" w:after="40"/>
              <w:jc w:val="left"/>
            </w:pPr>
            <w:r/>
            <w:r>
              <w:rPr>
                <w:rFonts w:ascii="Times New Roman" w:hAnsi="Times New Roman"/>
                <w:sz w:val="21"/>
              </w:rPr>
              <w:t>Relatedness is a basic psychological need (Ryan &amp; Deci, 2000)</w:t>
            </w:r>
          </w:p>
        </w:tc>
        <w:tc>
          <w:tcPr>
            <w:tcW w:type="dxa" w:w="3120"/>
          </w:tcPr>
          <w:p>
            <w:pPr>
              <w:spacing w:line="276" w:lineRule="auto" w:after="40"/>
              <w:jc w:val="left"/>
            </w:pPr>
            <w:r/>
            <w:r>
              <w:rPr>
                <w:rFonts w:ascii="Times New Roman" w:hAnsi="Times New Roman"/>
                <w:sz w:val="21"/>
              </w:rPr>
              <w:t>Clubs, crews, shared FitTrip routes, cooperative totals</w:t>
            </w:r>
          </w:p>
        </w:tc>
      </w:tr>
    </w:tbl>
    <w:p/>
    <w:p>
      <w:r>
        <w:t xml:space="preserve">The mapping is a design hypothesis rather than a result: each response is justified by a technique, but whether it </w:t>
      </w:r>
      <w:r>
        <w:rPr>
          <w:i/>
        </w:rPr>
        <w:t>works</w:t>
      </w:r>
      <w:r>
        <w:t xml:space="preserve"> for this population is exactly what the pilot in Section 5.8 is intended to test. Recording the mapping before data collection is what allows the pilot to falsify a specific response instead of producing an undifferentiated satisfaction score.</w:t>
      </w:r>
    </w:p>
    <w:p>
      <w:pPr>
        <w:pStyle w:val="Heading2"/>
      </w:pPr>
      <w:r>
        <w:t>2.9 Comparative Review of Existing Systems</w:t>
      </w:r>
    </w:p>
    <w:p>
      <w:r>
        <w:t>To locate the contribution precisely, this section compares representative systems across five dimensions: activity tracking, contextual integration with a specific physical environment, social competition, reward audibility, and institutional administration.</w:t>
      </w:r>
    </w:p>
    <w:p>
      <w:r>
        <w:rPr>
          <w:b/>
        </w:rPr>
        <w:t>Generalist fitness trackers (Strava, Nike Run Club, Google Fit).</w:t>
      </w:r>
      <w:r>
        <w:t xml:space="preserve"> These products provide excellent GPS and sensor-based tracking, rich history, and social feeds. Their weakness for this research problem is contextual: they measure effort anywhere, treat the environment as a blank map, and offer no mechanism through which an institution can seed specific, meaningful locations. They also depend on continuous sensor access, which has battery and privacy costs.</w:t>
      </w:r>
    </w:p>
    <w:p>
      <w:r>
        <w:rPr>
          <w:b/>
        </w:rPr>
        <w:t>Story-driven exercise games (Zombies Run, Habitica).</w:t>
      </w:r>
      <w:r>
        <w:t xml:space="preserve"> Zombies Run converts running into a narrative; Habitica role-plays productivity as an RPG. Both demonstrate that framing substantially changes persistence. Neither engages the user's actual campus geography, and Habitica's rewards are untethered from physical location.</w:t>
      </w:r>
    </w:p>
    <w:p>
      <w:r>
        <w:rPr>
          <w:b/>
        </w:rPr>
        <w:t>Location-based games (Pokémon Go and successors).</w:t>
      </w:r>
      <w:r>
        <w:t xml:space="preserve"> Althoff et al. (2016) and Li et al. (2021) established that these products measurably increase walking. Their relevance is direct: they prove that place-based collection motivates movement. Their limitation is that the places are arbitrary game content rather than the user's own institutions, that novelty decays, and that they are entertainment products rather than wellness interventions with auditable outcomes.</w:t>
      </w:r>
    </w:p>
    <w:p>
      <w:r>
        <w:rPr>
          <w:b/>
        </w:rPr>
        <w:t>Institutional and orientation scavenger hunts.</w:t>
      </w:r>
      <w:r>
        <w:t xml:space="preserve"> Universities routinely run QR-based hunts for induction weeks. The published literature on these is largely descriptive practice reporting rather than instrumented evaluation. Crucially, they are events with a start and an end; they do not maintain a persistent, auditable points economy for wellness.</w:t>
      </w:r>
    </w:p>
    <w:p>
      <w:r>
        <w:rPr>
          <w:b/>
        </w:rPr>
        <w:t>The gap.</w:t>
      </w:r>
      <w:r>
        <w:t xml:space="preserve"> No reviewed system combines (a) persistent campus-anchored checkpoints, (b) server-side auditable reward allocation with anti-abuse controls, (c) a competition layer designed against the documented demotivation risks of leaderboards, and (d) an institutional administration surface — in one system evaluated as a single artefact. CampusFit is that combination. Table A.1 in Appendix A restates this comparison in matrix form against the five dimensions.</w:t>
      </w:r>
    </w:p>
    <w:p>
      <w:pPr>
        <w:pStyle w:val="Heading3"/>
      </w:pPr>
      <w:r>
        <w:t>2.9.1 Why Not Wearables or a Sensor-First Design</w:t>
      </w:r>
    </w:p>
    <w:p>
      <w:r>
        <w:t>The most obvious alternative design would drop checkpoints entirely and rely on continuous sensing: a wrist-worn tracker or the phone's own motion coprocessor counting steps and awarding automatically. Wearable ecosystems (Fitbit, Apple Watch, Garmin and their peers) demonstrate that continuous self-monitoring is valuable — McCallum et al. (2018) found that such products dominate the evidence base while also noting that their evaluations rarely capture long-term engagement or contextual fit.</w:t>
      </w:r>
    </w:p>
    <w:p>
      <w:r>
        <w:t xml:space="preserve">Four considerations ruled out a sensor-first architecture for this study, and each is a property of the </w:t>
      </w:r>
      <w:r>
        <w:rPr>
          <w:i/>
        </w:rPr>
        <w:t>context</w:t>
      </w:r>
      <w:r>
        <w:t xml:space="preserve"> rather than of the sensors. </w:t>
      </w:r>
      <w:r>
        <w:rPr>
          <w:b/>
        </w:rPr>
        <w:t>Equity of access.</w:t>
      </w:r>
      <w:r>
        <w:t xml:space="preserve"> A wrist device is a purchase; a phone camera is already owned by the student population assumed in Section 1.6, and requiring hardware would exclude precisely the students the intervention targets. </w:t>
      </w:r>
      <w:r>
        <w:rPr>
          <w:b/>
        </w:rPr>
        <w:t>Consent and privacy.</w:t>
      </w:r>
      <w:r>
        <w:t xml:space="preserve"> Continuous accelerometry and heart-rate capture are biometric streams; the data-minimisation principle in Section 3.7 records that this system collects neither, and a checkpoint visit is a discrete, user-initiated act rather than a passive trace. </w:t>
      </w:r>
      <w:r>
        <w:rPr>
          <w:b/>
        </w:rPr>
        <w:t>Attribution.</w:t>
      </w:r>
      <w:r>
        <w:t xml:space="preserve"> A sensor observes motion but cannot distinguish a walk to the library from a walk to the bus; a checkpoint award is attributable to a named place, which is what makes the leaderboard and the club challenges legible as stories rather than as numbers. </w:t>
      </w:r>
      <w:r>
        <w:rPr>
          <w:b/>
        </w:rPr>
        <w:t>Battery and background limits.</w:t>
      </w:r>
      <w:r>
        <w:t xml:space="preserve"> A web-delivered application has constrained background sensing, as acknowledged in Section 3.5.1, so a sensor-first design would have forced a native architecture and abandoned the single-codebase portability requirement (NFR6).</w:t>
      </w:r>
    </w:p>
    <w:p>
      <w:r>
        <w:t>This does not make sensing a wrong direction — it is recorded as future work in Section 6.8, where the checkpoint layer would remain as the place-anchor and sensors would supply effort rather than presence.</w:t>
      </w:r>
    </w:p>
    <w:p>
      <w:pPr>
        <w:pStyle w:val="Heading2"/>
      </w:pPr>
      <w:r>
        <w:t>2.10 Research Gap and Conceptual Framework</w:t>
      </w:r>
    </w:p>
    <w:p>
      <w:r>
        <w:t>The literature yields four converging observations. First, gamification reliably increases physical activity, but effectiveness depends on the combination of mechanics rather than on any single element (Hamari et al., 2014; Mazeas et al., 2022; Nishi et al., 2024). Second, location-based collection demonstrably converts geography into motivation (Althoff et al., 2016; Li et al., 2021), yet the effects fade without a continuing content supply. Third, rewards must satisfy competence, autonomy, and relatedness to avoid undermining intrinsic motivation (Ryan &amp; Deci, 2000; Deci et al., 1999). Fourth, the student population most in need is characterised by structural barriers that a campus-anchored, opportunistic intervention is specifically suited to remove (Edelmann et al., 2022; Alkhawaldeh et al., 2024).</w:t>
      </w:r>
    </w:p>
    <w:p>
      <w:r>
        <w:t>From these observations the conceptual framework of this study is derived. It has four layers:</w:t>
      </w:r>
    </w:p>
    <w:p>
      <w:pPr>
        <w:pStyle w:val="ListNumber"/>
        <w:spacing w:line="360" w:lineRule="auto"/>
      </w:pPr>
      <w:r>
        <w:rPr>
          <w:b/>
        </w:rPr>
        <w:t>Physical layer</w:t>
      </w:r>
      <w:r>
        <w:t xml:space="preserve"> — checkpoints placed at existing campus locations, carrying QR codes (NFC-ready) that assert a visit.</w:t>
      </w:r>
    </w:p>
    <w:p>
      <w:pPr>
        <w:pStyle w:val="ListNumber"/>
        <w:spacing w:line="360" w:lineRule="auto"/>
      </w:pPr>
      <w:r>
        <w:rPr>
          <w:b/>
        </w:rPr>
        <w:t>Validation layer</w:t>
      </w:r>
      <w:r>
        <w:t xml:space="preserve"> — a server-side routine that converts an assertion into an auditable award, enforcing cooldowns, difficulty multipliers, and append-only ledger entries.</w:t>
      </w:r>
    </w:p>
    <w:p>
      <w:pPr>
        <w:pStyle w:val="ListNumber"/>
        <w:spacing w:line="360" w:lineRule="auto"/>
      </w:pPr>
      <w:r>
        <w:rPr>
          <w:b/>
        </w:rPr>
        <w:t>Motivation layer</w:t>
      </w:r>
      <w:r>
        <w:t xml:space="preserve"> — points, levels, streaks, badges, and a bounded weekly leaderboard, each mapped to a behaviour-change technique (Section 2.3.4) and constrained by SDT and flow considerations.</w:t>
      </w:r>
    </w:p>
    <w:p>
      <w:pPr>
        <w:pStyle w:val="ListNumber"/>
        <w:spacing w:line="360" w:lineRule="auto"/>
      </w:pPr>
      <w:r>
        <w:rPr>
          <w:b/>
        </w:rPr>
        <w:t>Community and governance layer</w:t>
      </w:r>
      <w:r>
        <w:t xml:space="preserve"> — clubs, shared challenges, and an administrative dashboard that supplies the ongoing content the novelty-decay literature demands.</w:t>
      </w:r>
    </w:p>
    <w:p>
      <w:r>
        <w:t>Table 2.2</w:t>
      </w:r>
    </w:p>
    <w:p>
      <w:r>
        <w:rPr>
          <w:i/>
        </w:rPr>
        <w:t>The conceptual framework: layers, techniques and research questions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after="40"/>
              <w:jc w:val="left"/>
            </w:pPr>
            <w:r/>
            <w:r>
              <w:rPr>
                <w:rFonts w:ascii="Times New Roman" w:hAnsi="Times New Roman"/>
                <w:b/>
                <w:sz w:val="21"/>
              </w:rPr>
              <w:t>Physical</w:t>
            </w:r>
          </w:p>
        </w:tc>
        <w:tc>
          <w:tcPr>
            <w:tcW w:type="dxa" w:w="2340"/>
          </w:tcPr>
          <w:p>
            <w:pPr>
              <w:spacing w:line="276" w:lineRule="auto" w:after="40"/>
              <w:jc w:val="left"/>
            </w:pPr>
            <w:r/>
            <w:r>
              <w:rPr>
                <w:rFonts w:ascii="Times New Roman" w:hAnsi="Times New Roman"/>
                <w:b/>
                <w:sz w:val="21"/>
              </w:rPr>
              <w:t>Checkpoints, QR/NFC codes, printed signs</w:t>
            </w:r>
          </w:p>
        </w:tc>
        <w:tc>
          <w:tcPr>
            <w:tcW w:type="dxa" w:w="2340"/>
          </w:tcPr>
          <w:p>
            <w:pPr>
              <w:spacing w:line="276" w:lineRule="auto" w:after="40"/>
              <w:jc w:val="left"/>
            </w:pPr>
            <w:r/>
            <w:r>
              <w:rPr>
                <w:rFonts w:ascii="Times New Roman" w:hAnsi="Times New Roman"/>
                <w:b/>
                <w:sz w:val="21"/>
              </w:rPr>
              <w:t>Action planning; restructuring the environment</w:t>
            </w:r>
          </w:p>
        </w:tc>
        <w:tc>
          <w:tcPr>
            <w:tcW w:type="dxa" w:w="2340"/>
          </w:tcPr>
          <w:p>
            <w:pPr>
              <w:spacing w:line="276" w:lineRule="auto" w:after="40"/>
              <w:jc w:val="left"/>
            </w:pPr>
            <w:r/>
            <w:r>
              <w:rPr>
                <w:rFonts w:ascii="Times New Roman" w:hAnsi="Times New Roman"/>
                <w:b/>
                <w:sz w:val="21"/>
              </w:rPr>
              <w:t>RQ3</w:t>
            </w:r>
          </w:p>
        </w:tc>
      </w:tr>
      <w:tr>
        <w:tc>
          <w:tcPr>
            <w:tcW w:type="dxa" w:w="2340"/>
          </w:tcPr>
          <w:p>
            <w:pPr>
              <w:spacing w:line="276" w:lineRule="auto" w:after="40"/>
              <w:jc w:val="left"/>
            </w:pPr>
            <w:r/>
            <w:r>
              <w:rPr>
                <w:rFonts w:ascii="Times New Roman" w:hAnsi="Times New Roman"/>
                <w:sz w:val="21"/>
              </w:rPr>
              <w:t>Validation</w:t>
            </w:r>
          </w:p>
        </w:tc>
        <w:tc>
          <w:tcPr>
            <w:tcW w:type="dxa" w:w="2340"/>
          </w:tcPr>
          <w:p>
            <w:pPr>
              <w:spacing w:line="276" w:lineRule="auto" w:after="40"/>
              <w:jc w:val="left"/>
            </w:pPr>
            <w:r/>
            <w:r>
              <w:rPr>
                <w:rFonts w:ascii="Times New Roman" w:hAnsi="Times New Roman"/>
                <w:sz w:val="21"/>
              </w:rPr>
              <w:t>`scan_checkpoint`, cooldown, append-only ledger</w:t>
            </w:r>
          </w:p>
        </w:tc>
        <w:tc>
          <w:tcPr>
            <w:tcW w:type="dxa" w:w="2340"/>
          </w:tcPr>
          <w:p>
            <w:pPr>
              <w:spacing w:line="276" w:lineRule="auto" w:after="40"/>
              <w:jc w:val="left"/>
            </w:pPr>
            <w:r/>
            <w:r>
              <w:rPr>
                <w:rFonts w:ascii="Times New Roman" w:hAnsi="Times New Roman"/>
                <w:sz w:val="21"/>
              </w:rPr>
              <w:t>Contingent reward; monitoring; feedback</w:t>
            </w:r>
          </w:p>
        </w:tc>
        <w:tc>
          <w:tcPr>
            <w:tcW w:type="dxa" w:w="2340"/>
          </w:tcPr>
          <w:p>
            <w:pPr>
              <w:spacing w:line="276" w:lineRule="auto" w:after="40"/>
              <w:jc w:val="left"/>
            </w:pPr>
            <w:r/>
            <w:r>
              <w:rPr>
                <w:rFonts w:ascii="Times New Roman" w:hAnsi="Times New Roman"/>
                <w:sz w:val="21"/>
              </w:rPr>
              <w:t>RQ2, RQ3, RQ5</w:t>
            </w:r>
          </w:p>
        </w:tc>
      </w:tr>
      <w:tr>
        <w:tc>
          <w:tcPr>
            <w:tcW w:type="dxa" w:w="2340"/>
          </w:tcPr>
          <w:p>
            <w:pPr>
              <w:spacing w:line="276" w:lineRule="auto" w:after="40"/>
              <w:jc w:val="left"/>
            </w:pPr>
            <w:r/>
            <w:r>
              <w:rPr>
                <w:rFonts w:ascii="Times New Roman" w:hAnsi="Times New Roman"/>
                <w:sz w:val="21"/>
              </w:rPr>
              <w:t>Motivation</w:t>
            </w:r>
          </w:p>
        </w:tc>
        <w:tc>
          <w:tcPr>
            <w:tcW w:type="dxa" w:w="2340"/>
          </w:tcPr>
          <w:p>
            <w:pPr>
              <w:spacing w:line="276" w:lineRule="auto" w:after="40"/>
              <w:jc w:val="left"/>
            </w:pPr>
            <w:r/>
            <w:r>
              <w:rPr>
                <w:rFonts w:ascii="Times New Roman" w:hAnsi="Times New Roman"/>
                <w:sz w:val="21"/>
              </w:rPr>
              <w:t>Points, levels, badges, streaks, weekly leaderboard</w:t>
            </w:r>
          </w:p>
        </w:tc>
        <w:tc>
          <w:tcPr>
            <w:tcW w:type="dxa" w:w="2340"/>
          </w:tcPr>
          <w:p>
            <w:pPr>
              <w:spacing w:line="276" w:lineRule="auto" w:after="40"/>
              <w:jc w:val="left"/>
            </w:pPr>
            <w:r/>
            <w:r>
              <w:rPr>
                <w:rFonts w:ascii="Times New Roman" w:hAnsi="Times New Roman"/>
                <w:sz w:val="21"/>
              </w:rPr>
              <w:t>Competence feedback; social comparison; habit formation</w:t>
            </w:r>
          </w:p>
        </w:tc>
        <w:tc>
          <w:tcPr>
            <w:tcW w:type="dxa" w:w="2340"/>
          </w:tcPr>
          <w:p>
            <w:pPr>
              <w:spacing w:line="276" w:lineRule="auto" w:after="40"/>
              <w:jc w:val="left"/>
            </w:pPr>
            <w:r/>
            <w:r>
              <w:rPr>
                <w:rFonts w:ascii="Times New Roman" w:hAnsi="Times New Roman"/>
                <w:sz w:val="21"/>
              </w:rPr>
              <w:t>RQ1, RQ4</w:t>
            </w:r>
          </w:p>
        </w:tc>
      </w:tr>
      <w:tr>
        <w:tc>
          <w:tcPr>
            <w:tcW w:type="dxa" w:w="2340"/>
          </w:tcPr>
          <w:p>
            <w:pPr>
              <w:spacing w:line="276" w:lineRule="auto" w:after="40"/>
              <w:jc w:val="left"/>
            </w:pPr>
            <w:r/>
            <w:r>
              <w:rPr>
                <w:rFonts w:ascii="Times New Roman" w:hAnsi="Times New Roman"/>
                <w:sz w:val="21"/>
              </w:rPr>
              <w:t>Community and governance</w:t>
            </w:r>
          </w:p>
        </w:tc>
        <w:tc>
          <w:tcPr>
            <w:tcW w:type="dxa" w:w="2340"/>
          </w:tcPr>
          <w:p>
            <w:pPr>
              <w:spacing w:line="276" w:lineRule="auto" w:after="40"/>
              <w:jc w:val="left"/>
            </w:pPr>
            <w:r/>
            <w:r>
              <w:rPr>
                <w:rFonts w:ascii="Times New Roman" w:hAnsi="Times New Roman"/>
                <w:sz w:val="21"/>
              </w:rPr>
              <w:t>Clubs, shared challenges, administration dashboard</w:t>
            </w:r>
          </w:p>
        </w:tc>
        <w:tc>
          <w:tcPr>
            <w:tcW w:type="dxa" w:w="2340"/>
          </w:tcPr>
          <w:p>
            <w:pPr>
              <w:spacing w:line="276" w:lineRule="auto" w:after="40"/>
              <w:jc w:val="left"/>
            </w:pPr>
            <w:r/>
            <w:r>
              <w:rPr>
                <w:rFonts w:ascii="Times New Roman" w:hAnsi="Times New Roman"/>
                <w:sz w:val="21"/>
              </w:rPr>
              <w:t>Social support; identity; ongoing content supply</w:t>
            </w:r>
          </w:p>
        </w:tc>
        <w:tc>
          <w:tcPr>
            <w:tcW w:type="dxa" w:w="2340"/>
          </w:tcPr>
          <w:p>
            <w:pPr>
              <w:spacing w:line="276" w:lineRule="auto" w:after="40"/>
              <w:jc w:val="left"/>
            </w:pPr>
            <w:r/>
            <w:r>
              <w:rPr>
                <w:rFonts w:ascii="Times New Roman" w:hAnsi="Times New Roman"/>
                <w:sz w:val="21"/>
              </w:rPr>
              <w:t>RQ1, RQ6</w:t>
            </w:r>
          </w:p>
        </w:tc>
      </w:tr>
    </w:tbl>
    <w:p/>
    <w:p>
      <w:r>
        <w:t>Each layer corresponds to specific research questions: layer 2 answers research questions 2, 3, and 5; layer 3 answers questions 1 and 4; layer 4 and the evaluation of the whole answer question 6. This correspondence is what allows Chapter Five to evaluate the study against its objectives rather than merely reporting that the software runs.</w:t>
      </w:r>
    </w:p>
    <w:p>
      <w:r>
        <w:rPr>
          <w:b/>
        </w:rPr>
        <w:t>Falsifiability of the framework.</w:t>
      </w:r>
      <w:r>
        <w:t xml:space="preserve"> A framework that cannot fail is not a research contribution, so the four layers are stated with the observable signatures that would count against them. If the physical layer works but habit does not form, scans will be front-loaded and then decay within the window — a retention curve, not a cadence — and the intervention would need content rather than cues. If the validation layer fails, the ledger will show patterns inconsistent with physical presence (rapid sequences, clustered redeems) and rankings will lose their trust precondition (Section 2.7.2). If the motivation layer misfires, the differential-response prediction of Section 2.3.6 will show up as bottom-ranked disengagement without compensating activity on the personal-progress path. And if the governance layer is insufficient, checkpoint and challenge content will go stale and decay will resume despite everything below it working. Each signature is measurable from the data the system already emits — the ledger, the scan timestamps, rank positions, and content ages — which is why Chapter Six can recommend longitudinal ledger analysis as the natural next study rather than as an aspiration.</w:t>
      </w:r>
    </w:p>
    <w:p>
      <w:r>
        <w:rPr>
          <w:b/>
        </w:rPr>
        <w:t>From framework to requirements.</w:t>
      </w:r>
      <w:r>
        <w:t xml:space="preserve"> The framework also does the practical work of converting theory into testable engineering obligations, which is the bridge to Chapter Three. The physical layer implies a non-functional requirement of legibility and immediacy: the sign must be readable and the core action must complete in seconds, or the prompt fails at the ability step of the behaviour model (Section 2.5.1). The validation layer implies the security requirement that no reward path may depend on client-supplied values (NFR3), and the availability requirement that the shell render without a network (NFR4), because an intervention whose cue is physical cannot be hostage to connectivity. The motivation layer implies the usability requirement (NFR1) — a reward surface the student understands without instruction — and the differential-response requirement that a non-competitive path exist at equal visual weight. The governance layer implies the scalability and portability requirements (NFR5, NFR6): ranking must remain responsive as the student table grows, and a single codebase must reach every device a student actually owns. Each of these obligations is stated formally in Section 3.3.3 and implemented in Chapter Four, which is the concrete sense in which the framework is conceptual rather than decorative: it does not merely explain the system, it specifies it.</w:t>
      </w:r>
    </w:p>
    <w:p>
      <w:pPr>
        <w:pStyle w:val="Heading2"/>
      </w:pPr>
      <w:r>
        <w:t>2.11 Summary</w:t>
      </w:r>
    </w:p>
    <w:p>
      <w:r>
        <w:t>This chapter has reviewed the theoretical foundations (self-determination, flow, habit formation, and behaviour-change frameworks), the empirical evidence for gamification in physical activity including its limits and dark sides, the motivational affordances of individual mechanics and the heterogeneity of response they produce, mobile fitness applications with their engagement-decay and attrition problems, location-based activity systems and their novelty-decay problem, persuasive technology and the behaviour model that explains prompt placement, QR and NFC validation media together with an explicit five-threat model, leaderboard design through social comparison theory, the specific condition of student physical activity and its mental-health and academic correlates, and the comparison of existing systems — including the sensor-first alternative — against five dimensions. It closed by stating the research gap and the four-layer conceptual framework that the methodology operationalises.</w:t>
      </w:r>
    </w:p>
    <w:p>
      <w:r>
        <w:t>The review establishes that the research problem is neither "fitness apps do not exist" nor "gamification is unproven", but rather that no existing system unifies campus-anchored checkpoints, auditable server-side reward allocation, competition design informed by social comparison risks, and institutional governance. Chapter Three now turns to the methodology by which this claim is operationalised, built, and tested.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jc w:val="left"/>
      <w:outlineLvl w:val="0"/>
    </w:pPr>
    <w:rPr>
      <w:rFonts w:asciiTheme="majorHAnsi" w:eastAsiaTheme="majorEastAsia" w:hAnsiTheme="majorHAnsi" w:cstheme="majorBidi" w:ascii="Times New Roman" w:hAnsi="Times New Roman"/>
      <w:b/>
      <w:bCs/>
      <w:color w:val="181C1A"/>
      <w:sz w:val="32"/>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jc w:val="left"/>
      <w:outlineLvl w:val="1"/>
    </w:pPr>
    <w:rPr>
      <w:rFonts w:asciiTheme="majorHAnsi" w:eastAsiaTheme="majorEastAsia" w:hAnsiTheme="majorHAnsi" w:cstheme="majorBidi" w:ascii="Times New Roman" w:hAnsi="Times New Roman"/>
      <w:b/>
      <w:bCs/>
      <w:color w:val="181C1A"/>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181C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