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07BF" w14:textId="77777777" w:rsidR="004C73F6" w:rsidRDefault="004C73F6">
      <w:pPr>
        <w:spacing w:before="900"/>
      </w:pPr>
    </w:p>
    <w:p w14:paraId="7B0207C0" w14:textId="77777777" w:rsidR="004C73F6" w:rsidRDefault="00000000">
      <w:pPr>
        <w:jc w:val="center"/>
      </w:pPr>
      <w:r>
        <w:rPr>
          <w:b/>
          <w:bCs/>
          <w:color w:val="1F4E79"/>
          <w:sz w:val="30"/>
          <w:szCs w:val="30"/>
        </w:rPr>
        <w:t>Universidad Externado de Colombia</w:t>
      </w:r>
    </w:p>
    <w:p w14:paraId="7B0207C1" w14:textId="77777777" w:rsidR="004C73F6" w:rsidRDefault="00000000">
      <w:pPr>
        <w:spacing w:before="40"/>
        <w:jc w:val="center"/>
      </w:pPr>
      <w:r>
        <w:rPr>
          <w:color w:val="2E74B5"/>
          <w:sz w:val="20"/>
          <w:szCs w:val="20"/>
        </w:rPr>
        <w:t xml:space="preserve">Facultad de Ciencia de Datos · Machine </w:t>
      </w:r>
      <w:proofErr w:type="spellStart"/>
      <w:r>
        <w:rPr>
          <w:color w:val="2E74B5"/>
          <w:sz w:val="20"/>
          <w:szCs w:val="20"/>
        </w:rPr>
        <w:t>Learning</w:t>
      </w:r>
      <w:proofErr w:type="spellEnd"/>
      <w:r>
        <w:rPr>
          <w:color w:val="2E74B5"/>
          <w:sz w:val="20"/>
          <w:szCs w:val="20"/>
        </w:rPr>
        <w:t xml:space="preserve"> I</w:t>
      </w:r>
    </w:p>
    <w:p w14:paraId="7B0207C2" w14:textId="77777777" w:rsidR="004C73F6" w:rsidRDefault="00000000">
      <w:pPr>
        <w:spacing w:before="500"/>
        <w:jc w:val="center"/>
      </w:pPr>
      <w:r>
        <w:rPr>
          <w:b/>
          <w:bCs/>
          <w:color w:val="1F4E79"/>
          <w:sz w:val="40"/>
          <w:szCs w:val="40"/>
        </w:rPr>
        <w:t xml:space="preserve">Localización interior mediante RSSI </w:t>
      </w:r>
      <w:proofErr w:type="spellStart"/>
      <w:r>
        <w:rPr>
          <w:b/>
          <w:bCs/>
          <w:color w:val="1F4E79"/>
          <w:sz w:val="40"/>
          <w:szCs w:val="40"/>
        </w:rPr>
        <w:t>WiFi</w:t>
      </w:r>
      <w:proofErr w:type="spellEnd"/>
      <w:r>
        <w:rPr>
          <w:b/>
          <w:bCs/>
          <w:color w:val="1F4E79"/>
          <w:sz w:val="40"/>
          <w:szCs w:val="40"/>
        </w:rPr>
        <w:t xml:space="preserve"> y </w:t>
      </w:r>
      <w:proofErr w:type="spellStart"/>
      <w:r>
        <w:rPr>
          <w:b/>
          <w:bCs/>
          <w:color w:val="1F4E79"/>
          <w:sz w:val="40"/>
          <w:szCs w:val="40"/>
        </w:rPr>
        <w:t>kNN</w:t>
      </w:r>
      <w:proofErr w:type="spellEnd"/>
    </w:p>
    <w:p w14:paraId="7B0207C3" w14:textId="77777777" w:rsidR="004C73F6" w:rsidRDefault="00000000">
      <w:pPr>
        <w:spacing w:before="100"/>
        <w:jc w:val="center"/>
      </w:pPr>
      <w:r>
        <w:rPr>
          <w:i/>
          <w:iCs/>
          <w:color w:val="2E74B5"/>
        </w:rPr>
        <w:t>Reconstrucción del artículo QA-</w:t>
      </w:r>
      <w:proofErr w:type="spellStart"/>
      <w:r>
        <w:rPr>
          <w:i/>
          <w:iCs/>
          <w:color w:val="2E74B5"/>
        </w:rPr>
        <w:t>kNN</w:t>
      </w:r>
      <w:proofErr w:type="spellEnd"/>
      <w:r>
        <w:rPr>
          <w:i/>
          <w:iCs/>
          <w:color w:val="2E74B5"/>
        </w:rPr>
        <w:t xml:space="preserve"> en un edificio universitario colombiano</w:t>
      </w:r>
    </w:p>
    <w:p w14:paraId="7B0207C4" w14:textId="77777777" w:rsidR="004C73F6" w:rsidRDefault="00000000">
      <w:pPr>
        <w:spacing w:before="140"/>
        <w:jc w:val="center"/>
      </w:pPr>
      <w:r>
        <w:rPr>
          <w:color w:val="2E74B5"/>
          <w:sz w:val="24"/>
          <w:szCs w:val="24"/>
        </w:rPr>
        <w:t>Proyecto Integrador — Primera entrega</w:t>
      </w:r>
    </w:p>
    <w:p w14:paraId="7B0207C5" w14:textId="77777777" w:rsidR="004C73F6" w:rsidRDefault="00000000">
      <w:pPr>
        <w:spacing w:before="500"/>
        <w:jc w:val="center"/>
      </w:pPr>
      <w:r>
        <w:rPr>
          <w:b/>
          <w:bCs/>
          <w:color w:val="1F4E79"/>
          <w:sz w:val="20"/>
          <w:szCs w:val="20"/>
        </w:rPr>
        <w:t>Sebastián Ramos</w:t>
      </w:r>
    </w:p>
    <w:p w14:paraId="7B0207C6" w14:textId="77777777" w:rsidR="004C73F6" w:rsidRDefault="00000000">
      <w:pPr>
        <w:spacing w:before="40"/>
        <w:jc w:val="center"/>
      </w:pPr>
      <w:r>
        <w:rPr>
          <w:b/>
          <w:bCs/>
          <w:color w:val="1F4E79"/>
          <w:sz w:val="20"/>
          <w:szCs w:val="20"/>
        </w:rPr>
        <w:t>Daniel Cipagauta</w:t>
      </w:r>
    </w:p>
    <w:p w14:paraId="7B0207C7" w14:textId="77777777" w:rsidR="004C73F6" w:rsidRDefault="00000000">
      <w:r>
        <w:br w:type="page"/>
      </w:r>
    </w:p>
    <w:p w14:paraId="7B0207C8" w14:textId="77777777" w:rsidR="004C73F6" w:rsidRDefault="00000000">
      <w:pPr>
        <w:pStyle w:val="Ttulo1"/>
      </w:pPr>
      <w:r>
        <w:lastRenderedPageBreak/>
        <w:t>1. Comprensión y sustentación del artículo base</w:t>
      </w:r>
    </w:p>
    <w:p w14:paraId="7B0207C9" w14:textId="77777777" w:rsidR="004C73F6" w:rsidRDefault="00000000">
      <w:pPr>
        <w:spacing w:after="140"/>
      </w:pPr>
      <w:r>
        <w:rPr>
          <w:i/>
          <w:iCs/>
        </w:rPr>
        <w:t>Artículo: Ferreira, D., Souza, R., &amp; Carvalho, C. (2020). QA-</w:t>
      </w:r>
      <w:proofErr w:type="spellStart"/>
      <w:r>
        <w:rPr>
          <w:i/>
          <w:iCs/>
        </w:rPr>
        <w:t>kNN</w:t>
      </w:r>
      <w:proofErr w:type="spellEnd"/>
      <w:r>
        <w:rPr>
          <w:i/>
          <w:iCs/>
        </w:rPr>
        <w:t xml:space="preserve">: </w:t>
      </w:r>
      <w:proofErr w:type="spellStart"/>
      <w:r>
        <w:rPr>
          <w:i/>
          <w:iCs/>
        </w:rPr>
        <w:t>Indoor</w:t>
      </w:r>
      <w:proofErr w:type="spellEnd"/>
      <w:r>
        <w:rPr>
          <w:i/>
          <w:iCs/>
        </w:rPr>
        <w:t xml:space="preserve"> </w:t>
      </w:r>
      <w:proofErr w:type="spellStart"/>
      <w:r>
        <w:rPr>
          <w:i/>
          <w:iCs/>
        </w:rPr>
        <w:t>Localization</w:t>
      </w:r>
      <w:proofErr w:type="spellEnd"/>
      <w:r>
        <w:rPr>
          <w:i/>
          <w:iCs/>
        </w:rPr>
        <w:t xml:space="preserve"> Based on </w:t>
      </w:r>
      <w:proofErr w:type="spellStart"/>
      <w:r>
        <w:rPr>
          <w:i/>
          <w:iCs/>
        </w:rPr>
        <w:t>Quartile</w:t>
      </w:r>
      <w:proofErr w:type="spellEnd"/>
      <w:r>
        <w:rPr>
          <w:i/>
          <w:iCs/>
        </w:rPr>
        <w:t xml:space="preserve"> </w:t>
      </w:r>
      <w:proofErr w:type="spellStart"/>
      <w:r>
        <w:rPr>
          <w:i/>
          <w:iCs/>
        </w:rPr>
        <w:t>Analysis</w:t>
      </w:r>
      <w:proofErr w:type="spellEnd"/>
      <w:r>
        <w:rPr>
          <w:i/>
          <w:iCs/>
        </w:rPr>
        <w:t xml:space="preserve"> and the </w:t>
      </w:r>
      <w:proofErr w:type="spellStart"/>
      <w:r>
        <w:rPr>
          <w:i/>
          <w:iCs/>
        </w:rPr>
        <w:t>kNN</w:t>
      </w:r>
      <w:proofErr w:type="spellEnd"/>
      <w:r>
        <w:rPr>
          <w:i/>
          <w:iCs/>
        </w:rPr>
        <w:t xml:space="preserve"> </w:t>
      </w:r>
      <w:proofErr w:type="spellStart"/>
      <w:r>
        <w:rPr>
          <w:i/>
          <w:iCs/>
        </w:rPr>
        <w:t>Classifier</w:t>
      </w:r>
      <w:proofErr w:type="spellEnd"/>
      <w:r>
        <w:rPr>
          <w:i/>
          <w:iCs/>
        </w:rPr>
        <w:t xml:space="preserve"> for Wireless Networks. </w:t>
      </w:r>
      <w:proofErr w:type="spellStart"/>
      <w:r>
        <w:rPr>
          <w:i/>
          <w:iCs/>
        </w:rPr>
        <w:t>Sensors</w:t>
      </w:r>
      <w:proofErr w:type="spellEnd"/>
      <w:r>
        <w:rPr>
          <w:i/>
          <w:iCs/>
        </w:rPr>
        <w:t>, 20(17), 4714.</w:t>
      </w:r>
    </w:p>
    <w:p w14:paraId="7B0207CA" w14:textId="77777777" w:rsidR="004C73F6" w:rsidRDefault="00000000">
      <w:pPr>
        <w:pStyle w:val="Ttulo2"/>
      </w:pPr>
      <w:r>
        <w:t>1.1 Problema</w:t>
      </w:r>
    </w:p>
    <w:p w14:paraId="7B0207CB" w14:textId="77777777" w:rsidR="004C73F6" w:rsidRDefault="00000000">
      <w:pPr>
        <w:spacing w:after="120"/>
      </w:pPr>
      <w:r>
        <w:t xml:space="preserve">El GPS no funciona de forma confiable en interiores, pero muchas aplicaciones (domótica, salud, logística) necesitan ubicar un dispositivo dentro de un edificio. La alternativa más económica es usar la intensidad de la señal </w:t>
      </w:r>
      <w:proofErr w:type="spellStart"/>
      <w:r>
        <w:t>WiFi</w:t>
      </w:r>
      <w:proofErr w:type="spellEnd"/>
      <w:r>
        <w:t xml:space="preserve"> (RSSI, </w:t>
      </w:r>
      <w:proofErr w:type="spellStart"/>
      <w:r>
        <w:t>Received</w:t>
      </w:r>
      <w:proofErr w:type="spellEnd"/>
      <w:r>
        <w:t xml:space="preserve"> Signal Strength </w:t>
      </w:r>
      <w:proofErr w:type="spellStart"/>
      <w:r>
        <w:t>Indicator</w:t>
      </w:r>
      <w:proofErr w:type="spellEnd"/>
      <w:r>
        <w:t>) que el dispositivo recibe de varios puntos de acceso (</w:t>
      </w:r>
      <w:proofErr w:type="spellStart"/>
      <w:r>
        <w:t>APs</w:t>
      </w:r>
      <w:proofErr w:type="spellEnd"/>
      <w:r>
        <w:t>) ya instalados. El problema es que la RSSI cruda es ruidosa: interferencia, obstáculos y trayectos múltiples hacen que la misma posición produzca lecturas distintas en momentos distintos, y que posiciones distintas produzcan lecturas parecidas — degradando la precisión de la localización.</w:t>
      </w:r>
    </w:p>
    <w:p w14:paraId="7B0207CC" w14:textId="77777777" w:rsidR="004C73F6" w:rsidRDefault="00000000">
      <w:pPr>
        <w:pStyle w:val="Ttulo2"/>
      </w:pPr>
      <w:r>
        <w:t>1.2 Modelo y aporte del artículo</w:t>
      </w:r>
    </w:p>
    <w:p w14:paraId="7B0207CD" w14:textId="77777777" w:rsidR="004C73F6" w:rsidRDefault="00000000">
      <w:pPr>
        <w:spacing w:after="120"/>
      </w:pPr>
      <w:r>
        <w:t xml:space="preserve">El algoritmo de clasificación es </w:t>
      </w:r>
      <w:proofErr w:type="spellStart"/>
      <w:r>
        <w:t>kNN</w:t>
      </w:r>
      <w:proofErr w:type="spellEnd"/>
      <w:r>
        <w:t xml:space="preserve"> con distancia euclidiana, en dos variantes: (I) asignar la posición del punto de referencia (RP) mayoritario entre los k vecinos más cercanos, y (II) estimar el centroide ponderado de los </w:t>
      </w:r>
      <w:proofErr w:type="spellStart"/>
      <w:r>
        <w:t>RPs</w:t>
      </w:r>
      <w:proofErr w:type="spellEnd"/>
      <w:r>
        <w:t xml:space="preserve"> vecinos (una posición continua). El aporte real del artículo no es el algoritmo —</w:t>
      </w:r>
      <w:proofErr w:type="spellStart"/>
      <w:r>
        <w:t>kNN</w:t>
      </w:r>
      <w:proofErr w:type="spellEnd"/>
      <w:r>
        <w:t xml:space="preserve"> ya es clásico en este dominio— sino el preprocesamiento: en vez de representar cada AP con su RSSI cruda o promedio (como hacían los trabajos previos), lo representan con sus tres cuartiles (Q1, Q2, Q3) calculados sobre varias lecturas repetidas. Con n </w:t>
      </w:r>
      <w:proofErr w:type="spellStart"/>
      <w:r>
        <w:t>APs</w:t>
      </w:r>
      <w:proofErr w:type="spellEnd"/>
      <w:r>
        <w:t>, cada instancia queda descrita por un vector de 3n características. Esta 'huella' estadística diferencia posiciones que, con solo el promedio, resultarían indistinguibles.</w:t>
      </w:r>
    </w:p>
    <w:p w14:paraId="7B0207CE" w14:textId="77777777" w:rsidR="004C73F6" w:rsidRDefault="00000000">
      <w:pPr>
        <w:pStyle w:val="Ttulo2"/>
      </w:pPr>
      <w:r>
        <w:t>1.3 Supuestos</w:t>
      </w:r>
    </w:p>
    <w:p w14:paraId="7B0207CF" w14:textId="77777777" w:rsidR="004C73F6" w:rsidRDefault="00000000">
      <w:pPr>
        <w:pStyle w:val="Prrafodelista"/>
        <w:numPr>
          <w:ilvl w:val="0"/>
          <w:numId w:val="2"/>
        </w:numPr>
        <w:spacing w:after="60"/>
      </w:pPr>
      <w:r>
        <w:t>aunque la RSSI varía lectura a lectura, su distribución (y por tanto sus cuartiles) es estable en el tiempo para una misma posición — es lo que permite usarla como huella digital.</w:t>
      </w:r>
    </w:p>
    <w:p w14:paraId="7B0207D0" w14:textId="77777777" w:rsidR="004C73F6" w:rsidRDefault="00000000">
      <w:pPr>
        <w:pStyle w:val="Prrafodelista"/>
        <w:numPr>
          <w:ilvl w:val="0"/>
          <w:numId w:val="2"/>
        </w:numPr>
        <w:spacing w:after="60"/>
      </w:pPr>
      <w:proofErr w:type="spellStart"/>
      <w:r>
        <w:t>kNN</w:t>
      </w:r>
      <w:proofErr w:type="spellEnd"/>
      <w:r>
        <w:t xml:space="preserve"> no asume una distribución particular de los datos; esto es apropiado porque, como los propios autores muestran, ni la aproximación cuadrática ni el modelo de sombra log-normal ajustan bien la RSSI real medida.</w:t>
      </w:r>
    </w:p>
    <w:p w14:paraId="7B0207D1" w14:textId="77777777" w:rsidR="004C73F6" w:rsidRDefault="00000000">
      <w:pPr>
        <w:pStyle w:val="Prrafodelista"/>
        <w:numPr>
          <w:ilvl w:val="0"/>
          <w:numId w:val="2"/>
        </w:numPr>
        <w:spacing w:after="60"/>
      </w:pPr>
      <w:r>
        <w:t xml:space="preserve">el conjunto de entrenamiento se balancea (mismo número de instancias por zona) mediante muestreo estratificado, para que ninguna zona esté </w:t>
      </w:r>
      <w:proofErr w:type="spellStart"/>
      <w:r>
        <w:t>sobre-representada</w:t>
      </w:r>
      <w:proofErr w:type="spellEnd"/>
      <w:r>
        <w:t>.</w:t>
      </w:r>
    </w:p>
    <w:p w14:paraId="7B0207D2" w14:textId="77777777" w:rsidR="004C73F6" w:rsidRDefault="00000000">
      <w:pPr>
        <w:pStyle w:val="Ttulo2"/>
      </w:pPr>
      <w:r>
        <w:t>1.4 Resultados</w:t>
      </w:r>
    </w:p>
    <w:p w14:paraId="7B0207D3" w14:textId="77777777" w:rsidR="004C73F6" w:rsidRDefault="00000000">
      <w:pPr>
        <w:spacing w:after="120"/>
      </w:pPr>
      <w:r>
        <w:t xml:space="preserve">En el entorno real (3.50 m × 3.56 m, 8 </w:t>
      </w:r>
      <w:proofErr w:type="spellStart"/>
      <w:r>
        <w:t>APs</w:t>
      </w:r>
      <w:proofErr w:type="spellEnd"/>
      <w:r>
        <w:t xml:space="preserve">, 16 zonas), el método I (RP mayoritario + cuartiles) logró un error medio de localización (ME) de 0 metros con solo 4 </w:t>
      </w:r>
      <w:proofErr w:type="spellStart"/>
      <w:r>
        <w:t>APs</w:t>
      </w:r>
      <w:proofErr w:type="spellEnd"/>
      <w:r>
        <w:t xml:space="preserve"> y k=1, superando a los dos métodos de referencia de la literatura (3-PCA y </w:t>
      </w:r>
      <w:proofErr w:type="spellStart"/>
      <w:r>
        <w:t>Powed</w:t>
      </w:r>
      <w:proofErr w:type="spellEnd"/>
      <w:r>
        <w:t>-Sørensen). En entornos simulados más grandes (7×7 hasta 56×56 m) el error crece de forma predecible al disminuir la densidad de puntos de referencia por m², llegando a 0.490 m en el escenario más denso (7×7 m) y hasta 5.5 m en el más disperso (56×56 m) con el método II (centroide).</w:t>
      </w:r>
    </w:p>
    <w:p w14:paraId="7B0207D4" w14:textId="77777777" w:rsidR="004C73F6" w:rsidRDefault="00000000">
      <w:pPr>
        <w:pStyle w:val="Ttulo2"/>
      </w:pPr>
      <w:r>
        <w:t>1.5 Limitaciones</w:t>
      </w:r>
    </w:p>
    <w:p w14:paraId="7B0207D5" w14:textId="77777777" w:rsidR="004C73F6" w:rsidRDefault="00000000">
      <w:pPr>
        <w:pStyle w:val="Prrafodelista"/>
        <w:numPr>
          <w:ilvl w:val="0"/>
          <w:numId w:val="2"/>
        </w:numPr>
        <w:spacing w:after="60"/>
      </w:pPr>
      <w:r>
        <w:t>el entorno real de prueba es muy pequeño (12.5 m²) con solo 16 posiciones fijas: la evidencia empírica corresponde a un caso casi ideal.</w:t>
      </w:r>
    </w:p>
    <w:p w14:paraId="7B0207D6" w14:textId="77777777" w:rsidR="004C73F6" w:rsidRDefault="00000000">
      <w:pPr>
        <w:pStyle w:val="Prrafodelista"/>
        <w:numPr>
          <w:ilvl w:val="0"/>
          <w:numId w:val="2"/>
        </w:numPr>
        <w:spacing w:after="60"/>
      </w:pPr>
      <w:r>
        <w:t>los resultados en espacios grandes dependen enteramente de la simulación, no de mediciones reales; no está validado que el modelo de propagación simulado capture toda la complejidad de un interior real de gran tamaño.</w:t>
      </w:r>
    </w:p>
    <w:p w14:paraId="7B0207D7" w14:textId="77777777" w:rsidR="004C73F6" w:rsidRDefault="00000000">
      <w:pPr>
        <w:pStyle w:val="Prrafodelista"/>
        <w:numPr>
          <w:ilvl w:val="0"/>
          <w:numId w:val="2"/>
        </w:numPr>
        <w:spacing w:after="60"/>
      </w:pPr>
      <w:r>
        <w:t xml:space="preserve">el hardware (módulos ESP8266, estándar 802.11g) fija condiciones específicas que podrían no generalizar a otros chipsets o bandas (5 GHz, </w:t>
      </w:r>
      <w:proofErr w:type="spellStart"/>
      <w:r>
        <w:t>WiFi</w:t>
      </w:r>
      <w:proofErr w:type="spellEnd"/>
      <w:r>
        <w:t xml:space="preserve"> 6).</w:t>
      </w:r>
    </w:p>
    <w:p w14:paraId="7B0207D8" w14:textId="77777777" w:rsidR="004C73F6" w:rsidRDefault="00000000">
      <w:pPr>
        <w:pStyle w:val="Prrafodelista"/>
        <w:numPr>
          <w:ilvl w:val="0"/>
          <w:numId w:val="2"/>
        </w:numPr>
        <w:spacing w:after="60"/>
      </w:pPr>
      <w:r>
        <w:t>el método exige una fase de calibración (recolectar RSSI en cada zona) cuyo costo operativo crece con el tamaño del espacio.</w:t>
      </w:r>
    </w:p>
    <w:p w14:paraId="7819FAC0" w14:textId="77777777" w:rsidR="002E3B4B" w:rsidRDefault="002E3B4B" w:rsidP="002E3B4B">
      <w:pPr>
        <w:spacing w:after="60"/>
      </w:pPr>
    </w:p>
    <w:p w14:paraId="7B0207D9" w14:textId="77777777" w:rsidR="004C73F6" w:rsidRDefault="00000000">
      <w:pPr>
        <w:pStyle w:val="Ttulo1"/>
      </w:pPr>
      <w:r>
        <w:lastRenderedPageBreak/>
        <w:t>2. Planteamiento del problema</w:t>
      </w:r>
    </w:p>
    <w:p w14:paraId="7B0207DA" w14:textId="77777777" w:rsidR="004C73F6" w:rsidRDefault="00000000">
      <w:pPr>
        <w:spacing w:after="120"/>
      </w:pPr>
      <w:r>
        <w:t xml:space="preserve">Pregunta a responder: ¿es posible predecir, con alta exactitud, la zona interior en la que se encuentra un dispositivo dentro de un edificio colombiano (un piso de un campus universitario, centro comercial o bodega logística), usando únicamente la RSSI de los puntos de acceso </w:t>
      </w:r>
      <w:proofErr w:type="spellStart"/>
      <w:r>
        <w:t>WiFi</w:t>
      </w:r>
      <w:proofErr w:type="spellEnd"/>
      <w:r>
        <w:t xml:space="preserve"> ya instalados y la representación por cuartiles propuesta en el artículo?</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960"/>
      </w:tblGrid>
      <w:tr w:rsidR="004C73F6" w14:paraId="7B0207DD" w14:textId="77777777">
        <w:tblPrEx>
          <w:tblCellMar>
            <w:top w:w="0" w:type="dxa"/>
            <w:bottom w:w="0" w:type="dxa"/>
          </w:tblCellMar>
        </w:tblPrEx>
        <w:trPr>
          <w:tblHeader/>
        </w:trPr>
        <w:tc>
          <w:tcPr>
            <w:tcW w:w="3200" w:type="dxa"/>
            <w:shd w:val="clear" w:color="auto" w:fill="1F4E79"/>
            <w:tcMar>
              <w:top w:w="50" w:type="dxa"/>
              <w:left w:w="80" w:type="dxa"/>
              <w:bottom w:w="50" w:type="dxa"/>
              <w:right w:w="80" w:type="dxa"/>
            </w:tcMar>
            <w:vAlign w:val="center"/>
          </w:tcPr>
          <w:p w14:paraId="7B0207DB" w14:textId="77777777" w:rsidR="004C73F6" w:rsidRDefault="00000000">
            <w:r>
              <w:rPr>
                <w:b/>
                <w:bCs/>
                <w:color w:val="FFFFFF"/>
                <w:sz w:val="18"/>
                <w:szCs w:val="18"/>
              </w:rPr>
              <w:t>Elemento</w:t>
            </w:r>
          </w:p>
        </w:tc>
        <w:tc>
          <w:tcPr>
            <w:tcW w:w="5960" w:type="dxa"/>
            <w:shd w:val="clear" w:color="auto" w:fill="1F4E79"/>
            <w:tcMar>
              <w:top w:w="50" w:type="dxa"/>
              <w:left w:w="80" w:type="dxa"/>
              <w:bottom w:w="50" w:type="dxa"/>
              <w:right w:w="80" w:type="dxa"/>
            </w:tcMar>
            <w:vAlign w:val="center"/>
          </w:tcPr>
          <w:p w14:paraId="7B0207DC" w14:textId="77777777" w:rsidR="004C73F6" w:rsidRDefault="00000000">
            <w:r>
              <w:rPr>
                <w:b/>
                <w:bCs/>
                <w:color w:val="FFFFFF"/>
                <w:sz w:val="18"/>
                <w:szCs w:val="18"/>
              </w:rPr>
              <w:t>Definición</w:t>
            </w:r>
          </w:p>
        </w:tc>
      </w:tr>
      <w:tr w:rsidR="004C73F6" w14:paraId="7B0207E0" w14:textId="77777777">
        <w:tblPrEx>
          <w:tblCellMar>
            <w:top w:w="0" w:type="dxa"/>
            <w:bottom w:w="0" w:type="dxa"/>
          </w:tblCellMar>
        </w:tblPrEx>
        <w:tc>
          <w:tcPr>
            <w:tcW w:w="3200" w:type="dxa"/>
            <w:tcMar>
              <w:top w:w="45" w:type="dxa"/>
              <w:left w:w="80" w:type="dxa"/>
              <w:bottom w:w="45" w:type="dxa"/>
              <w:right w:w="80" w:type="dxa"/>
            </w:tcMar>
            <w:vAlign w:val="center"/>
          </w:tcPr>
          <w:p w14:paraId="7B0207DE" w14:textId="77777777" w:rsidR="004C73F6" w:rsidRDefault="00000000">
            <w:r>
              <w:rPr>
                <w:sz w:val="18"/>
                <w:szCs w:val="18"/>
              </w:rPr>
              <w:t>Tipo de tarea</w:t>
            </w:r>
          </w:p>
        </w:tc>
        <w:tc>
          <w:tcPr>
            <w:tcW w:w="5960" w:type="dxa"/>
            <w:tcMar>
              <w:top w:w="45" w:type="dxa"/>
              <w:left w:w="80" w:type="dxa"/>
              <w:bottom w:w="45" w:type="dxa"/>
              <w:right w:w="80" w:type="dxa"/>
            </w:tcMar>
            <w:vAlign w:val="center"/>
          </w:tcPr>
          <w:p w14:paraId="7B0207DF" w14:textId="77777777" w:rsidR="004C73F6" w:rsidRDefault="00000000">
            <w:r>
              <w:rPr>
                <w:sz w:val="18"/>
                <w:szCs w:val="18"/>
              </w:rPr>
              <w:t>Clasificación supervisada multiclase</w:t>
            </w:r>
          </w:p>
        </w:tc>
      </w:tr>
      <w:tr w:rsidR="004C73F6" w14:paraId="7B0207E3" w14:textId="77777777">
        <w:tblPrEx>
          <w:tblCellMar>
            <w:top w:w="0" w:type="dxa"/>
            <w:bottom w:w="0" w:type="dxa"/>
          </w:tblCellMar>
        </w:tblPrEx>
        <w:tc>
          <w:tcPr>
            <w:tcW w:w="3200" w:type="dxa"/>
            <w:tcMar>
              <w:top w:w="45" w:type="dxa"/>
              <w:left w:w="80" w:type="dxa"/>
              <w:bottom w:w="45" w:type="dxa"/>
              <w:right w:w="80" w:type="dxa"/>
            </w:tcMar>
            <w:vAlign w:val="center"/>
          </w:tcPr>
          <w:p w14:paraId="7B0207E1" w14:textId="77777777" w:rsidR="004C73F6" w:rsidRDefault="00000000">
            <w:r>
              <w:rPr>
                <w:sz w:val="18"/>
                <w:szCs w:val="18"/>
              </w:rPr>
              <w:t>Variable objetivo</w:t>
            </w:r>
          </w:p>
        </w:tc>
        <w:tc>
          <w:tcPr>
            <w:tcW w:w="5960" w:type="dxa"/>
            <w:tcMar>
              <w:top w:w="45" w:type="dxa"/>
              <w:left w:w="80" w:type="dxa"/>
              <w:bottom w:w="45" w:type="dxa"/>
              <w:right w:w="80" w:type="dxa"/>
            </w:tcMar>
            <w:vAlign w:val="center"/>
          </w:tcPr>
          <w:p w14:paraId="7B0207E2" w14:textId="77777777" w:rsidR="004C73F6" w:rsidRDefault="00000000">
            <w:r>
              <w:rPr>
                <w:sz w:val="18"/>
                <w:szCs w:val="18"/>
              </w:rPr>
              <w:t>Zona / punto de referencia (16–18 clases, categórica)</w:t>
            </w:r>
          </w:p>
        </w:tc>
      </w:tr>
      <w:tr w:rsidR="004C73F6" w14:paraId="7B0207E6" w14:textId="77777777">
        <w:tblPrEx>
          <w:tblCellMar>
            <w:top w:w="0" w:type="dxa"/>
            <w:bottom w:w="0" w:type="dxa"/>
          </w:tblCellMar>
        </w:tblPrEx>
        <w:tc>
          <w:tcPr>
            <w:tcW w:w="3200" w:type="dxa"/>
            <w:tcMar>
              <w:top w:w="45" w:type="dxa"/>
              <w:left w:w="80" w:type="dxa"/>
              <w:bottom w:w="45" w:type="dxa"/>
              <w:right w:w="80" w:type="dxa"/>
            </w:tcMar>
            <w:vAlign w:val="center"/>
          </w:tcPr>
          <w:p w14:paraId="7B0207E4" w14:textId="77777777" w:rsidR="004C73F6" w:rsidRDefault="00000000">
            <w:r>
              <w:rPr>
                <w:sz w:val="18"/>
                <w:szCs w:val="18"/>
              </w:rPr>
              <w:t>Predictores</w:t>
            </w:r>
          </w:p>
        </w:tc>
        <w:tc>
          <w:tcPr>
            <w:tcW w:w="5960" w:type="dxa"/>
            <w:tcMar>
              <w:top w:w="45" w:type="dxa"/>
              <w:left w:w="80" w:type="dxa"/>
              <w:bottom w:w="45" w:type="dxa"/>
              <w:right w:w="80" w:type="dxa"/>
            </w:tcMar>
            <w:vAlign w:val="center"/>
          </w:tcPr>
          <w:p w14:paraId="7B0207E5" w14:textId="77777777" w:rsidR="004C73F6" w:rsidRDefault="00000000">
            <w:r>
              <w:rPr>
                <w:sz w:val="18"/>
                <w:szCs w:val="18"/>
              </w:rPr>
              <w:t>Cuartiles (Q1, Q2, Q3) de la RSSI de cada AP visible (3n variables continuas)</w:t>
            </w:r>
          </w:p>
        </w:tc>
      </w:tr>
      <w:tr w:rsidR="004C73F6" w14:paraId="7B0207E9" w14:textId="77777777">
        <w:tblPrEx>
          <w:tblCellMar>
            <w:top w:w="0" w:type="dxa"/>
            <w:bottom w:w="0" w:type="dxa"/>
          </w:tblCellMar>
        </w:tblPrEx>
        <w:tc>
          <w:tcPr>
            <w:tcW w:w="3200" w:type="dxa"/>
            <w:tcMar>
              <w:top w:w="45" w:type="dxa"/>
              <w:left w:w="80" w:type="dxa"/>
              <w:bottom w:w="45" w:type="dxa"/>
              <w:right w:w="80" w:type="dxa"/>
            </w:tcMar>
            <w:vAlign w:val="center"/>
          </w:tcPr>
          <w:p w14:paraId="7B0207E7" w14:textId="77777777" w:rsidR="004C73F6" w:rsidRDefault="00000000">
            <w:r>
              <w:rPr>
                <w:sz w:val="18"/>
                <w:szCs w:val="18"/>
              </w:rPr>
              <w:t>Unidad de observación</w:t>
            </w:r>
          </w:p>
        </w:tc>
        <w:tc>
          <w:tcPr>
            <w:tcW w:w="5960" w:type="dxa"/>
            <w:tcMar>
              <w:top w:w="45" w:type="dxa"/>
              <w:left w:w="80" w:type="dxa"/>
              <w:bottom w:w="45" w:type="dxa"/>
              <w:right w:w="80" w:type="dxa"/>
            </w:tcMar>
            <w:vAlign w:val="center"/>
          </w:tcPr>
          <w:p w14:paraId="7B0207E8" w14:textId="77777777" w:rsidR="004C73F6" w:rsidRDefault="00000000">
            <w:r>
              <w:rPr>
                <w:sz w:val="18"/>
                <w:szCs w:val="18"/>
              </w:rPr>
              <w:t>Una instancia = un conjunto de lecturas RSSI resumidas en cuartiles, tomado en una zona y un momento dados</w:t>
            </w:r>
          </w:p>
        </w:tc>
      </w:tr>
    </w:tbl>
    <w:p w14:paraId="7B0207EA" w14:textId="77777777" w:rsidR="004C73F6" w:rsidRDefault="004C73F6">
      <w:pPr>
        <w:spacing w:after="140"/>
      </w:pPr>
    </w:p>
    <w:p w14:paraId="7B0207EB" w14:textId="77777777" w:rsidR="004C73F6" w:rsidRDefault="00000000">
      <w:pPr>
        <w:spacing w:after="120"/>
      </w:pPr>
      <w:r>
        <w:t xml:space="preserve">Relevancia en el contexto colombiano/latinoamericano: la localización interior por </w:t>
      </w:r>
      <w:proofErr w:type="spellStart"/>
      <w:r>
        <w:t>WiFi</w:t>
      </w:r>
      <w:proofErr w:type="spellEnd"/>
      <w:r>
        <w:t xml:space="preserve"> no requiere infraestructura adicional costosa (a diferencia de </w:t>
      </w:r>
      <w:proofErr w:type="spellStart"/>
      <w:r>
        <w:t>beacons</w:t>
      </w:r>
      <w:proofErr w:type="spellEnd"/>
      <w:r>
        <w:t xml:space="preserve"> Bluetooth o UWB), lo que la hace viable para instituciones locales con presupuesto limitado. Tiene aplicaciones directas en navegación asistida dentro de campus universitarios y centros comerciales, en rastreo de activos en bodegas y centros logísticos —sector en fuerte crecimiento en Colombia por el comercio electrónico— y en localización de personal o equipos en hospitales.</w:t>
      </w:r>
    </w:p>
    <w:p w14:paraId="7B0207EC" w14:textId="77777777" w:rsidR="004C73F6" w:rsidRDefault="00000000">
      <w:pPr>
        <w:spacing w:after="60"/>
      </w:pPr>
      <w:r>
        <w:t xml:space="preserve">Objetivos del artículo a reproducir: (1) verificar si la representación por cuartiles mejora la exactitud frente a una representación más simple (RSSI promedio); (2) explorar el efecto del número de </w:t>
      </w:r>
      <w:proofErr w:type="spellStart"/>
      <w:r>
        <w:t>APs</w:t>
      </w:r>
      <w:proofErr w:type="spellEnd"/>
      <w:r>
        <w:t xml:space="preserve"> y del </w:t>
      </w:r>
      <w:proofErr w:type="spellStart"/>
      <w:r>
        <w:t>hiperparámetro</w:t>
      </w:r>
      <w:proofErr w:type="spellEnd"/>
      <w:r>
        <w:t xml:space="preserve"> k sobre el desempeño, replicando el barrido de la Tabla 3 del artículo; (3) comparar </w:t>
      </w:r>
      <w:proofErr w:type="spellStart"/>
      <w:r>
        <w:t>kNN</w:t>
      </w:r>
      <w:proofErr w:type="spellEnd"/>
      <w:r>
        <w:t xml:space="preserve"> frente a una línea base y, si el alcance lo permite, frente a otro modelo del curso. Se reproducirá solo el método I (RP mayoritario): al tratarse de clasificación multiclase pura, es el que mejor encaja con las técnicas vistas en Machine </w:t>
      </w:r>
      <w:proofErr w:type="spellStart"/>
      <w:r>
        <w:t>Learning</w:t>
      </w:r>
      <w:proofErr w:type="spellEnd"/>
      <w:r>
        <w:t xml:space="preserve"> I, sin necesitar el </w:t>
      </w:r>
      <w:proofErr w:type="spellStart"/>
      <w:r>
        <w:t>post-procesamiento</w:t>
      </w:r>
      <w:proofErr w:type="spellEnd"/>
      <w:r>
        <w:t xml:space="preserve"> geométrico del centroide (método II).</w:t>
      </w:r>
    </w:p>
    <w:p w14:paraId="7B0207ED" w14:textId="77777777" w:rsidR="004C73F6" w:rsidRDefault="00000000">
      <w:pPr>
        <w:pStyle w:val="Ttulo1"/>
      </w:pPr>
      <w:r>
        <w:t>3. Estrategia de datos</w:t>
      </w:r>
    </w:p>
    <w:p w14:paraId="7B0207EE" w14:textId="77777777" w:rsidR="004C73F6" w:rsidRDefault="00000000">
      <w:pPr>
        <w:spacing w:after="120"/>
      </w:pPr>
      <w:r>
        <w:t xml:space="preserve">Vía elegida: simulación fundamentada, calibrada —en la medida de lo posible— con una pequeña recolección piloto real, hecha por el equipo con el </w:t>
      </w:r>
      <w:proofErr w:type="spellStart"/>
      <w:r>
        <w:t>WiFi</w:t>
      </w:r>
      <w:proofErr w:type="spellEnd"/>
      <w:r>
        <w:t xml:space="preserve"> del campus, para verificar que los rangos de RSSI simulados sean realistas.</w:t>
      </w:r>
    </w:p>
    <w:p w14:paraId="7B0207EF" w14:textId="77777777" w:rsidR="004C73F6" w:rsidRDefault="00000000">
      <w:pPr>
        <w:spacing w:after="120"/>
      </w:pPr>
      <w:r>
        <w:t xml:space="preserve">Por qué simular: no existe un </w:t>
      </w:r>
      <w:proofErr w:type="spellStart"/>
      <w:r>
        <w:t>dataset</w:t>
      </w:r>
      <w:proofErr w:type="spellEnd"/>
      <w:r>
        <w:t xml:space="preserve"> público de </w:t>
      </w:r>
      <w:proofErr w:type="spellStart"/>
      <w:r>
        <w:t>fingerprinting</w:t>
      </w:r>
      <w:proofErr w:type="spellEnd"/>
      <w:r>
        <w:t xml:space="preserve"> </w:t>
      </w:r>
      <w:proofErr w:type="spellStart"/>
      <w:r>
        <w:t>WiFi</w:t>
      </w:r>
      <w:proofErr w:type="spellEnd"/>
      <w:r>
        <w:t xml:space="preserve"> de un edificio colombiano o latinoamericano; el más citado en esta línea (</w:t>
      </w:r>
      <w:proofErr w:type="spellStart"/>
      <w:r>
        <w:t>UJIIndoorLoc</w:t>
      </w:r>
      <w:proofErr w:type="spellEnd"/>
      <w:r>
        <w:t xml:space="preserve">) corresponde a una universidad española y no refleja las condiciones de un edificio local. Construir el </w:t>
      </w:r>
      <w:proofErr w:type="spellStart"/>
      <w:r>
        <w:t>dataset</w:t>
      </w:r>
      <w:proofErr w:type="spellEnd"/>
      <w:r>
        <w:t xml:space="preserve"> real completo con la metodología del artículo —recolectar RSSI manualmente en cada zona hasta acumular ≥5000 registros— excede el alcance razonable del curso. En cambio, sí es viable simular la estructura generadora de los datos, porque el propio artículo describe explícitamente el modelo físico que la origina.</w:t>
      </w:r>
    </w:p>
    <w:p w14:paraId="7B0207F0" w14:textId="77777777" w:rsidR="004C73F6" w:rsidRDefault="00000000">
      <w:pPr>
        <w:pStyle w:val="Ttulo2"/>
      </w:pPr>
      <w:r>
        <w:t>3.1 Estructura a reproducir</w:t>
      </w:r>
    </w:p>
    <w:p w14:paraId="7B0207F1" w14:textId="77777777" w:rsidR="004C73F6" w:rsidRDefault="00000000">
      <w:pPr>
        <w:spacing w:after="60"/>
      </w:pPr>
      <w:r>
        <w:t xml:space="preserve">Modelo de propagación log-normal </w:t>
      </w:r>
      <w:proofErr w:type="spellStart"/>
      <w:r>
        <w:t>shadowing</w:t>
      </w:r>
      <w:proofErr w:type="spellEnd"/>
      <w:r>
        <w:t>, citado en la Sección 3.2 del artículo:</w:t>
      </w:r>
    </w:p>
    <w:p w14:paraId="7B0207F2" w14:textId="77777777" w:rsidR="004C73F6" w:rsidRDefault="00000000">
      <w:pPr>
        <w:spacing w:after="80"/>
      </w:pPr>
      <w:r>
        <w:rPr>
          <w:i/>
          <w:iCs/>
        </w:rPr>
        <w:t>RSSI(d) = RSSI(d₀) − 10 · n · log₁</w:t>
      </w:r>
      <w:proofErr w:type="gramStart"/>
      <w:r>
        <w:rPr>
          <w:i/>
          <w:iCs/>
        </w:rPr>
        <w:t>₀(</w:t>
      </w:r>
      <w:proofErr w:type="gramEnd"/>
      <w:r>
        <w:rPr>
          <w:i/>
          <w:iCs/>
        </w:rPr>
        <w:t xml:space="preserve">d / d₀) + </w:t>
      </w:r>
      <w:proofErr w:type="spellStart"/>
      <w:r>
        <w:rPr>
          <w:i/>
          <w:iCs/>
        </w:rPr>
        <w:t>X</w:t>
      </w:r>
      <w:proofErr w:type="gramStart"/>
      <w:r>
        <w:rPr>
          <w:i/>
          <w:iCs/>
        </w:rPr>
        <w:t>σ</w:t>
      </w:r>
      <w:proofErr w:type="spellEnd"/>
      <w:r>
        <w:rPr>
          <w:i/>
          <w:iCs/>
        </w:rPr>
        <w:t xml:space="preserve">,   </w:t>
      </w:r>
      <w:proofErr w:type="spellStart"/>
      <w:proofErr w:type="gramEnd"/>
      <w:r>
        <w:rPr>
          <w:i/>
          <w:iCs/>
        </w:rPr>
        <w:t>Xσ</w:t>
      </w:r>
      <w:proofErr w:type="spellEnd"/>
      <w:r>
        <w:rPr>
          <w:i/>
          <w:iCs/>
        </w:rPr>
        <w:t xml:space="preserve"> ~ </w:t>
      </w:r>
      <w:proofErr w:type="gramStart"/>
      <w:r>
        <w:rPr>
          <w:i/>
          <w:iCs/>
        </w:rPr>
        <w:t>N(</w:t>
      </w:r>
      <w:proofErr w:type="gramEnd"/>
      <w:r>
        <w:rPr>
          <w:i/>
          <w:iCs/>
        </w:rPr>
        <w:t>0, σ²)</w:t>
      </w:r>
    </w:p>
    <w:p w14:paraId="7B0207F3" w14:textId="77777777" w:rsidR="004C73F6" w:rsidRDefault="00000000">
      <w:pPr>
        <w:pStyle w:val="Prrafodelista"/>
        <w:numPr>
          <w:ilvl w:val="0"/>
          <w:numId w:val="2"/>
        </w:numPr>
        <w:spacing w:after="60"/>
      </w:pPr>
      <w:r>
        <w:rPr>
          <w:b/>
          <w:bCs/>
        </w:rPr>
        <w:t xml:space="preserve">d: </w:t>
      </w:r>
      <w:r>
        <w:t>distancia entre el punto de acceso y el dispositivo.</w:t>
      </w:r>
    </w:p>
    <w:p w14:paraId="7B0207F4" w14:textId="77777777" w:rsidR="004C73F6" w:rsidRDefault="00000000">
      <w:pPr>
        <w:pStyle w:val="Prrafodelista"/>
        <w:numPr>
          <w:ilvl w:val="0"/>
          <w:numId w:val="2"/>
        </w:numPr>
        <w:spacing w:after="60"/>
      </w:pPr>
      <w:r>
        <w:rPr>
          <w:b/>
          <w:bCs/>
        </w:rPr>
        <w:t xml:space="preserve">RSSI(d₀): </w:t>
      </w:r>
      <w:r>
        <w:t xml:space="preserve">potencia de referencia a 1 m (entre −40 y −50 dBm para </w:t>
      </w:r>
      <w:proofErr w:type="spellStart"/>
      <w:r>
        <w:t>WiFi</w:t>
      </w:r>
      <w:proofErr w:type="spellEnd"/>
      <w:r>
        <w:t xml:space="preserve"> de 2.4 GHz, según literatura de redes inalámbricas).</w:t>
      </w:r>
    </w:p>
    <w:p w14:paraId="7B0207F5" w14:textId="77777777" w:rsidR="004C73F6" w:rsidRDefault="00000000">
      <w:pPr>
        <w:pStyle w:val="Prrafodelista"/>
        <w:numPr>
          <w:ilvl w:val="0"/>
          <w:numId w:val="2"/>
        </w:numPr>
        <w:spacing w:after="60"/>
      </w:pPr>
      <w:r>
        <w:rPr>
          <w:b/>
          <w:bCs/>
        </w:rPr>
        <w:t xml:space="preserve">n: </w:t>
      </w:r>
      <w:r>
        <w:t>exponente de pérdida de trayecto; se usará n≈3, típico de interiores con oficinas y paredes.</w:t>
      </w:r>
    </w:p>
    <w:p w14:paraId="7B0207F6" w14:textId="77777777" w:rsidR="004C73F6" w:rsidRDefault="00000000">
      <w:pPr>
        <w:pStyle w:val="Prrafodelista"/>
        <w:numPr>
          <w:ilvl w:val="0"/>
          <w:numId w:val="2"/>
        </w:numPr>
        <w:spacing w:after="60"/>
      </w:pPr>
      <w:proofErr w:type="spellStart"/>
      <w:r>
        <w:rPr>
          <w:b/>
          <w:bCs/>
        </w:rPr>
        <w:t>Xσ</w:t>
      </w:r>
      <w:proofErr w:type="spellEnd"/>
      <w:r>
        <w:rPr>
          <w:b/>
          <w:bCs/>
        </w:rPr>
        <w:t xml:space="preserve">: </w:t>
      </w:r>
      <w:r>
        <w:t>ruido de sombra gaussiano, la fuente principal de variación entre lecturas repetidas en la misma posición (σ entre 4 y 8 dB); es este término, y no la parte determinística, el que el artículo identifica como más informativo para diferenciar zonas mediante cuartiles.</w:t>
      </w:r>
    </w:p>
    <w:p w14:paraId="7B0207F7" w14:textId="77777777" w:rsidR="004C73F6" w:rsidRDefault="00000000">
      <w:pPr>
        <w:pStyle w:val="Ttulo2"/>
      </w:pPr>
      <w:r>
        <w:lastRenderedPageBreak/>
        <w:t>3.2 Escenario propuesto</w:t>
      </w:r>
    </w:p>
    <w:p w14:paraId="7B0207F8" w14:textId="77777777" w:rsidR="004C73F6" w:rsidRDefault="00000000">
      <w:pPr>
        <w:spacing w:after="120"/>
      </w:pPr>
      <w:r>
        <w:t>Un piso de un edificio universitario colombiano (inspirado en el campus de la Universidad Externado), de aproximadamente 30 m × 20 m, dividido en 16–18 zonas (aulas, pasillos, oficinas), con 8 puntos de acceso distribuidos de forma realista (uno por corredor o ala, siguiendo patrones típicos de instalación de redes universitarias). Para cada zona y cada 'visita' simulada se generan ~30–50 lecturas RSSI por AP (cantidad similar a la usada en el artículo para estabilizar el cálculo de cuartiles), aplicando la fórmula de propagación con ruido. Repitiendo el proceso para múltiples visitas por zona —para capturar variabilidad temporal, como tráfico de personas o puertas abiertas— se alcanzan los ≥5000 registros requeridos (p. ej., 18 zonas × ~280 instancias ≈ 5000).</w:t>
      </w:r>
    </w:p>
    <w:p w14:paraId="7B0207F9" w14:textId="77777777" w:rsidR="004C73F6" w:rsidRDefault="00000000">
      <w:pPr>
        <w:pStyle w:val="Ttulo2"/>
      </w:pPr>
      <w:r>
        <w:t>3.3 Supuestos declarados</w:t>
      </w:r>
    </w:p>
    <w:p w14:paraId="7B0207FA" w14:textId="77777777" w:rsidR="004C73F6" w:rsidRDefault="00000000">
      <w:pPr>
        <w:pStyle w:val="Prrafodelista"/>
        <w:numPr>
          <w:ilvl w:val="0"/>
          <w:numId w:val="2"/>
        </w:numPr>
        <w:spacing w:after="60"/>
      </w:pPr>
      <w:r>
        <w:t>el ruido de sombra sigue una distribución log-normal (gaussiana en dB), consistente con la literatura de propagación en interiores y con lo reportado por el propio artículo.</w:t>
      </w:r>
    </w:p>
    <w:p w14:paraId="7B0207FB" w14:textId="77777777" w:rsidR="004C73F6" w:rsidRDefault="00000000">
      <w:pPr>
        <w:pStyle w:val="Prrafodelista"/>
        <w:numPr>
          <w:ilvl w:val="0"/>
          <w:numId w:val="2"/>
        </w:numPr>
        <w:spacing w:after="60"/>
      </w:pPr>
      <w:r>
        <w:t>el exponente de pérdida de trayecto varía levemente por zona según la densidad de obstáculos: mayor en oficinas cerradas, menor en pasillos abiertos.</w:t>
      </w:r>
    </w:p>
    <w:p w14:paraId="7B0207FC" w14:textId="77777777" w:rsidR="004C73F6" w:rsidRDefault="00000000">
      <w:pPr>
        <w:pStyle w:val="Prrafodelista"/>
        <w:numPr>
          <w:ilvl w:val="0"/>
          <w:numId w:val="2"/>
        </w:numPr>
        <w:spacing w:after="60"/>
      </w:pPr>
      <w:r>
        <w:t xml:space="preserve">se asume cobertura completa: los 8 </w:t>
      </w:r>
      <w:proofErr w:type="spellStart"/>
      <w:r>
        <w:t>APs</w:t>
      </w:r>
      <w:proofErr w:type="spellEnd"/>
      <w:r>
        <w:t xml:space="preserve"> son visibles, con distinta intensidad, desde cualquier zona del piso — simplificación razonable dado su tamaño.</w:t>
      </w:r>
    </w:p>
    <w:p w14:paraId="7B0207FD" w14:textId="77777777" w:rsidR="004C73F6" w:rsidRDefault="00000000">
      <w:pPr>
        <w:pStyle w:val="Prrafodelista"/>
        <w:numPr>
          <w:ilvl w:val="0"/>
          <w:numId w:val="2"/>
        </w:numPr>
        <w:spacing w:after="60"/>
      </w:pPr>
      <w:r>
        <w:t xml:space="preserve">si se completa el piloto real, sus lecturas servirán para verificar que los rangos simulados (p. ej. entre −30 dBm cerca de un AP y −85 dBm en el punto más lejano) sean consistentes con un </w:t>
      </w:r>
      <w:proofErr w:type="spellStart"/>
      <w:r>
        <w:t>router</w:t>
      </w:r>
      <w:proofErr w:type="spellEnd"/>
      <w:r>
        <w:t xml:space="preserve"> típico.</w:t>
      </w:r>
    </w:p>
    <w:p w14:paraId="7B0207FE" w14:textId="77777777" w:rsidR="004C73F6" w:rsidRDefault="00000000">
      <w:pPr>
        <w:spacing w:after="60"/>
      </w:pPr>
      <w:r>
        <w:t xml:space="preserve">Caracterización del conjunto previsto: variable objetivo con 16–18 clases balanceadas; 24 predictores continuos (3 cuartiles × 8 </w:t>
      </w:r>
      <w:proofErr w:type="spellStart"/>
      <w:r>
        <w:t>APs</w:t>
      </w:r>
      <w:proofErr w:type="spellEnd"/>
      <w:r>
        <w:t>); ≥5000 registros; sin valores faltantes por ser datos simulados, aunque se contempla introducir fallas puntuales de algún AP en una fracción de las lecturas, para dar realismo y exigir robustez en el preprocesamiento de la segunda entrega.</w:t>
      </w:r>
    </w:p>
    <w:p w14:paraId="7B0207FF" w14:textId="77777777" w:rsidR="004C73F6" w:rsidRDefault="00000000">
      <w:pPr>
        <w:pStyle w:val="Ttulo1"/>
      </w:pPr>
      <w:r>
        <w:t>4. Plan de modelamiento y línea base</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760"/>
      </w:tblGrid>
      <w:tr w:rsidR="004C73F6" w14:paraId="7B020802" w14:textId="77777777">
        <w:tblPrEx>
          <w:tblCellMar>
            <w:top w:w="0" w:type="dxa"/>
            <w:bottom w:w="0" w:type="dxa"/>
          </w:tblCellMar>
        </w:tblPrEx>
        <w:trPr>
          <w:tblHeader/>
        </w:trPr>
        <w:tc>
          <w:tcPr>
            <w:tcW w:w="3400" w:type="dxa"/>
            <w:shd w:val="clear" w:color="auto" w:fill="1F4E79"/>
            <w:tcMar>
              <w:top w:w="50" w:type="dxa"/>
              <w:left w:w="80" w:type="dxa"/>
              <w:bottom w:w="50" w:type="dxa"/>
              <w:right w:w="80" w:type="dxa"/>
            </w:tcMar>
            <w:vAlign w:val="center"/>
          </w:tcPr>
          <w:p w14:paraId="7B020800" w14:textId="77777777" w:rsidR="004C73F6" w:rsidRDefault="00000000">
            <w:r>
              <w:rPr>
                <w:b/>
                <w:bCs/>
                <w:color w:val="FFFFFF"/>
                <w:sz w:val="18"/>
                <w:szCs w:val="18"/>
              </w:rPr>
              <w:t>Modelo candidato</w:t>
            </w:r>
          </w:p>
        </w:tc>
        <w:tc>
          <w:tcPr>
            <w:tcW w:w="5760" w:type="dxa"/>
            <w:shd w:val="clear" w:color="auto" w:fill="1F4E79"/>
            <w:tcMar>
              <w:top w:w="50" w:type="dxa"/>
              <w:left w:w="80" w:type="dxa"/>
              <w:bottom w:w="50" w:type="dxa"/>
              <w:right w:w="80" w:type="dxa"/>
            </w:tcMar>
            <w:vAlign w:val="center"/>
          </w:tcPr>
          <w:p w14:paraId="7B020801" w14:textId="77777777" w:rsidR="004C73F6" w:rsidRDefault="00000000">
            <w:r>
              <w:rPr>
                <w:b/>
                <w:bCs/>
                <w:color w:val="FFFFFF"/>
                <w:sz w:val="18"/>
                <w:szCs w:val="18"/>
              </w:rPr>
              <w:t>Rol en la comparación</w:t>
            </w:r>
          </w:p>
        </w:tc>
      </w:tr>
      <w:tr w:rsidR="004C73F6" w14:paraId="7B020805" w14:textId="77777777">
        <w:tblPrEx>
          <w:tblCellMar>
            <w:top w:w="0" w:type="dxa"/>
            <w:bottom w:w="0" w:type="dxa"/>
          </w:tblCellMar>
        </w:tblPrEx>
        <w:tc>
          <w:tcPr>
            <w:tcW w:w="3400" w:type="dxa"/>
            <w:tcMar>
              <w:top w:w="45" w:type="dxa"/>
              <w:left w:w="80" w:type="dxa"/>
              <w:bottom w:w="45" w:type="dxa"/>
              <w:right w:w="80" w:type="dxa"/>
            </w:tcMar>
            <w:vAlign w:val="center"/>
          </w:tcPr>
          <w:p w14:paraId="7B020803" w14:textId="77777777" w:rsidR="004C73F6" w:rsidRDefault="00000000">
            <w:proofErr w:type="spellStart"/>
            <w:r>
              <w:rPr>
                <w:sz w:val="18"/>
                <w:szCs w:val="18"/>
              </w:rPr>
              <w:t>kNN</w:t>
            </w:r>
            <w:proofErr w:type="spellEnd"/>
            <w:r>
              <w:rPr>
                <w:sz w:val="18"/>
                <w:szCs w:val="18"/>
              </w:rPr>
              <w:t xml:space="preserve"> (distancia euclidiana)</w:t>
            </w:r>
          </w:p>
        </w:tc>
        <w:tc>
          <w:tcPr>
            <w:tcW w:w="5760" w:type="dxa"/>
            <w:tcMar>
              <w:top w:w="45" w:type="dxa"/>
              <w:left w:w="80" w:type="dxa"/>
              <w:bottom w:w="45" w:type="dxa"/>
              <w:right w:w="80" w:type="dxa"/>
            </w:tcMar>
            <w:vAlign w:val="center"/>
          </w:tcPr>
          <w:p w14:paraId="7B020804" w14:textId="77777777" w:rsidR="004C73F6" w:rsidRDefault="00000000">
            <w:r>
              <w:rPr>
                <w:sz w:val="18"/>
                <w:szCs w:val="18"/>
              </w:rPr>
              <w:t>Modelo principal, fiel al artículo; k se ajustará por validación cruzada.</w:t>
            </w:r>
          </w:p>
        </w:tc>
      </w:tr>
      <w:tr w:rsidR="004C73F6" w14:paraId="7B020808" w14:textId="77777777">
        <w:tblPrEx>
          <w:tblCellMar>
            <w:top w:w="0" w:type="dxa"/>
            <w:bottom w:w="0" w:type="dxa"/>
          </w:tblCellMar>
        </w:tblPrEx>
        <w:tc>
          <w:tcPr>
            <w:tcW w:w="3400" w:type="dxa"/>
            <w:tcMar>
              <w:top w:w="45" w:type="dxa"/>
              <w:left w:w="80" w:type="dxa"/>
              <w:bottom w:w="45" w:type="dxa"/>
              <w:right w:w="80" w:type="dxa"/>
            </w:tcMar>
            <w:vAlign w:val="center"/>
          </w:tcPr>
          <w:p w14:paraId="7B020806" w14:textId="77777777" w:rsidR="004C73F6" w:rsidRDefault="00000000">
            <w:proofErr w:type="spellStart"/>
            <w:r>
              <w:rPr>
                <w:sz w:val="18"/>
                <w:szCs w:val="18"/>
              </w:rPr>
              <w:t>Naive</w:t>
            </w:r>
            <w:proofErr w:type="spellEnd"/>
            <w:r>
              <w:rPr>
                <w:sz w:val="18"/>
                <w:szCs w:val="18"/>
              </w:rPr>
              <w:t xml:space="preserve"> Bayes Gaussiano</w:t>
            </w:r>
          </w:p>
        </w:tc>
        <w:tc>
          <w:tcPr>
            <w:tcW w:w="5760" w:type="dxa"/>
            <w:tcMar>
              <w:top w:w="45" w:type="dxa"/>
              <w:left w:w="80" w:type="dxa"/>
              <w:bottom w:w="45" w:type="dxa"/>
              <w:right w:w="80" w:type="dxa"/>
            </w:tcMar>
            <w:vAlign w:val="center"/>
          </w:tcPr>
          <w:p w14:paraId="7B020807" w14:textId="77777777" w:rsidR="004C73F6" w:rsidRDefault="00000000">
            <w:r>
              <w:rPr>
                <w:sz w:val="18"/>
                <w:szCs w:val="18"/>
              </w:rPr>
              <w:t xml:space="preserve">Comparación: las 24 </w:t>
            </w:r>
            <w:proofErr w:type="spellStart"/>
            <w:r>
              <w:rPr>
                <w:sz w:val="18"/>
                <w:szCs w:val="18"/>
              </w:rPr>
              <w:t>features</w:t>
            </w:r>
            <w:proofErr w:type="spellEnd"/>
            <w:r>
              <w:rPr>
                <w:sz w:val="18"/>
                <w:szCs w:val="18"/>
              </w:rPr>
              <w:t xml:space="preserve"> son continuas y podrían aproximarse a normales por clase (a verificar en la Segunda entrega).</w:t>
            </w:r>
          </w:p>
        </w:tc>
      </w:tr>
      <w:tr w:rsidR="004C73F6" w14:paraId="7B02080B" w14:textId="77777777">
        <w:tblPrEx>
          <w:tblCellMar>
            <w:top w:w="0" w:type="dxa"/>
            <w:bottom w:w="0" w:type="dxa"/>
          </w:tblCellMar>
        </w:tblPrEx>
        <w:tc>
          <w:tcPr>
            <w:tcW w:w="3400" w:type="dxa"/>
            <w:tcMar>
              <w:top w:w="45" w:type="dxa"/>
              <w:left w:w="80" w:type="dxa"/>
              <w:bottom w:w="45" w:type="dxa"/>
              <w:right w:w="80" w:type="dxa"/>
            </w:tcMar>
            <w:vAlign w:val="center"/>
          </w:tcPr>
          <w:p w14:paraId="7B020809" w14:textId="77777777" w:rsidR="004C73F6" w:rsidRDefault="00000000">
            <w:r>
              <w:rPr>
                <w:sz w:val="18"/>
                <w:szCs w:val="18"/>
              </w:rPr>
              <w:t>Regresión logística multinomial (L2)</w:t>
            </w:r>
          </w:p>
        </w:tc>
        <w:tc>
          <w:tcPr>
            <w:tcW w:w="5760" w:type="dxa"/>
            <w:tcMar>
              <w:top w:w="45" w:type="dxa"/>
              <w:left w:w="80" w:type="dxa"/>
              <w:bottom w:w="45" w:type="dxa"/>
              <w:right w:w="80" w:type="dxa"/>
            </w:tcMar>
            <w:vAlign w:val="center"/>
          </w:tcPr>
          <w:p w14:paraId="7B02080A" w14:textId="77777777" w:rsidR="004C73F6" w:rsidRDefault="00000000">
            <w:r>
              <w:rPr>
                <w:sz w:val="18"/>
                <w:szCs w:val="18"/>
              </w:rPr>
              <w:t xml:space="preserve">Referencia lineal e interpretable, para contrastar si la frontera no lineal de </w:t>
            </w:r>
            <w:proofErr w:type="spellStart"/>
            <w:r>
              <w:rPr>
                <w:sz w:val="18"/>
                <w:szCs w:val="18"/>
              </w:rPr>
              <w:t>kNN</w:t>
            </w:r>
            <w:proofErr w:type="spellEnd"/>
            <w:r>
              <w:rPr>
                <w:sz w:val="18"/>
                <w:szCs w:val="18"/>
              </w:rPr>
              <w:t xml:space="preserve"> aporta una ventaja real.</w:t>
            </w:r>
          </w:p>
        </w:tc>
      </w:tr>
      <w:tr w:rsidR="004C73F6" w14:paraId="7B02080E" w14:textId="77777777">
        <w:tblPrEx>
          <w:tblCellMar>
            <w:top w:w="0" w:type="dxa"/>
            <w:bottom w:w="0" w:type="dxa"/>
          </w:tblCellMar>
        </w:tblPrEx>
        <w:tc>
          <w:tcPr>
            <w:tcW w:w="3400" w:type="dxa"/>
            <w:tcMar>
              <w:top w:w="45" w:type="dxa"/>
              <w:left w:w="80" w:type="dxa"/>
              <w:bottom w:w="45" w:type="dxa"/>
              <w:right w:w="80" w:type="dxa"/>
            </w:tcMar>
            <w:vAlign w:val="center"/>
          </w:tcPr>
          <w:p w14:paraId="7B02080C" w14:textId="77777777" w:rsidR="004C73F6" w:rsidRDefault="00000000">
            <w:r>
              <w:rPr>
                <w:sz w:val="18"/>
                <w:szCs w:val="18"/>
              </w:rPr>
              <w:t>LDA / QDA</w:t>
            </w:r>
          </w:p>
        </w:tc>
        <w:tc>
          <w:tcPr>
            <w:tcW w:w="5760" w:type="dxa"/>
            <w:tcMar>
              <w:top w:w="45" w:type="dxa"/>
              <w:left w:w="80" w:type="dxa"/>
              <w:bottom w:w="45" w:type="dxa"/>
              <w:right w:w="80" w:type="dxa"/>
            </w:tcMar>
            <w:vAlign w:val="center"/>
          </w:tcPr>
          <w:p w14:paraId="7B02080D" w14:textId="77777777" w:rsidR="004C73F6" w:rsidRDefault="00000000">
            <w:r>
              <w:rPr>
                <w:sz w:val="18"/>
                <w:szCs w:val="18"/>
              </w:rPr>
              <w:t>Exploración opcional si el EDA de la Segunda entrega sostiene el supuesto de normalidad multivariada por clase.</w:t>
            </w:r>
          </w:p>
        </w:tc>
      </w:tr>
    </w:tbl>
    <w:p w14:paraId="7B02080F" w14:textId="77777777" w:rsidR="004C73F6" w:rsidRDefault="004C73F6">
      <w:pPr>
        <w:spacing w:after="140"/>
      </w:pPr>
    </w:p>
    <w:p w14:paraId="7B020810" w14:textId="77777777" w:rsidR="004C73F6" w:rsidRDefault="00000000">
      <w:pPr>
        <w:pStyle w:val="Ttulo2"/>
      </w:pPr>
      <w:r>
        <w:t>4.1 Métrica principal</w:t>
      </w:r>
    </w:p>
    <w:p w14:paraId="7B020811" w14:textId="77777777" w:rsidR="004C73F6" w:rsidRDefault="00000000">
      <w:pPr>
        <w:spacing w:after="120"/>
      </w:pPr>
      <w:r>
        <w:t>Exactitud (</w:t>
      </w:r>
      <w:proofErr w:type="spellStart"/>
      <w:r>
        <w:t>accuracy</w:t>
      </w:r>
      <w:proofErr w:type="spellEnd"/>
      <w:r>
        <w:t xml:space="preserve">) multiclase, justificada porque el </w:t>
      </w:r>
      <w:proofErr w:type="spellStart"/>
      <w:r>
        <w:t>dataset</w:t>
      </w:r>
      <w:proofErr w:type="spellEnd"/>
      <w:r>
        <w:t xml:space="preserve"> se construye balanceado (mismo número de instancias por zona), por lo que el </w:t>
      </w:r>
      <w:proofErr w:type="spellStart"/>
      <w:r>
        <w:t>accuracy</w:t>
      </w:r>
      <w:proofErr w:type="spellEnd"/>
      <w:r>
        <w:t xml:space="preserve"> no queda sesgado por desbalance. Como métricas complementarias: F1-macro (para detectar si el modelo falla sistemáticamente en zonas específicas, p. ej. las más alejadas de los </w:t>
      </w:r>
      <w:proofErr w:type="spellStart"/>
      <w:r>
        <w:t>APs</w:t>
      </w:r>
      <w:proofErr w:type="spellEnd"/>
      <w:r>
        <w:t xml:space="preserve">) y un 'error de localización' aproximado —la distancia en metros entre el centro de la zona real y el de la zona predicha cuando hay error—, siguiendo la métrica original (ME) del artículo y más interpretable para el usuario final que el </w:t>
      </w:r>
      <w:proofErr w:type="spellStart"/>
      <w:r>
        <w:t>accuracy</w:t>
      </w:r>
      <w:proofErr w:type="spellEnd"/>
      <w:r>
        <w:t xml:space="preserve"> puro.</w:t>
      </w:r>
    </w:p>
    <w:p w14:paraId="7B020812" w14:textId="77777777" w:rsidR="004C73F6" w:rsidRDefault="00000000">
      <w:pPr>
        <w:pStyle w:val="Ttulo2"/>
      </w:pPr>
      <w:r>
        <w:t>4.2 Estrategia de validación</w:t>
      </w:r>
    </w:p>
    <w:p w14:paraId="7B020813" w14:textId="77777777" w:rsidR="004C73F6" w:rsidRDefault="00000000">
      <w:pPr>
        <w:spacing w:after="120"/>
      </w:pPr>
      <w:r>
        <w:t xml:space="preserve">Partición </w:t>
      </w:r>
      <w:proofErr w:type="spellStart"/>
      <w:r>
        <w:t>train</w:t>
      </w:r>
      <w:proofErr w:type="spellEnd"/>
      <w:r>
        <w:t>/test (70/30, estratificada por zona) y validación cruzada k-</w:t>
      </w:r>
      <w:proofErr w:type="spellStart"/>
      <w:r>
        <w:t>fold</w:t>
      </w:r>
      <w:proofErr w:type="spellEnd"/>
      <w:r>
        <w:t xml:space="preserve"> (k=5) sobre el entrenamiento, para seleccionar el </w:t>
      </w:r>
      <w:proofErr w:type="spellStart"/>
      <w:r>
        <w:t>hiperparámetro</w:t>
      </w:r>
      <w:proofErr w:type="spellEnd"/>
      <w:r>
        <w:t xml:space="preserve"> k de </w:t>
      </w:r>
      <w:proofErr w:type="spellStart"/>
      <w:r>
        <w:t>kNN</w:t>
      </w:r>
      <w:proofErr w:type="spellEnd"/>
      <w:r>
        <w:t xml:space="preserve"> (barrido de valores impares de 1 a 15, como en el artículo) y el parámetro de regularización de la regresión logística. Se fija una semilla aleatoria (</w:t>
      </w:r>
      <w:proofErr w:type="spellStart"/>
      <w:r>
        <w:t>random_state</w:t>
      </w:r>
      <w:proofErr w:type="spellEnd"/>
      <w:r>
        <w:t xml:space="preserve">=42) para reproducibilidad, y el preprocesamiento (incluido el escalamiento, necesario porque </w:t>
      </w:r>
      <w:proofErr w:type="spellStart"/>
      <w:r>
        <w:t>kNN</w:t>
      </w:r>
      <w:proofErr w:type="spellEnd"/>
      <w:r>
        <w:t xml:space="preserve"> es sensible a la </w:t>
      </w:r>
      <w:r>
        <w:lastRenderedPageBreak/>
        <w:t xml:space="preserve">escala) se integrará en un Pipeline de </w:t>
      </w:r>
      <w:proofErr w:type="spellStart"/>
      <w:r>
        <w:t>scikit-learn</w:t>
      </w:r>
      <w:proofErr w:type="spellEnd"/>
      <w:r>
        <w:t xml:space="preserve"> ajustado solo con los datos de entrenamiento de cada partición, evitando fuga de información.</w:t>
      </w:r>
    </w:p>
    <w:p w14:paraId="7B020814" w14:textId="77777777" w:rsidR="004C73F6" w:rsidRDefault="00000000">
      <w:pPr>
        <w:pStyle w:val="Ttulo2"/>
      </w:pPr>
      <w:r>
        <w:t>4.3 Línea base</w:t>
      </w:r>
    </w:p>
    <w:p w14:paraId="7B020815" w14:textId="77777777" w:rsidR="004C73F6" w:rsidRDefault="00000000">
      <w:pPr>
        <w:spacing w:after="120"/>
      </w:pPr>
      <w:r>
        <w:t xml:space="preserve">Clasificador de mayoría (predice siempre la zona más frecuente). Con el </w:t>
      </w:r>
      <w:proofErr w:type="spellStart"/>
      <w:r>
        <w:t>dataset</w:t>
      </w:r>
      <w:proofErr w:type="spellEnd"/>
      <w:r>
        <w:t xml:space="preserve"> balanceado entre 16–18 zonas, su exactitud esperada es ≈1/18 ≈ 5.6% — el piso mínimo que cualquier modelo entrenado debe superar ampliamente para justificar su uso. Se construyó un prototipo de esta línea base sobre una muestra simulada preliminar (≥5000 registros, generada con la fórmula de la Sección 3.1), confirmando el comportamiento esperado; el código se entrega como anexo (notebook </w:t>
      </w:r>
      <w:proofErr w:type="spellStart"/>
      <w:r>
        <w:t>Prototipo_Simulacion_LineaBase.ipynb</w:t>
      </w:r>
      <w:proofErr w:type="spellEnd"/>
      <w:r>
        <w:t>).</w:t>
      </w:r>
    </w:p>
    <w:sectPr w:rsidR="004C73F6">
      <w:headerReference w:type="default" r:id="rId7"/>
      <w:footerReference w:type="default" r:id="rId8"/>
      <w:pgSz w:w="12240" w:h="15840"/>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D992C" w14:textId="77777777" w:rsidR="00885A17" w:rsidRDefault="00885A17">
      <w:r>
        <w:separator/>
      </w:r>
    </w:p>
  </w:endnote>
  <w:endnote w:type="continuationSeparator" w:id="0">
    <w:p w14:paraId="5382A6A8" w14:textId="77777777" w:rsidR="00885A17" w:rsidRDefault="00885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0817" w14:textId="7EF456D6" w:rsidR="004C73F6" w:rsidRDefault="00000000">
    <w:pPr>
      <w:jc w:val="center"/>
    </w:pPr>
    <w:r>
      <w:rPr>
        <w:color w:val="808080"/>
        <w:sz w:val="14"/>
        <w:szCs w:val="14"/>
      </w:rPr>
      <w:fldChar w:fldCharType="begin"/>
    </w:r>
    <w:r>
      <w:rPr>
        <w:color w:val="808080"/>
        <w:sz w:val="14"/>
        <w:szCs w:val="14"/>
      </w:rPr>
      <w:instrText>PAGE</w:instrText>
    </w:r>
    <w:r>
      <w:rPr>
        <w:color w:val="808080"/>
        <w:sz w:val="14"/>
        <w:szCs w:val="14"/>
      </w:rPr>
      <w:fldChar w:fldCharType="separate"/>
    </w:r>
    <w:r w:rsidR="002E3B4B">
      <w:rPr>
        <w:noProof/>
        <w:color w:val="808080"/>
        <w:sz w:val="14"/>
        <w:szCs w:val="14"/>
      </w:rPr>
      <w:t>1</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2FB94" w14:textId="77777777" w:rsidR="00885A17" w:rsidRDefault="00885A17">
      <w:r>
        <w:separator/>
      </w:r>
    </w:p>
  </w:footnote>
  <w:footnote w:type="continuationSeparator" w:id="0">
    <w:p w14:paraId="7C45A607" w14:textId="77777777" w:rsidR="00885A17" w:rsidRDefault="00885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0816" w14:textId="77777777" w:rsidR="004C73F6" w:rsidRDefault="00000000">
    <w:pPr>
      <w:pBdr>
        <w:bottom w:val="single" w:sz="4" w:space="4" w:color="BFBFBF"/>
      </w:pBdr>
      <w:jc w:val="right"/>
    </w:pPr>
    <w:r>
      <w:rPr>
        <w:color w:val="808080"/>
        <w:sz w:val="14"/>
        <w:szCs w:val="14"/>
      </w:rPr>
      <w:t>Proyecto Integrador ML1 · Primera entrega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F7076"/>
    <w:multiLevelType w:val="hybridMultilevel"/>
    <w:tmpl w:val="2DE40EFC"/>
    <w:lvl w:ilvl="0" w:tplc="40EE4E12">
      <w:start w:val="1"/>
      <w:numFmt w:val="bullet"/>
      <w:lvlText w:val="●"/>
      <w:lvlJc w:val="left"/>
      <w:pPr>
        <w:ind w:left="720" w:hanging="360"/>
      </w:pPr>
    </w:lvl>
    <w:lvl w:ilvl="1" w:tplc="6F663934">
      <w:start w:val="1"/>
      <w:numFmt w:val="bullet"/>
      <w:lvlText w:val="○"/>
      <w:lvlJc w:val="left"/>
      <w:pPr>
        <w:ind w:left="1440" w:hanging="360"/>
      </w:pPr>
    </w:lvl>
    <w:lvl w:ilvl="2" w:tplc="EE385AD6">
      <w:start w:val="1"/>
      <w:numFmt w:val="bullet"/>
      <w:lvlText w:val="■"/>
      <w:lvlJc w:val="left"/>
      <w:pPr>
        <w:ind w:left="2160" w:hanging="360"/>
      </w:pPr>
    </w:lvl>
    <w:lvl w:ilvl="3" w:tplc="4C642130">
      <w:start w:val="1"/>
      <w:numFmt w:val="bullet"/>
      <w:lvlText w:val="●"/>
      <w:lvlJc w:val="left"/>
      <w:pPr>
        <w:ind w:left="2880" w:hanging="360"/>
      </w:pPr>
    </w:lvl>
    <w:lvl w:ilvl="4" w:tplc="953828B6">
      <w:start w:val="1"/>
      <w:numFmt w:val="bullet"/>
      <w:lvlText w:val="○"/>
      <w:lvlJc w:val="left"/>
      <w:pPr>
        <w:ind w:left="3600" w:hanging="360"/>
      </w:pPr>
    </w:lvl>
    <w:lvl w:ilvl="5" w:tplc="4F3E95CA">
      <w:start w:val="1"/>
      <w:numFmt w:val="bullet"/>
      <w:lvlText w:val="■"/>
      <w:lvlJc w:val="left"/>
      <w:pPr>
        <w:ind w:left="4320" w:hanging="360"/>
      </w:pPr>
    </w:lvl>
    <w:lvl w:ilvl="6" w:tplc="E32CCC98">
      <w:start w:val="1"/>
      <w:numFmt w:val="bullet"/>
      <w:lvlText w:val="●"/>
      <w:lvlJc w:val="left"/>
      <w:pPr>
        <w:ind w:left="5040" w:hanging="360"/>
      </w:pPr>
    </w:lvl>
    <w:lvl w:ilvl="7" w:tplc="A0402BD2">
      <w:start w:val="1"/>
      <w:numFmt w:val="bullet"/>
      <w:lvlText w:val="●"/>
      <w:lvlJc w:val="left"/>
      <w:pPr>
        <w:ind w:left="5760" w:hanging="360"/>
      </w:pPr>
    </w:lvl>
    <w:lvl w:ilvl="8" w:tplc="9D5C4C0E">
      <w:start w:val="1"/>
      <w:numFmt w:val="bullet"/>
      <w:lvlText w:val="●"/>
      <w:lvlJc w:val="left"/>
      <w:pPr>
        <w:ind w:left="6480" w:hanging="360"/>
      </w:pPr>
    </w:lvl>
  </w:abstractNum>
  <w:abstractNum w:abstractNumId="1" w15:restartNumberingAfterBreak="0">
    <w:nsid w:val="7F5823CC"/>
    <w:multiLevelType w:val="hybridMultilevel"/>
    <w:tmpl w:val="F9DE43CE"/>
    <w:lvl w:ilvl="0" w:tplc="B58E92FA">
      <w:start w:val="1"/>
      <w:numFmt w:val="bullet"/>
      <w:lvlText w:val="•"/>
      <w:lvlJc w:val="left"/>
      <w:pPr>
        <w:ind w:left="640" w:hanging="320"/>
      </w:pPr>
    </w:lvl>
    <w:lvl w:ilvl="1" w:tplc="E9C4A060">
      <w:numFmt w:val="decimal"/>
      <w:lvlText w:val=""/>
      <w:lvlJc w:val="left"/>
    </w:lvl>
    <w:lvl w:ilvl="2" w:tplc="1BE0C720">
      <w:numFmt w:val="decimal"/>
      <w:lvlText w:val=""/>
      <w:lvlJc w:val="left"/>
    </w:lvl>
    <w:lvl w:ilvl="3" w:tplc="CAD266F4">
      <w:numFmt w:val="decimal"/>
      <w:lvlText w:val=""/>
      <w:lvlJc w:val="left"/>
    </w:lvl>
    <w:lvl w:ilvl="4" w:tplc="3C6454F8">
      <w:numFmt w:val="decimal"/>
      <w:lvlText w:val=""/>
      <w:lvlJc w:val="left"/>
    </w:lvl>
    <w:lvl w:ilvl="5" w:tplc="282EE4A8">
      <w:numFmt w:val="decimal"/>
      <w:lvlText w:val=""/>
      <w:lvlJc w:val="left"/>
    </w:lvl>
    <w:lvl w:ilvl="6" w:tplc="98963D84">
      <w:numFmt w:val="decimal"/>
      <w:lvlText w:val=""/>
      <w:lvlJc w:val="left"/>
    </w:lvl>
    <w:lvl w:ilvl="7" w:tplc="7E4A65F0">
      <w:numFmt w:val="decimal"/>
      <w:lvlText w:val=""/>
      <w:lvlJc w:val="left"/>
    </w:lvl>
    <w:lvl w:ilvl="8" w:tplc="23F48B5A">
      <w:numFmt w:val="decimal"/>
      <w:lvlText w:val=""/>
      <w:lvlJc w:val="left"/>
    </w:lvl>
  </w:abstractNum>
  <w:num w:numId="1" w16cid:durableId="908543342">
    <w:abstractNumId w:val="0"/>
    <w:lvlOverride w:ilvl="0">
      <w:startOverride w:val="1"/>
    </w:lvlOverride>
  </w:num>
  <w:num w:numId="2" w16cid:durableId="20146068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3F6"/>
    <w:rsid w:val="002E3B4B"/>
    <w:rsid w:val="004C73F6"/>
    <w:rsid w:val="00885A17"/>
    <w:rsid w:val="00CA18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07BF"/>
  <w15:docId w15:val="{B6D70CBA-E89B-4608-82A6-2E9E93C8F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20" w:after="100"/>
      <w:outlineLvl w:val="0"/>
    </w:pPr>
    <w:rPr>
      <w:b/>
      <w:bCs/>
      <w:color w:val="1F4E79"/>
      <w:sz w:val="27"/>
      <w:szCs w:val="27"/>
    </w:rPr>
  </w:style>
  <w:style w:type="paragraph" w:styleId="Ttulo2">
    <w:name w:val="heading 2"/>
    <w:uiPriority w:val="9"/>
    <w:unhideWhenUsed/>
    <w:qFormat/>
    <w:pPr>
      <w:spacing w:before="140" w:after="70"/>
      <w:outlineLvl w:val="1"/>
    </w:pPr>
    <w:rPr>
      <w:b/>
      <w:bCs/>
      <w:color w:val="2E74B5"/>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1748</Words>
  <Characters>9619</Characters>
  <Application>Microsoft Office Word</Application>
  <DocSecurity>0</DocSecurity>
  <Lines>80</Lines>
  <Paragraphs>22</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Primera Entrega - Proyecto Integrador ML1</dc:title>
  <dc:creator>Sebastian Ramos</dc:creator>
  <cp:lastModifiedBy>sebastian ramos</cp:lastModifiedBy>
  <cp:revision>2</cp:revision>
  <dcterms:created xsi:type="dcterms:W3CDTF">2026-08-21T19:27:00Z</dcterms:created>
  <dcterms:modified xsi:type="dcterms:W3CDTF">2026-08-21T19:31:00Z</dcterms:modified>
</cp:coreProperties>
</file>