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25.6" w:bottom="1425.6" w:left="1425.6" w:right="1425.6"/>
    </w:sectPr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 xml:space="preserve">Microsoft Active Directory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Layout w:type="autofit"/>
        <w:spacing w:before="72" w:after="72"/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c>
          <w:tcPr/>
          <w:p>
            <w:pPr>
              <w:pStyle w:val="Normal"/>
            </w:pPr>
            <w:r>
              <w:t>Author:</w:t>
            </w:r>
          </w:p>
        </w:tc>
        <w:tc>
          <w:tcPr/>
          <w:p>
            <w:r>
              <w:t>e601902</w:t>
            </w:r>
          </w:p>
        </w:tc>
      </w:tr>
      <w:tr>
        <w:tc>
          <w:tcPr/>
          <w:p>
            <w:pPr>
              <w:pStyle w:val="Normal"/>
            </w:pPr>
            <w:r>
              <w:t>Date:</w:t>
            </w:r>
          </w:p>
        </w:tc>
        <w:tc>
          <w:tcPr/>
          <w:p>
            <w:r>
              <w:t>18 september 2018</w:t>
            </w:r>
          </w:p>
        </w:tc>
      </w:tr>
      <w:tr>
        <w:tc>
          <w:tcPr/>
          <w:p>
            <w:pPr>
              <w:pStyle w:val="Normal"/>
            </w:pPr>
            <w:r>
              <w:t>Version:</w:t>
            </w:r>
          </w:p>
        </w:tc>
        <w:tc>
          <w:tcPr/>
          <w:p>
            <w:r>
              <w:t>1.0</w:t>
            </w:r>
          </w:p>
        </w:tc>
      </w:tr>
    </w:tbl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Forest Summary</w:t>
      </w:r>
    </w:p>
    <w:p>
      <w:pPr>
        <w:spacing w:before="0" w:after="0"/>
      </w:pPr>
      <w:r>
        <w:rPr/>
        <w:t xml:space="preserve">Active Directory has a forest name oldnet.se. Following table contains forest summary with important information:</w:t>
      </w:r>
    </w:p>
    <w:p>
      <w:pPr>
        <w:pStyle w:val="Heading2"/>
        <w:spacing w:before="200" w:after="200"/>
      </w:pPr>
      <w:r>
        <w:t>1.1 FSMO Servers</w:t>
      </w:r>
    </w:p>
    <w:p>
      <w:pPr>
        <w:spacing w:before="0" w:after="0"/>
      </w:pPr>
      <w:r>
        <w:rPr/>
        <w:t xml:space="preserve">Following table contains FSMO servers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SchemaMaster</w:t>
            </w:r>
          </w:p>
        </w:tc>
        <w:tc>
          <w:tcPr/>
          <w:p>
            <w:r>
              <w:t>OLD-DC01.oldnet.se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DomainNamingMaster</w:t>
            </w:r>
          </w:p>
        </w:tc>
        <w:tc>
          <w:tcPr/>
          <w:p>
            <w:r>
              <w:t>OLD-DC01.oldnet.se</w:t>
            </w:r>
          </w:p>
        </w:tc>
      </w:tr>
    </w:tbl>
    <w:p>
      <w:pPr>
        <w:pStyle w:val="Heading2"/>
        <w:spacing w:before="200" w:after="200"/>
      </w:pPr>
      <w:r>
        <w:t>1.2 Optional Forest Features</w:t>
      </w:r>
    </w:p>
    <w:p>
      <w:pPr>
        <w:spacing w:before="0" w:after="0"/>
      </w:pPr>
      <w:r>
        <w:rPr/>
        <w:t xml:space="preserve">Following table contains optional forest features</w:t>
      </w:r>
    </w:p>
    <w:tbl>
      <w:tblPr>
        <w:tblLayout w:type="fixed"/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c>
          <w:tcPr>
            <w:tcW w:w="3750" w:type="pct"/>
          </w:tcPr>
          <w:tcPr>
            <w:shd w:val="clear" w:color="auto" w:fill="002538"/>
          </w:tcPr>
          <w:p>
            <w:pPr>
              <w:pStyle w:val="TableDefaultHeading"/>
            </w:pPr>
            <w:r>
              <w:t>Recycle Bin Enabled</w:t>
            </w:r>
          </w:p>
        </w:tc>
        <w:tc>
          <w:tcPr>
            <w:tcW w:w="1250" w:type="pct"/>
          </w:tcPr>
          <w:p>
            <w:r>
              <w:t>True</w:t>
            </w:r>
          </w:p>
        </w:tc>
      </w:tr>
      <w:tr>
        <w:tc>
          <w:tcPr>
            <w:tcW w:w="3750" w:type="pct"/>
          </w:tcPr>
          <w:tcPr>
            <w:shd w:val="clear" w:color="auto" w:fill="002538"/>
          </w:tcPr>
          <w:p>
            <w:pPr>
              <w:pStyle w:val="TableDefaultHeading"/>
            </w:pPr>
            <w:r>
              <w:t>Privileged Access Management Feature Enabled</w:t>
            </w:r>
          </w:p>
        </w:tc>
        <w:tc>
          <w:tcPr>
            <w:tcW w:w="1250" w:type="pct"/>
          </w:tcPr>
          <w:p>
            <w:r>
              <w:t>False</w:t>
            </w:r>
          </w:p>
        </w:tc>
      </w:tr>
    </w:tbl>
    <w:p>
      <w:pPr>
        <w:pStyle w:val="Heading2"/>
        <w:spacing w:before="200" w:after="200"/>
      </w:pPr>
      <w:r>
        <w:t>1.3 Forest UPN Suffixes</w:t>
      </w:r>
    </w:p>
    <w:p>
      <w:pPr>
        <w:spacing w:before="0" w:after="0"/>
      </w:pPr>
      <w:r>
        <w:rPr/>
        <w:t xml:space="preserve">Following UPN suffixes were created in this forest: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UPNSuffix</w:t>
            </w:r>
          </w:p>
        </w:tc>
      </w:tr>
      <w:tr>
        <w:tc>
          <w:p>
            <w:pPr>
              <w:pStyle w:val="TableDefaultRow"/>
            </w:pPr>
            <w:r>
              <w:t>danieloldberg.se</w:t>
            </w:r>
          </w:p>
        </w:tc>
      </w:tr>
    </w:tbl>
    <w:p>
      <w:pPr>
        <w:pStyle w:val="Heading1"/>
        <w:spacing w:before="160" w:after="160"/>
      </w:pPr>
      <w:r>
        <w:t>2 Forest Sites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Description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Created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Modified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Protected</w:t>
            </w:r>
          </w:p>
        </w:tc>
      </w:tr>
      <w:tr>
        <w:tc>
          <w:p>
            <w:pPr>
              <w:pStyle w:val="TableDefaultRow"/>
            </w:pPr>
            <w:r>
              <w:t>Default-First-Site-Name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2016-02-14 00:56:01</w:t>
            </w:r>
          </w:p>
        </w:tc>
        <w:tc>
          <w:p>
            <w:pPr>
              <w:pStyle w:val="TableDefaultRow"/>
            </w:pPr>
            <w:r>
              <w:t>2016-10-21 23:40:06</w:t>
            </w:r>
          </w:p>
        </w:tc>
        <w:tc>
          <w:p>
            <w:pPr>
              <w:pStyle w:val="TableDefaultRow"/>
            </w:pPr>
            <w:r>
              <w:t>False</w:t>
            </w:r>
          </w:p>
        </w:tc>
      </w:tr>
    </w:tbl>
    <w:p>
      <w:pPr>
        <w:pStyle w:val="Heading1"/>
        <w:spacing w:before="160" w:after="160"/>
      </w:pPr>
      <w:r>
        <w:t>3 Forest Subnets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Description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Created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Modified</w:t>
            </w:r>
          </w:p>
        </w:tc>
      </w:tr>
      <w:tr>
        <w:tc>
          <w:p>
            <w:pPr>
              <w:pStyle w:val="TableDefaultRow"/>
            </w:pPr>
            <w:r>
              <w:t>192.168.125.0/24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2018-09-18 22:50:33</w:t>
            </w:r>
          </w:p>
        </w:tc>
        <w:tc>
          <w:p>
            <w:pPr>
              <w:pStyle w:val="TableDefaultRow"/>
            </w:pPr>
            <w:r>
              <w:t>2018-09-18 22:50:48</w:t>
            </w:r>
          </w:p>
        </w:tc>
      </w:tr>
    </w:tbl>
    <w:p>
      <w:pPr>
        <w:pStyle w:val="Heading1"/>
        <w:spacing w:before="160" w:after="160"/>
      </w:pPr>
      <w:r>
        <w:t>4 Forest Site Links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Cost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ReplicationFrequencyInMinutes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ReplInterval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Created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Modified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Protected</w:t>
            </w:r>
          </w:p>
        </w:tc>
      </w:tr>
      <w:tr>
        <w:tc>
          <w:p>
            <w:pPr>
              <w:pStyle w:val="TableDefaultRow"/>
            </w:pPr>
            <w:r>
              <w:t>DEFAULTIPSITELINK</w:t>
            </w:r>
          </w:p>
        </w:tc>
        <w:tc>
          <w:p>
            <w:pPr>
              <w:pStyle w:val="TableDefaultRow"/>
            </w:pPr>
            <w:r>
              <w:t>100</w:t>
            </w:r>
          </w:p>
        </w:tc>
        <w:tc>
          <w:p>
            <w:pPr>
              <w:pStyle w:val="TableDefaultRow"/>
            </w:pPr>
            <w:r>
              <w:t>180</w:t>
            </w:r>
          </w:p>
        </w:tc>
        <w:tc>
          <w:p>
            <w:pPr>
              <w:pStyle w:val="TableDefaultRow"/>
            </w:pPr>
            <w:r>
              <w:t>180</w:t>
            </w:r>
          </w:p>
        </w:tc>
        <w:tc>
          <w:p>
            <w:pPr>
              <w:pStyle w:val="TableDefaultRow"/>
            </w:pPr>
            <w:r>
              <w:t>2016-02-14 00:56:01</w:t>
            </w:r>
          </w:p>
        </w:tc>
        <w:tc>
          <w:p>
            <w:pPr>
              <w:pStyle w:val="TableDefaultRow"/>
            </w:pPr>
            <w:r>
              <w:t>2017-06-21 13:15:21</w:t>
            </w:r>
          </w:p>
        </w:tc>
        <w:tc>
          <w:p>
            <w:pPr>
              <w:pStyle w:val="TableDefaultRow"/>
            </w:pPr>
            <w:r>
              <w:t>False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Test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100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180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180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2017-06-21 13:16:59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2017-06-21 13:17:14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</w:tr>
    </w:tbl>
    <w:p>
      <w:pPr>
        <w:pStyle w:val="Heading1"/>
        <w:spacing w:before="160" w:after="160"/>
      </w:pPr>
      <w:r>
        <w:t>5 Domain - oldnet.se</w:t>
      </w:r>
    </w:p>
    <w:p>
      <w:pPr>
        <w:pStyle w:val="Heading2"/>
        <w:spacing w:before="200" w:after="200"/>
      </w:pPr>
      <w:r>
        <w:t>5.1 Domain Controllers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HostName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Read Only DC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Global Catalog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IPv4Address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OperatingSystem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Site</w:t>
            </w:r>
          </w:p>
        </w:tc>
      </w:tr>
      <w:tr>
        <w:tc>
          <w:p>
            <w:pPr>
              <w:pStyle w:val="TableDefaultRow"/>
            </w:pPr>
            <w:r>
              <w:t>OLD-DC01.oldnet.se</w:t>
            </w: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192.168.200.10</w:t>
            </w:r>
          </w:p>
        </w:tc>
        <w:tc>
          <w:p>
            <w:pPr>
              <w:pStyle w:val="TableDefaultRow"/>
            </w:pPr>
            <w:r>
              <w:t>Windows Server 2016 Datacenter</w:t>
            </w:r>
          </w:p>
        </w:tc>
        <w:tc>
          <w:p>
            <w:pPr>
              <w:pStyle w:val="TableDefaultRow"/>
            </w:pPr>
            <w:r>
              <w:t>Default-First-Site-Name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OLD-DC03.oldnet.se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192.168.200.11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Windows Server 2016 Datacenter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Default-First-Site-Name</w:t>
            </w:r>
          </w:p>
        </w:tc>
      </w:tr>
    </w:tbl>
    <w:p>
      <w:pPr>
        <w:pStyle w:val="Heading2"/>
        <w:spacing w:before="200" w:after="200"/>
      </w:pPr>
      <w:r>
        <w:t>5.2 UPN Suffixes</w:t>
      </w:r>
    </w:p>
    <w:p>
      <w:pPr>
        <w:spacing w:before="0" w:after="0"/>
      </w:pPr>
      <w:r>
        <w:rPr/>
        <w:t xml:space="preserve">Following UPN suffixes were created in this domain: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UPNSuffix</w:t>
            </w:r>
          </w:p>
        </w:tc>
      </w:tr>
      <w:tr>
        <w:tc>
          <w:p>
            <w:pPr>
              <w:pStyle w:val="TableDefaultRow"/>
            </w:pPr>
            <w:r>
              <w:t>danieloldberg.se</w:t>
            </w:r>
          </w:p>
        </w:tc>
      </w:tr>
    </w:tbl>
    <w:p>
      <w:pPr>
        <w:pStyle w:val="Heading2"/>
        <w:spacing w:before="200" w:after="200"/>
      </w:pPr>
      <w:r>
        <w:t>5.3 FSMO Servers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InfrastructureMaster</w:t>
            </w:r>
          </w:p>
        </w:tc>
        <w:tc>
          <w:tcPr/>
          <w:p>
            <w:r>
              <w:t>OLD-DC01.oldnet.se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PDCEmulator</w:t>
            </w:r>
          </w:p>
        </w:tc>
        <w:tc>
          <w:tcPr/>
          <w:p>
            <w:r>
              <w:t>OLD-DC01.oldnet.se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RIDMaster</w:t>
            </w:r>
          </w:p>
        </w:tc>
        <w:tc>
          <w:tcPr/>
          <w:p>
            <w:r>
              <w:t>OLD-DC01.oldnet.se</w:t>
            </w:r>
          </w:p>
        </w:tc>
      </w:tr>
    </w:tbl>
    <w:p>
      <w:pPr>
        <w:pStyle w:val="Heading2"/>
        <w:spacing w:before="200" w:after="200"/>
      </w:pPr>
      <w:r>
        <w:t>5.4 Password Policies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Complexity Enabled</w:t>
            </w:r>
          </w:p>
        </w:tc>
        <w:tc>
          <w:tcPr/>
          <w:p>
            <w:r>
              <w:t>True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Lockout Duration</w:t>
            </w:r>
          </w:p>
        </w:tc>
        <w:tc>
          <w:tcPr/>
          <w:p>
            <w:r>
              <w:t>00:30:00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Lockout Observation Window</w:t>
            </w:r>
          </w:p>
        </w:tc>
        <w:tc>
          <w:tcPr/>
          <w:p>
            <w:r>
              <w:t>00:30:00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Lockout Threshold</w:t>
            </w:r>
          </w:p>
        </w:tc>
        <w:tc>
          <w:tcPr/>
          <w:p>
            <w:r>
              <w:t>0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Max Password Age</w:t>
            </w:r>
          </w:p>
        </w:tc>
        <w:tc>
          <w:tcPr/>
          <w:p>
            <w:r>
              <w:t>42.00:00:00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Min Password Age</w:t>
            </w:r>
          </w:p>
        </w:tc>
        <w:tc>
          <w:tcPr/>
          <w:p>
            <w:r>
              <w:t>1.00:00:00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Min Password Length</w:t>
            </w:r>
          </w:p>
        </w:tc>
        <w:tc>
          <w:tcPr/>
          <w:p>
            <w:r>
              <w:t>7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Password History Count</w:t>
            </w:r>
          </w:p>
        </w:tc>
        <w:tc>
          <w:tcPr/>
          <w:p>
            <w:r>
              <w:t>24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Reversible Encryption Enabled</w:t>
            </w:r>
          </w:p>
        </w:tc>
        <w:tc>
          <w:tcPr/>
          <w:p>
            <w:r>
              <w:t>False</w:t>
            </w:r>
          </w:p>
        </w:tc>
      </w:tr>
    </w:tbl>
    <w:p>
      <w:pPr>
        <w:pStyle w:val="Heading2"/>
        <w:spacing w:before="200" w:after="200"/>
      </w:pPr>
      <w:r>
        <w:t>5.5 Fine Grained Password Policies</w:t>
      </w:r>
    </w:p>
    <w:p>
      <w:pPr>
        <w:spacing w:before="0" w:after="0"/>
      </w:pPr>
      <w:r>
        <w:rPr/>
        <w:t xml:space="preserve">Following section should cover fine grained password policies.</w:t>
      </w:r>
    </w:p>
    <w:p>
      <w:pPr>
        <w:spacing w:before="0" w:after="0"/>
      </w:pPr>
      <w:r>
        <w:rPr/>
        <w:t xml:space="preserve">There were no fine grained password polices defined in oldnet.se. There was no formal requirement to have them set up.</w:t>
      </w:r>
    </w:p>
    <w:p>
      <w:pPr>
        <w:pStyle w:val="Heading2"/>
        <w:spacing w:before="200" w:after="200"/>
      </w:pPr>
      <w:r>
        <w:t>5.6 Group Policies</w:t>
      </w:r>
    </w:p>
    <w:p>
      <w:pPr>
        <w:spacing w:before="0" w:after="0"/>
      </w:pPr>
      <w:r>
        <w:rPr>
          <w:color w:val="FF0000"/>
        </w:rPr>
        <w:t xml:space="preserve">Unable to collect GPO information for oldnet.se. This is probably due to missing permissions or client machine in another domain</w:t>
      </w:r>
    </w:p>
    <w:p>
      <w:pPr>
        <w:pStyle w:val="Heading2"/>
        <w:spacing w:before="200" w:after="200"/>
      </w:pPr>
      <w:r>
        <w:t>5.7 Group Policies Details</w:t>
      </w:r>
    </w:p>
    <w:p>
      <w:pPr>
        <w:pStyle w:val="Heading2"/>
        <w:spacing w:before="200" w:after="200"/>
      </w:pPr>
      <w:r>
        <w:t>5.8 Group Policies ACL</w:t>
      </w:r>
    </w:p>
    <w:p>
      <w:pPr>
        <w:pStyle w:val="Heading2"/>
        <w:spacing w:before="200" w:after="200"/>
      </w:pPr>
      <w:r>
        <w:t>5.9 DNS A/SRV Records</w:t>
      </w:r>
    </w:p>
    <w:p>
      <w:pPr>
        <w:spacing w:before="0" w:after="0"/>
      </w:pPr>
      <w:r>
        <w:rPr/>
        <w:t xml:space="preserve">Following section covers all DNS zones in all domain controllers in oldnet.se</w:t>
      </w:r>
    </w:p>
    <w:p>
      <w:pPr>
        <w:spacing w:before="0" w:after="0"/>
      </w:pPr>
      <w:r>
        <w:rPr>
          <w:color w:val="FF0000"/>
        </w:rPr>
        <w:t xml:space="preserve">Unable to collect Dns Zone information from domain controllerss in oldnet.se. This is probably due to missing permissions or client machine in another domain</w:t>
      </w:r>
    </w:p>
    <w:p>
      <w:pPr>
        <w:pStyle w:val="Heading2"/>
        <w:spacing w:before="200" w:after="200"/>
      </w:pPr>
      <w:r>
        <w:t>5.10 Trusts</w:t>
      </w:r>
    </w:p>
    <w:p>
      <w:pPr>
        <w:pStyle w:val="Heading2"/>
        <w:spacing w:before="200" w:after="200"/>
      </w:pPr>
      <w:r>
        <w:t>5.11 Organizational Units</w:t>
      </w:r>
    </w:p>
    <w:p>
      <w:pPr>
        <w:spacing w:before="0" w:after="0"/>
      </w:pPr>
      <w:r>
        <w:rPr/>
        <w:t xml:space="preserve">Following table contains all OU's created in oldnet.se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CanonicalName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ManagedBy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Protected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Created</w:t>
            </w:r>
          </w:p>
        </w:tc>
      </w:tr>
      <w:tr>
        <w:tc>
          <w:p>
            <w:pPr>
              <w:pStyle w:val="TableDefaultRow"/>
            </w:pPr>
            <w:r>
              <w:t>oldnet.se/Microsoft Exchange Security 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2016-02-26 01:38:02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oldnet.se/Domain Controllers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2016-02-14 00:56:10</w:t>
            </w:r>
          </w:p>
        </w:tc>
      </w:tr>
      <w:tr>
        <w:tc>
          <w:p>
            <w:pPr>
              <w:pStyle w:val="TableDefaultRow"/>
            </w:pPr>
            <w:r>
              <w:t>oldnet.se/Oldnet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2016-02-14 01:04:29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2016-02-14 01:04:52</w:t>
            </w:r>
          </w:p>
        </w:tc>
      </w:tr>
      <w:tr>
        <w:tc>
          <w:p>
            <w:pPr>
              <w:pStyle w:val="TableDefaultRow"/>
            </w:pPr>
            <w:r>
              <w:t>oldnet.se/Oldnet/Service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2016-04-07 22:16:49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2016-04-07 22:18:28</w:t>
            </w:r>
          </w:p>
        </w:tc>
      </w:tr>
      <w:tr>
        <w:tc>
          <w:p>
            <w:pPr>
              <w:pStyle w:val="TableDefaultRow"/>
            </w:pPr>
            <w:r>
              <w:t>oldnet.se/Oldnet/Groups/File\/Media Resources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2016-05-27 12:22:59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oldnet.se/Oldnet/Clients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2016-04-11 20:43:24</w:t>
            </w:r>
          </w:p>
        </w:tc>
      </w:tr>
      <w:tr>
        <w:tc>
          <w:p>
            <w:pPr>
              <w:pStyle w:val="TableDefaultRow"/>
            </w:pPr>
            <w:r>
              <w:t>oldnet.se/Oldnet/MediaUsers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2016-04-24 20:42:24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oldnet.se/Oldnet/Service Accounts/MediaCenter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2016-05-26 14:54:09</w:t>
            </w:r>
          </w:p>
        </w:tc>
      </w:tr>
      <w:tr>
        <w:tc>
          <w:p>
            <w:pPr>
              <w:pStyle w:val="TableDefaultRow"/>
            </w:pPr>
            <w:r>
              <w:t>oldnet.se/Oldnet/Servers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2016-02-18 23:33:48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oldnet.se/Oldnet/Administrators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2016-10-14 00:35:54</w:t>
            </w:r>
          </w:p>
        </w:tc>
      </w:tr>
      <w:tr>
        <w:tc>
          <w:p>
            <w:pPr>
              <w:pStyle w:val="TableDefaultRow"/>
            </w:pPr>
            <w:r>
              <w:t>oldnet.se/Oldnet/Groups/Clients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2016-10-27 21:25:16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oldnet.se/Oldnet/Clients/Laptops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2016-11-02 21:07:02</w:t>
            </w:r>
          </w:p>
        </w:tc>
      </w:tr>
      <w:tr>
        <w:tc>
          <w:p>
            <w:pPr>
              <w:pStyle w:val="TableDefaultRow"/>
            </w:pPr>
            <w:r>
              <w:t>oldnet.se/Oldnet/Clients/Desktops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2016-11-02 21:07:08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oldnet.se/Oldnet/Service Accounts/Web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2016-11-06 00:12:11</w:t>
            </w:r>
          </w:p>
        </w:tc>
      </w:tr>
      <w:tr>
        <w:tc>
          <w:p>
            <w:pPr>
              <w:pStyle w:val="TableDefaultRow"/>
            </w:pPr>
            <w:r>
              <w:t>oldnet.se/Oldnet/Groups/Hyper-V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2017-03-17 23:33:12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oldnet.se/Oldnet/Groups/WSUS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2017-08-20 23:54:15</w:t>
            </w:r>
          </w:p>
        </w:tc>
      </w:tr>
      <w:tr>
        <w:tc>
          <w:p>
            <w:pPr>
              <w:pStyle w:val="TableDefaultRow"/>
            </w:pPr>
            <w:r>
              <w:t>oldnet.se/Oldnet/Groups/Applications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2018-01-01 15:49:05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oldnet.se/Lab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2018-08-16 20:16:46</w:t>
            </w:r>
          </w:p>
        </w:tc>
      </w:tr>
      <w:tr>
        <w:tc>
          <w:p>
            <w:pPr>
              <w:pStyle w:val="TableDefaultRow"/>
            </w:pPr>
            <w:r>
              <w:t>oldnet.se/Lab/Test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2018-08-16 20:18:04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oldnet.se/Lab/Groups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2018-08-16 20:18:25</w:t>
            </w:r>
          </w:p>
        </w:tc>
      </w:tr>
      <w:tr>
        <w:tc>
          <w:p>
            <w:pPr>
              <w:pStyle w:val="TableDefaultRow"/>
            </w:pPr>
            <w:r>
              <w:t>oldnet.se/Lab/Test2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2018-08-16 20:24:22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oldnet.se/Oldnet/Groups/Remote Desktop Services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2018-08-30 10:16:48</w:t>
            </w:r>
          </w:p>
        </w:tc>
      </w:tr>
      <w:tr>
        <w:tc>
          <w:p>
            <w:pPr>
              <w:pStyle w:val="TableDefaultRow"/>
            </w:pPr>
            <w:r>
              <w:t>oldnet.se/Oldnet/Horizon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2018-09-04 22:02:17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oldnet.se/Oldnet/Horizon/Hosts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2018-09-04 22:03:22</w:t>
            </w:r>
          </w:p>
        </w:tc>
      </w:tr>
    </w:tbl>
    <w:p>
      <w:pPr>
        <w:pStyle w:val="Heading2"/>
        <w:spacing w:before="200" w:after="200"/>
      </w:pPr>
      <w:r>
        <w:t>5.12 Domain Administrators</w:t>
      </w:r>
    </w:p>
    <w:p>
      <w:pPr>
        <w:spacing w:before="0" w:after="0"/>
      </w:pPr>
      <w:r>
        <w:rPr/>
        <w:t xml:space="preserve">Following users have highest priviliges and are able to control a lot of Windows resources.</w:t>
      </w:r>
    </w:p>
    <w:tbl>
      <w:tblPr>
        <w:tblLayout w:type="fixed"/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750" w:type="pct"/>
          </w:tcPr>
          <w:p>
            <w:pPr>
              <w:pStyle w:val="TableDefaultHeading"/>
            </w:pPr>
            <w:r>
              <w:t>Enabled</w:t>
            </w:r>
          </w:p>
        </w:tc>
        <w:tc>
          <w:tcPr>
            <w:shd w:val="clear" w:color="auto" w:fill="002538"/>
            <w:tcW w:w="100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1500" w:type="pct"/>
          </w:tcPr>
          <w:p>
            <w:pPr>
              <w:pStyle w:val="TableDefaultHeading"/>
            </w:pPr>
            <w:r>
              <w:t>SamAccountName</w:t>
            </w:r>
          </w:p>
        </w:tc>
        <w:tc>
          <w:tcPr>
            <w:shd w:val="clear" w:color="auto" w:fill="002538"/>
            <w:tcW w:w="1750" w:type="pct"/>
          </w:tcPr>
          <w:p>
            <w:pPr>
              <w:pStyle w:val="TableDefaultHeading"/>
            </w:pPr>
            <w:r>
              <w:t>UserPrincipalName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Administrator</w:t>
            </w:r>
          </w:p>
        </w:tc>
        <w:tc>
          <w:p>
            <w:pPr>
              <w:pStyle w:val="TableDefaultRow"/>
            </w:pPr>
            <w:r>
              <w:t>Administrator</w:t>
            </w:r>
          </w:p>
        </w:tc>
        <w:tc>
          <w:p>
            <w:pPr>
              <w:pStyle w:val="TableDefaultRow"/>
            </w:pP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Daniel Oldberg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d.oldberg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d.oldberg@oldnet.se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Backup User</w:t>
            </w:r>
          </w:p>
        </w:tc>
        <w:tc>
          <w:p>
            <w:pPr>
              <w:pStyle w:val="TableDefaultRow"/>
            </w:pPr>
            <w:r>
              <w:t>BackupUser</w:t>
            </w:r>
          </w:p>
        </w:tc>
        <w:tc>
          <w:p>
            <w:pPr>
              <w:pStyle w:val="TableDefaultRow"/>
            </w:pPr>
            <w:r>
              <w:t>BackupUser@oldnet.se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service.monitor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service.monitor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service.monitor@oldnet.se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service.veeam</w:t>
            </w:r>
          </w:p>
        </w:tc>
        <w:tc>
          <w:p>
            <w:pPr>
              <w:pStyle w:val="TableDefaultRow"/>
            </w:pPr>
            <w:r>
              <w:t>service.veeam</w:t>
            </w:r>
          </w:p>
        </w:tc>
        <w:tc>
          <w:p>
            <w:pPr>
              <w:pStyle w:val="TableDefaultRow"/>
            </w:pPr>
            <w:r>
              <w:t>service.veeam@oldnet.se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service.prtg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service.prtg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service.prtg@oldnet.se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service.pdqdeploy</w:t>
            </w:r>
          </w:p>
        </w:tc>
        <w:tc>
          <w:p>
            <w:pPr>
              <w:pStyle w:val="TableDefaultRow"/>
            </w:pPr>
            <w:r>
              <w:t>service.pdqdeploy</w:t>
            </w:r>
          </w:p>
        </w:tc>
        <w:tc>
          <w:p>
            <w:pPr>
              <w:pStyle w:val="TableDefaultRow"/>
            </w:pPr>
            <w:r>
              <w:t>service.pdqdeploy@oldnet.se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service.awx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service.awx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service.awx@oldnet.se</w:t>
            </w:r>
          </w:p>
        </w:tc>
      </w:tr>
    </w:tbl>
    <w:p>
      <w:pPr>
        <w:pStyle w:val="Heading2"/>
        <w:spacing w:before="200" w:after="200"/>
      </w:pPr>
      <w:r>
        <w:t>5.13 Enterprise Administrators</w:t>
      </w:r>
    </w:p>
    <w:p>
      <w:pPr>
        <w:spacing w:before="0" w:after="0"/>
      </w:pPr>
      <w:r>
        <w:rPr/>
        <w:t xml:space="preserve">Following users have highest priviliges across Forest and are able to control a lot of Windows resources.</w:t>
      </w:r>
    </w:p>
    <w:tbl>
      <w:tblPr>
        <w:tblLayout w:type="fixed"/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750" w:type="pct"/>
          </w:tcPr>
          <w:p>
            <w:pPr>
              <w:pStyle w:val="TableDefaultHeading"/>
            </w:pPr>
            <w:r>
              <w:t>Enabled</w:t>
            </w:r>
          </w:p>
        </w:tc>
        <w:tc>
          <w:tcPr>
            <w:shd w:val="clear" w:color="auto" w:fill="002538"/>
            <w:tcW w:w="100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1500" w:type="pct"/>
          </w:tcPr>
          <w:p>
            <w:pPr>
              <w:pStyle w:val="TableDefaultHeading"/>
            </w:pPr>
            <w:r>
              <w:t>SamAccountName</w:t>
            </w:r>
          </w:p>
        </w:tc>
        <w:tc>
          <w:tcPr>
            <w:shd w:val="clear" w:color="auto" w:fill="002538"/>
            <w:tcW w:w="1750" w:type="pct"/>
          </w:tcPr>
          <w:p>
            <w:pPr>
              <w:pStyle w:val="TableDefaultHeading"/>
            </w:pPr>
            <w:r>
              <w:t>UserPrincipalName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Administrator</w:t>
            </w:r>
          </w:p>
        </w:tc>
        <w:tc>
          <w:p>
            <w:pPr>
              <w:pStyle w:val="TableDefaultRow"/>
            </w:pPr>
            <w:r>
              <w:t>Administrator</w:t>
            </w:r>
          </w:p>
        </w:tc>
        <w:tc>
          <w:p>
            <w:pPr>
              <w:pStyle w:val="TableDefaultRow"/>
            </w:pP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Daniel Oldberg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d.oldberg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d.oldberg@oldnet.se</w:t>
            </w:r>
          </w:p>
        </w:tc>
      </w:tr>
    </w:tbl>
    <w:p>
      <w:pPr>
        <w:pStyle w:val="Heading2"/>
        <w:spacing w:before="200" w:after="200"/>
      </w:pPr>
      <w:r>
        <w:t>5.14 Users Count</w:t>
      </w:r>
    </w:p>
    <w:p>
      <w:pPr>
        <w:pStyle w:val="Heading2"/>
        <w:spacing w:before="200" w:after="200"/>
      </w:pPr>
      <w:r>
        <w:t>5.15 GPP Drive Maps</w:t>
      </w:r>
    </w:p>
    <w:p>
      <w:pPr>
        <w:spacing w:before="0" w:after="0"/>
      </w:pPr>
      <w:r>
        <w:rPr>
          <w:color w:val="FF0000"/>
        </w:rPr>
        <w:t xml:space="preserve">Unable to collect GPP Drive Maps for oldnet.se. This is probably due to not being able to retrieve GPO objects</w:t>
      </w:r>
    </w:p>
    <w:p>
      <w:pPr>
        <w:pStyle w:val="Heading2"/>
        <w:spacing w:before="200" w:after="200"/>
      </w:pPr>
      <w:r>
        <w:t>5.16 DFS Namespaces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H1ExcludeTOC">
    <w:name w:val="H1 Exclude TOC"/>
    <w:basedOn w:val="Normal"/>
    <w:link w:val="H1Exclude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character" w:styleId="H1ExcludeTOCChar">
    <w:name w:val="H1 Exclude TOC Char"/>
    <w:basedOn w:val="Normal"/>
    <w:link w:val="H1ExcludeTOC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8"/>
    </w:rPr>
  </w:style>
  <w:style w:type="paragraph" w:styleId="OK">
    <w:name w:val="OK"/>
    <w:basedOn w:val="Normal"/>
    <w:link w:val="OKChar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3">
    <w:name w:val="Title 3"/>
    <w:basedOn w:val="Normal"/>
    <w:link w:val="Title3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character" w:styleId="Title3Char">
    <w:name w:val="Title 3 Char"/>
    <w:basedOn w:val="Normal"/>
    <w:link w:val="Title3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paragraph" w:styleId="Info">
    <w:name w:val="Info"/>
    <w:basedOn w:val="Normal"/>
    <w:link w:val="InfoChar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002538"/>
    </w:pPr>
    <w:rPr>
      <w:rFonts w:ascii="Arial" w:hAnsi="Arial"/>
      <w:color w:val="FAF7EE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002538"/>
    </w:pPr>
    <w:rPr>
      <w:rFonts w:ascii="Arial" w:hAnsi="Arial"/>
      <w:color w:val="FAF7EE"/>
      <w:sz w:val="20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center"/>
    </w:pPr>
    <w:rPr>
      <w:rFonts w:ascii="Arial" w:hAnsi="Arial"/>
      <w:color w:val="002538"/>
      <w:sz w:val="48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center"/>
    </w:pPr>
    <w:rPr>
      <w:rFonts w:ascii="Arial" w:hAnsi="Arial"/>
      <w:color w:val="002538"/>
      <w:sz w:val="4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paragraph" w:styleId="Title2">
    <w:name w:val="Title 2"/>
    <w:basedOn w:val="Normal"/>
    <w:link w:val="Title2Char"/>
    <w:next w:val="Normal"/>
    <w:qFormat/>
    <w:pPr>
      <w:keepNext/>
      <w:keepLines/>
      <w:spacing w:before="0" w:after="0"/>
      <w:jc w:val="center"/>
    </w:pPr>
    <w:rPr>
      <w:rFonts w:ascii="Arial" w:hAnsi="Arial"/>
      <w:color w:val="007CBB"/>
      <w:sz w:val="36"/>
    </w:rPr>
  </w:style>
  <w:style w:type="character" w:styleId="Title2Char">
    <w:name w:val="Title 2 Char"/>
    <w:basedOn w:val="Normal"/>
    <w:link w:val="Title2"/>
    <w:next w:val="Normal"/>
    <w:qFormat/>
    <w:pPr>
      <w:keepNext/>
      <w:keepLines/>
      <w:spacing w:before="0" w:after="0"/>
      <w:jc w:val="center"/>
    </w:pPr>
    <w:rPr>
      <w:rFonts w:ascii="Arial" w:hAnsi="Arial"/>
      <w:color w:val="007CBB"/>
      <w:sz w:val="36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Warning">
    <w:name w:val="Warning"/>
    <w:basedOn w:val="Normal"/>
    <w:link w:val="WarningChar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character" w:styleId="WarningChar">
    <w:name w:val="Warning Char"/>
    <w:basedOn w:val="Normal"/>
    <w:link w:val="Warning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paragraph" w:styleId="Critical">
    <w:name w:val="Critical"/>
    <w:basedOn w:val="Normal"/>
    <w:link w:val="CriticalChar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9E4EA"/>
    </w:pPr>
    <w:rPr>
      <w:rFonts w:ascii="Arial" w:hAnsi="Arial"/>
      <w:color w:val="000000"/>
      <w:sz w:val="20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9E4EA"/>
    </w:pPr>
    <w:rPr>
      <w:rFonts w:ascii="Arial" w:hAnsi="Arial"/>
      <w:color w:val="000000"/>
      <w:sz w:val="20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0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table" w:styleId="TableDefault">
    <w:name w:val="TableDefault"/>
    <w:tblPr>
      <w:tblStyleRowBandSize w:val="1"/>
      <w:tblBorders>
        <w:top w:sz="5.76" w:val="single" w:color="002538"/>
        <w:bottom w:sz="5.76" w:val="single" w:color="002538"/>
        <w:start w:sz="5.76" w:val="single" w:color="002538"/>
        <w:end w:sz="5.76" w:val="single" w:color="002538"/>
        <w:insideH w:sz="5.76" w:val="single" w:color="002538"/>
        <w:insideV w:sz="5.76" w:val="single" w:color="002538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FAF7EE"/>
        <w:sz w:val="20"/>
      </w:rPr>
      <w:tcPr>
        <w:shd w:val="clear" w:color="auto" w:fill="002538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>
        <w:shd w:val="clear" w:color="auto" w:fill="D9E4EA"/>
      </w:tcPr>
    </w:tblStylePr>
  </w:style>
  <w:style w:type="table" w:styleId="Borderless">
    <w:name w:val="Borderless"/>
    <w:tblPr>
      <w:tblStyleRowBandSize w:val="1"/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565656"/>
        <w:sz w:val="20"/>
      </w:rPr>
      <w:tcPr/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565656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565656"/>
        <w:sz w:val="20"/>
      </w:rPr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