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8" w:sz="6" w:val="single"/>
        </w:pBdr>
        <w:spacing w:after="40" w:before="400" w:lineRule="auto"/>
        <w:jc w:val="center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8" w:sz="6" w:val="single"/>
        </w:pBdr>
        <w:spacing w:after="40" w:before="400" w:lineRule="auto"/>
        <w:jc w:val="center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8" w:sz="6" w:val="single"/>
        </w:pBdr>
        <w:spacing w:after="40" w:before="400" w:lineRule="auto"/>
        <w:jc w:val="center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32"/>
          <w:szCs w:val="32"/>
          <w:rtl w:val="0"/>
        </w:rPr>
        <w:t xml:space="preserve">Prueba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jc w:val="center"/>
        <w:rPr>
          <w:rFonts w:ascii="Lato" w:cs="Lato" w:eastAsia="Lato" w:hAnsi="La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32"/>
          <w:szCs w:val="32"/>
          <w:rtl w:val="0"/>
        </w:rPr>
        <w:t xml:space="preserve">Ingeniero de IA / Desarrollador de Sistemas 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32"/>
          <w:szCs w:val="32"/>
          <w:rtl w:val="0"/>
        </w:rPr>
        <w:t xml:space="preserve">Agénticos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32"/>
          <w:szCs w:val="32"/>
          <w:rtl w:val="0"/>
        </w:rPr>
        <w:t xml:space="preserve"> y RAG</w:t>
      </w:r>
    </w:p>
    <w:p w:rsidR="00000000" w:rsidDel="00000000" w:rsidP="00000000" w:rsidRDefault="00000000" w:rsidRPr="00000000" w14:paraId="00000005">
      <w:pPr>
        <w:spacing w:after="320" w:lineRule="auto"/>
        <w:jc w:val="center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center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20" w:lineRule="auto"/>
        <w:jc w:val="left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lineRule="auto"/>
        <w:jc w:val="center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before="200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0" distT="0" distL="0" distR="0">
            <wp:extent cx="3238500" cy="866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800" w:lineRule="auto"/>
        <w:jc w:val="left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800" w:lineRule="auto"/>
        <w:jc w:val="left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800" w:lineRule="auto"/>
        <w:jc w:val="center"/>
        <w:rPr>
          <w:rFonts w:ascii="Lato" w:cs="Lato" w:eastAsia="Lato" w:hAnsi="Lato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Investigación, Desarrollo e Innovación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rFonts w:ascii="Lato" w:cs="Lato" w:eastAsia="Lato" w:hAnsi="Lato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V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Lato" w:cs="Lato" w:eastAsia="Lato" w:hAnsi="Lato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sz w:val="28"/>
          <w:szCs w:val="28"/>
          <w:rtl w:val="0"/>
        </w:rPr>
        <w:t xml:space="preserve">2026-06</w:t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  <w:sz w:val="24"/>
          <w:szCs w:val="24"/>
        </w:rPr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4" w:sz="6" w:val="single"/>
        </w:pBdr>
        <w:spacing w:after="120" w:before="12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Tabla de Control de Cambios</w:t>
      </w: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1b2a4a" w:space="0" w:sz="4" w:val="single"/>
          <w:left w:color="1b2a4a" w:space="0" w:sz="4" w:val="single"/>
          <w:bottom w:color="1b2a4a" w:space="0" w:sz="4" w:val="single"/>
          <w:right w:color="1b2a4a" w:space="0" w:sz="4" w:val="single"/>
          <w:insideH w:color="1b2a4a" w:space="0" w:sz="4" w:val="single"/>
          <w:insideV w:color="1b2a4a" w:space="0" w:sz="4" w:val="single"/>
        </w:tblBorders>
        <w:tblLayout w:type="fixed"/>
        <w:tblLook w:val="0000"/>
      </w:tblPr>
      <w:tblGrid>
        <w:gridCol w:w="1575"/>
        <w:gridCol w:w="1215"/>
        <w:gridCol w:w="4410"/>
        <w:gridCol w:w="2415"/>
        <w:tblGridChange w:id="0">
          <w:tblGrid>
            <w:gridCol w:w="1575"/>
            <w:gridCol w:w="1215"/>
            <w:gridCol w:w="4410"/>
            <w:gridCol w:w="2415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2026-06-26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Versión inicial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Elaboró: Nicole Rivera-Parra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2026-06-30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Reestructuración con observaciones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Elaboró: Nicole Rivera-Parra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before="240" w:lineRule="auto"/>
        <w:rPr>
          <w:rFonts w:ascii="Lato" w:cs="Lato" w:eastAsia="Lato" w:hAnsi="Lato"/>
          <w:b w:val="1"/>
          <w:bCs w:val="1"/>
          <w:color w:val="1b2a4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4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19410839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 DE LA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DEL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Insumos entregados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RETO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Qué debe lograr la solución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 del código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AUTÓNOMA DEL DESEMPEÑO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EVALUACIÓN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1ca9bd" w:space="4" w:sz="18" w:val="single"/>
        </w:pBdr>
        <w:spacing w:after="60" w:befor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OBJETIVO GENERAL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Diseñar y construir un asistente inteligente capaz de responder, de forma precisa y fundamentada, consultas formales sobre la cobertura de un plan de salud, razonando sobre un conjunto de documentos y sobre el registro del afiliado que realiza la consulta.</w:t>
      </w:r>
    </w:p>
    <w:p w:rsidR="00000000" w:rsidDel="00000000" w:rsidP="00000000" w:rsidRDefault="00000000" w:rsidRPr="00000000" w14:paraId="0000002B">
      <w:pPr>
        <w:spacing w:after="4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Duración estimada: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6 a 8 horas de desarrollo.</w:t>
      </w:r>
    </w:p>
    <w:p w:rsidR="00000000" w:rsidDel="00000000" w:rsidP="00000000" w:rsidRDefault="00000000" w:rsidRPr="00000000" w14:paraId="0000002C">
      <w:pPr>
        <w:spacing w:after="4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Modalidad: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repositorio comprimido (.zip) más un documento breve de análisis en PDF.</w:t>
      </w:r>
    </w:p>
    <w:p w:rsidR="00000000" w:rsidDel="00000000" w:rsidP="00000000" w:rsidRDefault="00000000" w:rsidRPr="00000000" w14:paraId="0000002D">
      <w:pPr>
        <w:spacing w:after="4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Lenguaje principal: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Python 3.10+.</w:t>
      </w:r>
    </w:p>
    <w:p w:rsidR="00000000" w:rsidDel="00000000" w:rsidP="00000000" w:rsidRDefault="00000000" w:rsidRPr="00000000" w14:paraId="0000002E">
      <w:pPr>
        <w:spacing w:after="4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Nivel: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Junior–Mid. Se valora más el razonamiento y la calidad del código que la exhaustividad de la solución.</w:t>
      </w:r>
    </w:p>
    <w:p w:rsidR="00000000" w:rsidDel="00000000" w:rsidP="00000000" w:rsidRDefault="00000000" w:rsidRPr="00000000" w14:paraId="0000002F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Fecha límite: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según comunicación del equipo de selección.</w:t>
      </w:r>
    </w:p>
    <w:p w:rsidR="00000000" w:rsidDel="00000000" w:rsidP="00000000" w:rsidRDefault="00000000" w:rsidRPr="00000000" w14:paraId="00000030">
      <w:pPr>
        <w:pStyle w:val="Heading1"/>
        <w:pBdr>
          <w:bottom w:color="1ca9bd" w:space="4" w:sz="18" w:val="single"/>
        </w:pBdr>
        <w:spacing w:after="60" w:befor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CONTEXTO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Una entidad (ficticia) que administra planes de salud recibe a diario consultas de sus afiliados que desean saber si un servicio, procedimiento o medicamento está cubierto, bajo qué condiciones y cuánto deberían pagar. Hoy, un analista debe leer manualmente varios documentos del plan y verificar el estado del afiliado antes de emitir una respuesta.</w:t>
      </w:r>
    </w:p>
    <w:p w:rsidR="00000000" w:rsidDel="00000000" w:rsidP="00000000" w:rsidRDefault="00000000" w:rsidRPr="00000000" w14:paraId="00000032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Las consultas llegan redactadas en un lenguaje formal y estructurado, con múltiples condiciones que deben cruzarse entre sí. A continuación, un ejemplo representativo del tipo de entrada:</w:t>
      </w:r>
    </w:p>
    <w:p w:rsidR="00000000" w:rsidDel="00000000" w:rsidP="00000000" w:rsidRDefault="00000000" w:rsidRPr="00000000" w14:paraId="00000033">
      <w:pPr>
        <w:pBdr>
          <w:left w:color="1ca9bd" w:space="10" w:sz="18" w:val="single"/>
        </w:pBdr>
        <w:spacing w:after="120" w:before="60" w:line="276" w:lineRule="auto"/>
        <w:ind w:left="36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333333"/>
          <w:sz w:val="24"/>
          <w:szCs w:val="24"/>
          <w:rtl w:val="0"/>
        </w:rPr>
        <w:t xml:space="preserve">“Por medio del presente escrito, y en mi calidad de afiliado titular al plan de salud identificado con el número de afiliación N.º A-00427, me permito solicitar formalmente se determine si el procedimiento de resonancia magnética de rodilla, prescrito por el especialista tratante, se encuentra cubierto por mi plan; y, en caso afirmativo, bajo qué condiciones, con qué requisitos de autorización previa y qué monto quedaría a mi cargo, considerando que mi vinculación al plan data de menos de seis (6) meses y que no registro obligaciones pendientes a la fecha. Solicito que la respuesta indique de manera expresa el fundamento documental de la decisión.”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Tu objetivo es construir una solución que, dada una consulta y el identificador del afiliado, consulte la documentación pertinente y el registro del afiliado, razone sobre la procedencia de la cobertura y redacte una respuesta formal, clara y fundamentada.</w:t>
      </w:r>
    </w:p>
    <w:p w:rsidR="00000000" w:rsidDel="00000000" w:rsidP="00000000" w:rsidRDefault="00000000" w:rsidRPr="00000000" w14:paraId="00000035">
      <w:pPr>
        <w:pStyle w:val="Heading2"/>
        <w:spacing w:after="40" w:before="22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Insumos entregados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 entregarán los siguientes insumos como punto de partida. Están elaborados a partir de fuentes genéricas de dominio público y datos sintéticos:</w:t>
      </w:r>
    </w:p>
    <w:tbl>
      <w:tblPr>
        <w:tblStyle w:val="Table2"/>
        <w:tblW w:w="9620.0" w:type="dxa"/>
        <w:jc w:val="left"/>
        <w:tblBorders>
          <w:top w:color="1ca9bd" w:space="0" w:sz="4" w:val="single"/>
          <w:left w:color="1ca9bd" w:space="0" w:sz="4" w:val="single"/>
          <w:bottom w:color="1ca9bd" w:space="0" w:sz="4" w:val="single"/>
          <w:right w:color="1ca9bd" w:space="0" w:sz="4" w:val="single"/>
          <w:insideH w:color="1ca9bd" w:space="0" w:sz="4" w:val="single"/>
          <w:insideV w:color="1ca9bd" w:space="0" w:sz="4" w:val="single"/>
        </w:tblBorders>
        <w:tblLayout w:type="fixed"/>
        <w:tblLook w:val="0000"/>
      </w:tblPr>
      <w:tblGrid>
        <w:gridCol w:w="3200"/>
        <w:gridCol w:w="6420"/>
        <w:tblGridChange w:id="0">
          <w:tblGrid>
            <w:gridCol w:w="3200"/>
            <w:gridCol w:w="642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DOC1 — Manual de Beneficios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Servicios cubiertos, niveles de cobertura y esquema de copagos/coaseguros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DOC2 — Términos y Condiciones de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Exclusiones, períodos de carencia, requisitos de autorización previa y límites aplicables.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DOC3 — Criterios de Necesidad Médica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Guía con los criterios bajo los cuales un servicio o procedimiento se considera procedente.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BD_afiliados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Conjunto de datos sintético con registros de afiliados: plan, antigüedad, estado de pagos, autorizaciones y demás campos relevantes para el razonamiento.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No se entrega código base, esqueletos, fragmentos ni configuración de infraestructura.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El diseño de la solución y la elección de las herramientas forman parte de lo que se evalúa.</w:t>
      </w:r>
    </w:p>
    <w:p w:rsidR="00000000" w:rsidDel="00000000" w:rsidP="00000000" w:rsidRDefault="00000000" w:rsidRPr="00000000" w14:paraId="00000043">
      <w:pPr>
        <w:pStyle w:val="Heading1"/>
        <w:pBdr>
          <w:bottom w:color="1ca9bd" w:space="4" w:sz="18" w:val="single"/>
        </w:pBdr>
        <w:spacing w:after="60" w:befor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EL 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40" w:before="22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Qué debe lograr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 describe el resultado esperado a nivel funcional. Cómo lograrlo es tu decisión: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Interpretar la consulta formal del afiliado e identificar con precisión qué se está solicitando.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Recuperar la información relevante desde el conjunto de documentos —que en conjunto exceden lo que cabe en una sola petición al modelo— y desde el registro del afiliado.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Razonar cruzando las reglas de cobertura, las condiciones del plan y los datos del afiliado (por ejemplo, antigüedad, estado de pagos, autorizaciones previas o periodos de carencia) para determinar si la solicitud procede.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Exponer de forma trazable el razonamiento que condujo a la conclusión.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Redactar una respuesta formal —cubierto, no cubierto o cubierto con condiciones— fundamentada y citando la fuente correspondiente, sin inventar información.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Exponer la solución de manera que pueda ejecutarse y probarse.</w:t>
      </w:r>
    </w:p>
    <w:p w:rsidR="00000000" w:rsidDel="00000000" w:rsidP="00000000" w:rsidRDefault="00000000" w:rsidRPr="00000000" w14:paraId="0000004C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 se prescribe la arquitectura. Definir cómo recuperar la información contenida en los documentos y cómo orquestar el razonamiento hace parte de lo que se evalúa. Elige y justifica tus herramientas.</w:t>
      </w:r>
    </w:p>
    <w:p w:rsidR="00000000" w:rsidDel="00000000" w:rsidP="00000000" w:rsidRDefault="00000000" w:rsidRPr="00000000" w14:paraId="0000004D">
      <w:pPr>
        <w:spacing w:after="120" w:before="6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Escenarios representativos (ilustrativos, no exhaustivos) del tipo de razonamiento esperado:</w:t>
      </w:r>
    </w:p>
    <w:tbl>
      <w:tblPr>
        <w:tblStyle w:val="Table3"/>
        <w:tblW w:w="9620.0" w:type="dxa"/>
        <w:jc w:val="left"/>
        <w:tblBorders>
          <w:top w:color="1ca9bd" w:space="0" w:sz="4" w:val="single"/>
          <w:left w:color="1ca9bd" w:space="0" w:sz="4" w:val="single"/>
          <w:bottom w:color="1ca9bd" w:space="0" w:sz="4" w:val="single"/>
          <w:right w:color="1ca9bd" w:space="0" w:sz="4" w:val="single"/>
          <w:insideH w:color="1ca9bd" w:space="0" w:sz="4" w:val="single"/>
          <w:insideV w:color="1ca9bd" w:space="0" w:sz="4" w:val="single"/>
        </w:tblBorders>
        <w:tblLayout w:type="fixed"/>
        <w:tblLook w:val="0000"/>
      </w:tblPr>
      <w:tblGrid>
        <w:gridCol w:w="4810"/>
        <w:gridCol w:w="4810"/>
        <w:tblGridChange w:id="0">
          <w:tblGrid>
            <w:gridCol w:w="4810"/>
            <w:gridCol w:w="481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Situación de la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 de conclusión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El servicio solicitado está cubierto y el afiliado cumple los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Cubierto: indicar condiciones y monto a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El servicio está cubierto, pero el afiliado no cumple una condición (p. ej. carencia o autorización previa).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Cubierto con condiciones: explicar qué debe cumplirse.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El servicio está excluido del plan o no cumple los criterios de procedencia.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No cubierto: fundamentar la negativa con la fuente.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spacing w:after="40" w:before="22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Calidad del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La capacidad de escribir código de buena calidad es un eje central de esta prueba. Se espera: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Código modular, legible y mantenible, con una separación clara de responsabilidades.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Tipado, manejo de errores y configuración externa (sin credenciales ni valores sensibles en el repositorio).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Una estructura de proyecto coherente y reproducible, con un README que explique cómo ejecutar y probar la solución.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Pruebas que evidencien el correcto funcionamiento sobre los escenarios planteados.</w:t>
      </w:r>
    </w:p>
    <w:p w:rsidR="00000000" w:rsidDel="00000000" w:rsidP="00000000" w:rsidRDefault="00000000" w:rsidRPr="00000000" w14:paraId="0000005C">
      <w:pPr>
        <w:pStyle w:val="Heading1"/>
        <w:pBdr>
          <w:bottom w:color="1ca9bd" w:space="4" w:sz="18" w:val="single"/>
        </w:pBdr>
        <w:spacing w:after="60" w:befor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EVALUACIÓN AUTÓNOMA DEL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Debes proponer e implementar tu propio esquema para evaluar la solución, cubriendo tanto la calidad de las respuestas generadas (el modelo) como la robustez y el desempeño de tu implementación en Python.</w:t>
      </w:r>
    </w:p>
    <w:p w:rsidR="00000000" w:rsidDel="00000000" w:rsidP="00000000" w:rsidRDefault="00000000" w:rsidRPr="00000000" w14:paraId="0000005E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Qué medir, cómo medirlo y cómo interpretar los resultados hace parte de la evaluación: valoramos el criterio y la asertividad, no el seguimiento de una lista predefinida. Documenta de forma breve tu diseño, la solución propuesta, tus resultados y tus conclusiones en el documento de análisis.</w:t>
      </w:r>
    </w:p>
    <w:p w:rsidR="00000000" w:rsidDel="00000000" w:rsidP="00000000" w:rsidRDefault="00000000" w:rsidRPr="00000000" w14:paraId="0000005F">
      <w:pPr>
        <w:pStyle w:val="Heading1"/>
        <w:pBdr>
          <w:bottom w:color="1ca9bd" w:space="4" w:sz="18" w:val="single"/>
        </w:pBdr>
        <w:spacing w:after="60" w:befor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La prueba se evalúa sobre 100 puntos, distribuidos así:</w:t>
      </w:r>
    </w:p>
    <w:tbl>
      <w:tblPr>
        <w:tblStyle w:val="Table4"/>
        <w:tblW w:w="9620.0" w:type="dxa"/>
        <w:jc w:val="left"/>
        <w:tblBorders>
          <w:top w:color="1b2a4a" w:space="0" w:sz="4" w:val="single"/>
          <w:left w:color="1b2a4a" w:space="0" w:sz="4" w:val="single"/>
          <w:bottom w:color="1b2a4a" w:space="0" w:sz="4" w:val="single"/>
          <w:right w:color="1b2a4a" w:space="0" w:sz="4" w:val="single"/>
          <w:insideH w:color="1b2a4a" w:space="0" w:sz="4" w:val="single"/>
          <w:insideV w:color="1b2a4a" w:space="0" w:sz="4" w:val="single"/>
        </w:tblBorders>
        <w:tblLayout w:type="fixed"/>
        <w:tblLook w:val="0000"/>
      </w:tblPr>
      <w:tblGrid>
        <w:gridCol w:w="3400"/>
        <w:gridCol w:w="1000"/>
        <w:gridCol w:w="5220"/>
        <w:tblGridChange w:id="0">
          <w:tblGrid>
            <w:gridCol w:w="3400"/>
            <w:gridCol w:w="1000"/>
            <w:gridCol w:w="5220"/>
          </w:tblGrid>
        </w:tblGridChange>
      </w:tblGrid>
      <w:tr>
        <w:trPr>
          <w:cantSplit w:val="0"/>
          <w:tblHeader w:val="1"/>
        </w:trPr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¿Qué se evalúa?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Razonamiento y solución del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¿La solución interpreta la consulta, recupera lo pertinente y llega a conclusiones correctas y trazables?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Calidad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Modularidad, </w:t>
            </w: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legibilidad</w:t>
            </w: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, mantenibilidad, separación de responsabilidades, tipado, manejo de errores y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Arquitectura y decisiones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Pertinencia de la arquitectura elegida para recuperar información de los documentos y orquestar el razonamiento, despliegue y justificación de las herramientas.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Evaluación autónoma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Calidad y pertinencia del esquema propuesto para evaluar tanto el modelo como la implementación.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b2a4a"/>
                <w:sz w:val="24"/>
                <w:szCs w:val="24"/>
                <w:rtl w:val="0"/>
              </w:rPr>
              <w:t xml:space="preserve">README claro y justificación de las decisiones tomadas.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20" w:line="276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Sobre el nivel de la vacante: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una solución parcial pero bien razonada y documentada será mejor valorada que una que intenta abarcarlo todo sin profundidad. Si no completas alguna parte, documenta qué harías y por qué.</w:t>
      </w:r>
    </w:p>
    <w:p w:rsidR="00000000" w:rsidDel="00000000" w:rsidP="00000000" w:rsidRDefault="00000000" w:rsidRPr="00000000" w14:paraId="00000075">
      <w:pPr>
        <w:pStyle w:val="Heading1"/>
        <w:pBdr>
          <w:bottom w:color="1ca9bd" w:space="4" w:sz="18" w:val="single"/>
        </w:pBdr>
        <w:spacing w:after="60" w:befor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b2a4a"/>
          <w:sz w:val="24"/>
          <w:szCs w:val="24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Debes enviar los siguientes archivos al correo del equipo de selección antes de la fecha límite comunicada.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Repositorio comprimido en formato .zip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 Debe tener mínimo un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README con instrucciones claras de ejecución y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ocumento de análisis en PDF.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Es importante que no entregues ninguna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API keys ni credenciales reales en el repositorio.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0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color w:val="666666"/>
          <w:sz w:val="24"/>
          <w:szCs w:val="24"/>
          <w:rtl w:val="0"/>
        </w:rPr>
        <w:t xml:space="preserve">— Fin de la Prueba Técnica —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300" w:top="162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color="1ca9bd" w:space="6" w:sz="12" w:val="single"/>
      </w:pBdr>
      <w:spacing w:after="0" w:before="0" w:lineRule="auto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Quipux S.A.S.  |  Prueba Técnica        </w:t>
    </w:r>
    <w:r w:rsidDel="00000000" w:rsidR="00000000" w:rsidRPr="00000000">
      <w:rPr>
        <w:b w:val="1"/>
        <w:bCs w:val="1"/>
        <w:color w:val="1b2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after="0" w:lineRule="auto"/>
      <w:rPr/>
    </w:pPr>
    <w:r w:rsidDel="00000000" w:rsidR="00000000" w:rsidRPr="00000000">
      <w:rPr/>
      <w:drawing>
        <wp:inline distB="0" distT="0" distL="0" distR="0">
          <wp:extent cx="5905500" cy="5524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6+GwPG4nvPtTzSUHQxX5NOSQVw==">CgMxLjA4AHIhMWdSTXNLOFFpNzRybXlrRm9YYXhhUE04YUcybkFCRmhJ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