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PLAN VOLUNTARIO DE SALUD — DOCUMENTO INFORMATIVO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5f" w:space="0" w:sz="8" w:val="single"/>
        </w:pBd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36"/>
          <w:szCs w:val="36"/>
          <w:rtl w:val="0"/>
        </w:rPr>
        <w:t xml:space="preserve">Términos y Condiciones de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DOC2  ·  Versión 1.0  ·  Fecha de expedición: 2026-06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Documento de carácter ilustrativo, elaborado con fines exclusivos de una prueba técnica. Su estructura y terminología se basan en fuentes de dominio público sobre el sistema de salud colombiano —entre ellas el Plan de Beneficios en Salud con cargo a la UPC y la regulación de planes voluntarios de salud del Ministerio de Salud y Protección Social—, así como en prácticas habituales de medicina prepagada. No corresponde a una entidad real ni sustituye ningún contrato, póliza o condicionado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28"/>
          <w:szCs w:val="28"/>
          <w:rtl w:val="0"/>
        </w:rPr>
        <w:t xml:space="preserve">1.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Este documento establece las exclusiones, los períodos de carencia, los requisitos de autorización previa y los límites aplicables al plan voluntario de salud. Complementa el Manual de Beneficios (DOC1) y los Criterios de Necesidad Médica (DOC3). Ante cualquier duda de procedencia, deben verificarse de forma conjunta los tres documentos y el estado del afiliado en la BD_afiliados.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28"/>
          <w:szCs w:val="28"/>
          <w:rtl w:val="0"/>
        </w:rPr>
        <w:t xml:space="preserve">2. Condiciones generales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afiliado debe encontrarse en estado 'Activo' para acceder a los servicios del plan.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afiliado debe estar 'Al día' en sus pagos. Un afiliado 'En mora' o 'Suspendido' no tiene derecho a servicios electivos hasta normalizar su situación; solo se garantiza la atención de urgencias vitales.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Debe haberse cumplido el período de carencia aplicable al servicio solicitado (numeral 3).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Cuando el servicio lo exija, debe </w:t>
      </w:r>
      <w:r w:rsidDel="00000000" w:rsidR="00000000" w:rsidRPr="00000000">
        <w:rPr>
          <w:rtl w:val="0"/>
        </w:rPr>
        <w:t xml:space="preserve">contar con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autorización previa vigente (numeral 4).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servicio debe cumplir los criterios de necesidad médica de DOC3 y no estar excluido (numeral 5).</w:t>
      </w:r>
    </w:p>
    <w:p w:rsidR="00000000" w:rsidDel="00000000" w:rsidP="00000000" w:rsidRDefault="00000000" w:rsidRPr="00000000" w14:paraId="0000000E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28"/>
          <w:szCs w:val="28"/>
          <w:rtl w:val="0"/>
        </w:rPr>
        <w:t xml:space="preserve">3. Períodos de carencia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período de carencia es el tiempo mínimo de permanencia continua en el plan que debe transcurrir desde la fecha de afiliación antes de poder acceder a determinado servicio. Se mide en meses de antigüedad (campo 'antiguedad_meses' de la BD).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b7c4cc" w:space="0" w:sz="4" w:val="single"/>
          <w:left w:color="b7c4cc" w:space="0" w:sz="4" w:val="single"/>
          <w:bottom w:color="b7c4cc" w:space="0" w:sz="4" w:val="single"/>
          <w:right w:color="b7c4cc" w:space="0" w:sz="4" w:val="single"/>
          <w:insideH w:color="b7c4cc" w:space="0" w:sz="4" w:val="single"/>
          <w:insideV w:color="b7c4cc" w:space="0" w:sz="4" w:val="single"/>
        </w:tblBorders>
        <w:tblLayout w:type="fixed"/>
        <w:tblLook w:val="0000"/>
      </w:tblPr>
      <w:tblGrid>
        <w:gridCol w:w="5760"/>
        <w:gridCol w:w="2880"/>
        <w:tblGridChange w:id="0">
          <w:tblGrid>
            <w:gridCol w:w="576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Promoción y prevención, consulta general y urgencias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Sin carencia (0 meses)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Consulta especializada, laboratorio e imágenes de baja 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Terapias de rehabilitación y salud 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Imágenes de alta complejidad (RM, TAC, PET)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Procedimientos y cirugía ambulatoria 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Cirugía y hospitalización de alta complejidad 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12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Maternidad y parto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10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Servicios asociados a preexistencias declaradas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24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Las urgencias vitales no están sujetas a carencia. La antigüedad se cuenta de forma continua; una desafiliación reinicia el conteo.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28"/>
          <w:szCs w:val="28"/>
          <w:rtl w:val="0"/>
        </w:rPr>
        <w:t xml:space="preserve">4. Requisitos de autorización previa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Los siguientes servicios requieren autorización previa emitida por el plan antes de su prestación. La autorización se registra en la BD (campos 'tiene_autorizacion_previa', 'servicio_autorizado', 'numero_autorizacion' y 'vigencia_autorizacion') y debe estar vigente a la fecha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Imágenes diagnósticas de alta complejidad (resonancia magnética, tomografía, PET).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Procedimientos y cirugías, ambulatorias y de alta complejidad.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Hospitalización programada (no urgente).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Terapias de rehabilitación que superen 10 sesiones por diagnóstico.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Medicamentos de alto costo o no incluidos en el listado del plan.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Atención domiciliaria.</w:t>
      </w:r>
    </w:p>
    <w:p w:rsidR="00000000" w:rsidDel="00000000" w:rsidP="00000000" w:rsidRDefault="00000000" w:rsidRPr="00000000" w14:paraId="0000002B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La solicitud debe acompañarse de la orden del profesional tratante y de los soportes clínicos que sustenten la necesidad médica (DOC3). Una autorización vencida o para un servicio distinto al solicitado no habilita la prestación.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28"/>
          <w:szCs w:val="28"/>
          <w:rtl w:val="0"/>
        </w:rPr>
        <w:t xml:space="preserve">5. Exclusiones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plan no cubre, en ningún nivel, los siguientes servicios y situaciones: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Procedimientos y tratamientos con finalidad estética o cosmética, salvo reconstrucción por trauma o patología cubierta.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Tratamientos, medicamentos o dispositivos experimentales o sin evidencia científica reconocida.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Tratamientos de fertilidad y reproducción asistida.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Cirugía bariátrica que no cumpla los criterios clínicos de DOC3.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Lesiones derivadas de la práctica de deportes de alto riesgo, actos ilegales o autolesiones intencionales.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Atención derivada de accidentes de tránsito o riesgos laborales cubiertos por seguros obligatorios (SOAT / ARL).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Servicios prestados fuera del país o fuera de la red sin autorización, salvo urgencia vital.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Medicinas alternativas o complementarias no avaladas por el plan.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Insumos de confort, cosméticos, lentes, monturas y audífonos, salvo lo expresamente incluido.</w:t>
      </w:r>
    </w:p>
    <w:p w:rsidR="00000000" w:rsidDel="00000000" w:rsidP="00000000" w:rsidRDefault="00000000" w:rsidRPr="00000000" w14:paraId="00000037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28"/>
          <w:szCs w:val="28"/>
          <w:rtl w:val="0"/>
        </w:rPr>
        <w:t xml:space="preserve">6. Límites aplicables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b7c4cc" w:space="0" w:sz="4" w:val="single"/>
          <w:left w:color="b7c4cc" w:space="0" w:sz="4" w:val="single"/>
          <w:bottom w:color="b7c4cc" w:space="0" w:sz="4" w:val="single"/>
          <w:right w:color="b7c4cc" w:space="0" w:sz="4" w:val="single"/>
          <w:insideH w:color="b7c4cc" w:space="0" w:sz="4" w:val="single"/>
          <w:insideV w:color="b7c4cc" w:space="0" w:sz="4" w:val="single"/>
        </w:tblBorders>
        <w:tblLayout w:type="fixed"/>
        <w:tblLook w:val="0000"/>
      </w:tblPr>
      <w:tblGrid>
        <w:gridCol w:w="5760"/>
        <w:gridCol w:w="2880"/>
        <w:tblGridChange w:id="0">
          <w:tblGrid>
            <w:gridCol w:w="5760"/>
            <w:gridCol w:w="2880"/>
          </w:tblGrid>
        </w:tblGridChange>
      </w:tblGrid>
      <w:tr>
        <w:trPr>
          <w:cantSplit w:val="0"/>
          <w:tblHeader w:val="1"/>
        </w:trPr>
        <w:tc>
          <w:tcPr>
            <w:shd w:fill="1f4e5f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5f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Terapias de rehabilitación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Hasta 30 sesiones por diagnóstico por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Salud mental ambulatoria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Hasta 20 sesiones por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Atención domiciliaria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Hasta 60 días por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Salud oral básica (profilaxis)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 por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Suma asegurada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Según plan: $120M / $300M / $800M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5f"/>
          <w:sz w:val="28"/>
          <w:szCs w:val="28"/>
          <w:rtl w:val="0"/>
        </w:rPr>
        <w:t xml:space="preserve">7. Orden de verificación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Para determinar la procedencia de una solicitud se recomienda verificar, en orden: (1) estado de afiliación y de pagos; (2) que el servicio esté cubierto por DOC1 y no excluido por el numeral 5; (3) cumplimiento del período de carencia según antigüedad; (4) existencia de autorización previa vigente cuando se exija; (5) cumplimiento de los criterios de necesidad médica de DOC3. El incumplimiento de un requisito subsanable (p. ej., carencia o autorización) conduce a un resultado de 'cubierto con condiciones'; una exclusión conduce a 'no cubierto'.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color="b7c4cc" w:space="0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555555"/>
        <w:sz w:val="15"/>
        <w:szCs w:val="15"/>
        <w:rtl w:val="0"/>
      </w:rPr>
      <w:t xml:space="preserve">Documento de carácter ilustrativo elaborado a partir de fuentes públicas y datos sintéticos.  Página </w:t>
    </w:r>
    <w:r w:rsidDel="00000000" w:rsidR="00000000" w:rsidRPr="00000000"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55555"/>
        <w:sz w:val="15"/>
        <w:szCs w:val="15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bottom w:color="b7c4cc" w:space="0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color w:val="555555"/>
        <w:sz w:val="16"/>
        <w:szCs w:val="16"/>
        <w:rtl w:val="0"/>
      </w:rPr>
      <w:t xml:space="preserve">DOC2 — Documento informativo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60" w:hanging="26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069IbPEq6F5srPfDP+uhVbwPsQ==">CgMxLjA4AHIhMV9iZ3VYOUhSUWh5V0pIcXUxNU03ZENIRUJmRWNiNzBN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