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See My World Film Festival Archive Experience Proposal</w:t>
      </w:r>
    </w:p>
    <w:p>
      <w:pPr>
        <w:pStyle w:val="Subtitle"/>
      </w:pPr>
      <w:r>
        <w:t>The Living Archive</w:t>
      </w:r>
    </w:p>
    <w:p>
      <w:r>
        <w:t>A proposed space where festival visitors discover a story, connect it to their own lives, and leave something for the future.</w:t>
      </w:r>
    </w:p>
    <w:p>
      <w:r>
        <w:rPr>
          <w:b/>
        </w:rPr>
        <w:t>Find a story. Follow a connection. What would you preserve?</w:t>
      </w:r>
    </w:p>
    <w:p>
      <w:r>
        <w:t>The experience supports the festival’s exploration of liberation through dance, poetry, activism and archive-making. It develops the project brief’s preference for a small, self-guided archive lounge with digital outputs and light volunteer support.</w:t>
      </w:r>
    </w:p>
    <w:p>
      <w:r>
        <w:t>The existing archive website provides an interactive globe, 15 selected projects, short films, photographs, guided trails and a “Surprise me” button. This proposal adds a festival experience around those features.</w:t>
      </w:r>
    </w:p>
    <w:p>
      <w:pPr>
        <w:pStyle w:val="Heading1"/>
      </w:pPr>
      <w:r>
        <w:t>1 Create a welcoming archive lounge</w:t>
      </w:r>
    </w:p>
    <w:p>
      <w:r>
        <w:t>Use the proposed Upper Foyer archive area at Contact, subject to confirming space and access. Open it from 2pm to 6pm alongside the daytime screenings.</w:t>
      </w:r>
    </w:p>
    <w:p>
      <w:pPr>
        <w:pStyle w:val="ListBullet"/>
      </w:pPr>
      <w:r>
        <w:t>Three browsing stations with headphones and comfortable seating.</w:t>
      </w:r>
    </w:p>
    <w:p>
      <w:pPr>
        <w:pStyle w:val="ListBullet"/>
      </w:pPr>
      <w:r>
        <w:t>A shared discovery screen showing the archive globe and an invitation to explore. Keep audio on headphones.</w:t>
      </w:r>
    </w:p>
    <w:p>
      <w:pPr>
        <w:pStyle w:val="ListBullet"/>
      </w:pPr>
      <w:r>
        <w:t>A response table where visitors can write, draw or dictate a short reflection.</w:t>
      </w:r>
    </w:p>
    <w:p>
      <w:pPr>
        <w:pStyle w:val="ListBullet"/>
      </w:pPr>
      <w:r>
        <w:t>Clear QR signs so people can continue on their phones or revisit the archive at home.</w:t>
      </w:r>
    </w:p>
    <w:p>
      <w:r>
        <w:t>Use warm lighting, uncluttered tables and friendly hosts. Printed photographs with short questions give people something to engage with before touching a screen.</w:t>
      </w:r>
    </w:p>
    <w:p>
      <w:pPr>
        <w:pStyle w:val="Heading1"/>
      </w:pPr>
      <w:r>
        <w:t>2 Offer three ways to participate</w:t>
      </w:r>
    </w:p>
    <w:p>
      <w:r>
        <w:t>Visitors should immediately understand how much time they need. The lounge can work between screenings while giving curious visitors a reason to stay longer.</w:t>
      </w:r>
    </w:p>
    <w:tbl>
      <w:tblPr>
        <w:tblW w:type="auto" w:w="0"/>
        <w:jc w:val="center"/>
        <w:tblLayout w:type="fixed"/>
        <w:tblLook w:firstColumn="1" w:firstRow="1" w:lastColumn="0" w:lastRow="0" w:noHBand="0" w:noVBand="1" w:val="04A0"/>
      </w:tblPr>
      <w:tblGrid>
        <w:gridCol w:w="1584"/>
        <w:gridCol w:w="1944"/>
        <w:gridCol w:w="6365"/>
      </w:tblGrid>
      <w:tr>
        <w:trPr>
          <w:cantSplit/>
          <w:tblHeader/>
        </w:trPr>
        <w:tc>
          <w:tcPr>
            <w:tcW w:type="dxa" w:w="1584"/>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E7EBEF"/>
          </w:tcPr>
          <w:p>
            <w:pPr>
              <w:spacing w:after="40" w:line="240" w:lineRule="auto"/>
            </w:pPr>
            <w:r>
              <w:rPr>
                <w:b/>
                <w:sz w:val="20"/>
              </w:rPr>
              <w:t>Time available</w:t>
            </w:r>
          </w:p>
        </w:tc>
        <w:tc>
          <w:tcPr>
            <w:tcW w:type="dxa" w:w="1944"/>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E7EBEF"/>
          </w:tcPr>
          <w:p>
            <w:pPr>
              <w:spacing w:after="40" w:line="240" w:lineRule="auto"/>
            </w:pPr>
            <w:r>
              <w:rPr>
                <w:b/>
                <w:sz w:val="20"/>
              </w:rPr>
              <w:t>Experience</w:t>
            </w:r>
          </w:p>
        </w:tc>
        <w:tc>
          <w:tcPr>
            <w:tcW w:type="dxa" w:w="6365"/>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E7EBEF"/>
          </w:tcPr>
          <w:p>
            <w:pPr>
              <w:spacing w:after="40" w:line="240" w:lineRule="auto"/>
            </w:pPr>
            <w:r>
              <w:rPr>
                <w:b/>
                <w:sz w:val="20"/>
              </w:rPr>
              <w:t>What visitors do</w:t>
            </w:r>
          </w:p>
        </w:tc>
      </w:tr>
      <w:tr>
        <w:trPr>
          <w:cantSplit/>
        </w:trPr>
        <w:tc>
          <w:tcPr>
            <w:tcW w:type="dxa" w:w="1584"/>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line="240" w:lineRule="auto"/>
            </w:pPr>
            <w:r>
              <w:rPr>
                <w:b w:val="0"/>
                <w:sz w:val="20"/>
              </w:rPr>
              <w:t>3–5 minutes</w:t>
            </w:r>
          </w:p>
        </w:tc>
        <w:tc>
          <w:tcPr>
            <w:tcW w:type="dxa" w:w="1944"/>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line="240" w:lineRule="auto"/>
            </w:pPr>
            <w:r>
              <w:rPr>
                <w:b w:val="0"/>
                <w:sz w:val="20"/>
              </w:rPr>
              <w:t>Find your spark</w:t>
            </w:r>
          </w:p>
        </w:tc>
        <w:tc>
          <w:tcPr>
            <w:tcW w:type="dxa" w:w="6365"/>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line="240" w:lineRule="auto"/>
            </w:pPr>
            <w:r>
              <w:rPr>
                <w:b w:val="0"/>
                <w:sz w:val="20"/>
              </w:rPr>
              <w:t>Choose “Surprise me” or a short story; notice one detail that stays with them.</w:t>
            </w:r>
          </w:p>
        </w:tc>
      </w:tr>
      <w:tr>
        <w:trPr>
          <w:cantSplit/>
        </w:trPr>
        <w:tc>
          <w:tcPr>
            <w:tcW w:type="dxa" w:w="1584"/>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line="240" w:lineRule="auto"/>
            </w:pPr>
            <w:r>
              <w:rPr>
                <w:b w:val="0"/>
                <w:sz w:val="20"/>
              </w:rPr>
              <w:t>10–15 minutes</w:t>
            </w:r>
          </w:p>
        </w:tc>
        <w:tc>
          <w:tcPr>
            <w:tcW w:type="dxa" w:w="1944"/>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line="240" w:lineRule="auto"/>
            </w:pPr>
            <w:r>
              <w:rPr>
                <w:b w:val="0"/>
                <w:sz w:val="20"/>
              </w:rPr>
              <w:t>Follow a connection</w:t>
            </w:r>
          </w:p>
        </w:tc>
        <w:tc>
          <w:tcPr>
            <w:tcW w:type="dxa" w:w="6365"/>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line="240" w:lineRule="auto"/>
            </w:pPr>
            <w:r>
              <w:rPr>
                <w:b w:val="0"/>
                <w:sz w:val="20"/>
              </w:rPr>
              <w:t>Explore a themed route through two or three projects, alone or with a friend.</w:t>
            </w:r>
          </w:p>
        </w:tc>
      </w:tr>
      <w:tr>
        <w:trPr>
          <w:cantSplit/>
        </w:trPr>
        <w:tc>
          <w:tcPr>
            <w:tcW w:type="dxa" w:w="1584"/>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line="240" w:lineRule="auto"/>
            </w:pPr>
            <w:r>
              <w:rPr>
                <w:b w:val="0"/>
                <w:sz w:val="20"/>
              </w:rPr>
              <w:t>20–25 minutes</w:t>
            </w:r>
          </w:p>
        </w:tc>
        <w:tc>
          <w:tcPr>
            <w:tcW w:type="dxa" w:w="1944"/>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line="240" w:lineRule="auto"/>
            </w:pPr>
            <w:r>
              <w:rPr>
                <w:b w:val="0"/>
                <w:sz w:val="20"/>
              </w:rPr>
              <w:t>Become a curator</w:t>
            </w:r>
          </w:p>
        </w:tc>
        <w:tc>
          <w:tcPr>
            <w:tcW w:type="dxa" w:w="6365"/>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line="240" w:lineRule="auto"/>
            </w:pPr>
            <w:r>
              <w:rPr>
                <w:b w:val="0"/>
                <w:sz w:val="20"/>
              </w:rPr>
              <w:t>Choose three archive stories and give the selection a title and a one-sentence introduction.</w:t>
            </w:r>
          </w:p>
        </w:tc>
      </w:tr>
    </w:tbl>
    <w:p>
      <w:pPr>
        <w:spacing w:after="0"/>
      </w:pPr>
    </w:p>
    <w:p>
      <w:r>
        <w:br w:type="page"/>
      </w:r>
    </w:p>
    <w:p>
      <w:pPr>
        <w:pStyle w:val="Heading1"/>
      </w:pPr>
      <w:r>
        <w:t>3 Build festival routes around questions</w:t>
      </w:r>
    </w:p>
    <w:p>
      <w:r>
        <w:t>Keep the site’s existing trails available and introduce three festival routes through printed cards or a proposed festival landing page. These would be new curatorial selections.</w:t>
      </w:r>
    </w:p>
    <w:tbl>
      <w:tblPr>
        <w:tblW w:type="auto" w:w="0"/>
        <w:jc w:val="center"/>
        <w:tblLayout w:type="fixed"/>
        <w:tblLook w:firstColumn="1" w:firstRow="1" w:lastColumn="0" w:lastRow="0" w:noHBand="0" w:noVBand="1" w:val="04A0"/>
      </w:tblPr>
      <w:tblGrid>
        <w:gridCol w:w="2088"/>
        <w:gridCol w:w="4176"/>
        <w:gridCol w:w="3629"/>
      </w:tblGrid>
      <w:tr>
        <w:trPr>
          <w:cantSplit/>
          <w:tblHeader/>
        </w:trPr>
        <w:tc>
          <w:tcPr>
            <w:tcW w:type="dxa" w:w="2088"/>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E7EBEF"/>
          </w:tcPr>
          <w:p>
            <w:pPr>
              <w:spacing w:after="40" w:line="240" w:lineRule="auto"/>
            </w:pPr>
            <w:r>
              <w:rPr>
                <w:b/>
                <w:sz w:val="20"/>
              </w:rPr>
              <w:t>Proposed route</w:t>
            </w:r>
          </w:p>
        </w:tc>
        <w:tc>
          <w:tcPr>
            <w:tcW w:type="dxa" w:w="417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E7EBEF"/>
          </w:tcPr>
          <w:p>
            <w:pPr>
              <w:spacing w:after="40" w:line="240" w:lineRule="auto"/>
            </w:pPr>
            <w:r>
              <w:rPr>
                <w:b/>
                <w:sz w:val="20"/>
              </w:rPr>
              <w:t>Existing archive material</w:t>
            </w:r>
          </w:p>
        </w:tc>
        <w:tc>
          <w:tcPr>
            <w:tcW w:type="dxa" w:w="3629"/>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E7EBEF"/>
          </w:tcPr>
          <w:p>
            <w:pPr>
              <w:spacing w:after="40" w:line="240" w:lineRule="auto"/>
            </w:pPr>
            <w:r>
              <w:rPr>
                <w:b/>
                <w:sz w:val="20"/>
              </w:rPr>
              <w:t>Invitation</w:t>
            </w:r>
          </w:p>
        </w:tc>
      </w:tr>
      <w:tr>
        <w:trPr>
          <w:cantSplit/>
        </w:trPr>
        <w:tc>
          <w:tcPr>
            <w:tcW w:type="dxa" w:w="2088"/>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line="240" w:lineRule="auto"/>
            </w:pPr>
            <w:r>
              <w:rPr>
                <w:b w:val="0"/>
                <w:sz w:val="20"/>
              </w:rPr>
              <w:t>The body remembers</w:t>
            </w:r>
          </w:p>
        </w:tc>
        <w:tc>
          <w:tcPr>
            <w:tcW w:type="dxa" w:w="417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line="240" w:lineRule="auto"/>
            </w:pPr>
            <w:r>
              <w:rPr>
                <w:b w:val="0"/>
                <w:sz w:val="20"/>
              </w:rPr>
              <w:t>HOMAGE photographs; Haus X workshop film; Closer to My Dreams</w:t>
            </w:r>
          </w:p>
        </w:tc>
        <w:tc>
          <w:tcPr>
            <w:tcW w:type="dxa" w:w="3629"/>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line="240" w:lineRule="auto"/>
            </w:pPr>
            <w:r>
              <w:rPr>
                <w:b w:val="0"/>
                <w:sz w:val="20"/>
              </w:rPr>
              <w:t>What can movement carry that words cannot?</w:t>
            </w:r>
          </w:p>
        </w:tc>
      </w:tr>
      <w:tr>
        <w:trPr>
          <w:cantSplit/>
        </w:trPr>
        <w:tc>
          <w:tcPr>
            <w:tcW w:type="dxa" w:w="2088"/>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line="240" w:lineRule="auto"/>
            </w:pPr>
            <w:r>
              <w:rPr>
                <w:b w:val="0"/>
                <w:sz w:val="20"/>
              </w:rPr>
              <w:t>A voice a room a community</w:t>
            </w:r>
          </w:p>
        </w:tc>
        <w:tc>
          <w:tcPr>
            <w:tcW w:type="dxa" w:w="417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line="240" w:lineRule="auto"/>
            </w:pPr>
            <w:r>
              <w:rPr>
                <w:b w:val="0"/>
                <w:sz w:val="20"/>
              </w:rPr>
              <w:t>Isaiah Hull at SOUP; Corinne Bailey Rae in conversation; Liberation gathering photographs</w:t>
            </w:r>
          </w:p>
        </w:tc>
        <w:tc>
          <w:tcPr>
            <w:tcW w:type="dxa" w:w="3629"/>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line="240" w:lineRule="auto"/>
            </w:pPr>
            <w:r>
              <w:rPr>
                <w:b w:val="0"/>
                <w:sz w:val="20"/>
              </w:rPr>
              <w:t>What makes a voice heard—and who makes space for it?</w:t>
            </w:r>
          </w:p>
        </w:tc>
      </w:tr>
      <w:tr>
        <w:trPr>
          <w:cantSplit/>
        </w:trPr>
        <w:tc>
          <w:tcPr>
            <w:tcW w:type="dxa" w:w="2088"/>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line="240" w:lineRule="auto"/>
            </w:pPr>
            <w:r>
              <w:rPr>
                <w:b w:val="0"/>
                <w:sz w:val="20"/>
              </w:rPr>
              <w:t>Across cities around a table</w:t>
            </w:r>
          </w:p>
        </w:tc>
        <w:tc>
          <w:tcPr>
            <w:tcW w:type="dxa" w:w="417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line="240" w:lineRule="auto"/>
            </w:pPr>
            <w:r>
              <w:rPr>
                <w:b w:val="0"/>
                <w:sz w:val="20"/>
              </w:rPr>
              <w:t>Manchester, Lagos &amp; Me; Connected Fragments; Portico supper club</w:t>
            </w:r>
          </w:p>
        </w:tc>
        <w:tc>
          <w:tcPr>
            <w:tcW w:type="dxa" w:w="3629"/>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line="240" w:lineRule="auto"/>
            </w:pPr>
            <w:r>
              <w:rPr>
                <w:b w:val="0"/>
                <w:sz w:val="20"/>
              </w:rPr>
              <w:t>What connects people across distance?</w:t>
            </w:r>
          </w:p>
        </w:tc>
      </w:tr>
    </w:tbl>
    <w:p>
      <w:pPr>
        <w:spacing w:after="0"/>
      </w:pPr>
    </w:p>
    <w:p>
      <w:r>
        <w:t>Show accurate viewing times. Closer to My Dreams alone lasts about six minutes, so visitors should be able to choose a shorter route.</w:t>
      </w:r>
    </w:p>
    <w:p>
      <w:r>
        <w:t>The routes connect the archive to the festival’s concerns while making space for everyday joy, friendship and collective creativity. HOMAGE photographs can introduce the evening premiere without revealing unreleased footage. Clearly identify the Liberation archive entry as photographs of the gathering.</w:t>
      </w:r>
    </w:p>
    <w:p>
      <w:pPr>
        <w:pStyle w:val="Heading1"/>
      </w:pPr>
      <w:r>
        <w:t>4 Make the visitor response the memorable moment</w:t>
      </w:r>
    </w:p>
    <w:p>
      <w:r>
        <w:t>After browsing, offer a simple “Past / Present / What comes next” response. This draws on the festival’s Sasa and Zamani framing, introduced through the programme’s own explanation.</w:t>
      </w:r>
    </w:p>
    <w:p>
      <w:pPr>
        <w:pStyle w:val="ListBullet"/>
      </w:pPr>
      <w:r>
        <w:t>Past: “This reminds me of…”</w:t>
      </w:r>
    </w:p>
    <w:p>
      <w:pPr>
        <w:pStyle w:val="ListBullet"/>
      </w:pPr>
      <w:r>
        <w:t>Present: “This matters because…”</w:t>
      </w:r>
    </w:p>
    <w:p>
      <w:pPr>
        <w:pStyle w:val="ListBullet"/>
      </w:pPr>
      <w:r>
        <w:t>What comes next: “I want someone in the future to know…”</w:t>
      </w:r>
    </w:p>
    <w:p>
      <w:r>
        <w:t>Visitors can contribute a sentence, a drawing or a brief spoken response. Display selected, reviewed contributions beside the question “What should Manchester remember?”</w:t>
      </w:r>
    </w:p>
    <w:p>
      <w:r>
        <w:t>Encourage specific memories: a dance floor, a meal, a community space, a performance, or someone who made an opportunity possible. These connections make the activity meaningful beyond recognising familiar faces.</w:t>
      </w:r>
    </w:p>
    <w:p>
      <w:r>
        <w:t>Use paper cards initially, then digitise them. A digital submission form would be a proposed addition; the current site should not be assumed to collect contributions.</w:t>
      </w:r>
    </w:p>
    <w:p>
      <w:pPr>
        <w:pStyle w:val="Heading1"/>
      </w:pPr>
      <w:r>
        <w:t>5 Add one small social ritual</w:t>
      </w:r>
    </w:p>
    <w:p>
      <w:r>
        <w:t>Run a 15-minute “Show me your world” conversation twice during the afternoon, timed around confirmed screening breaks. A host introduces one archive item, then invites a few visitors to share: “What did you find, and why did you choose it?” People can listen without speaking.</w:t>
      </w:r>
    </w:p>
    <w:p>
      <w:r>
        <w:t>If the planned oral-history booth goes ahead, the lounge can feed into it: visitors discover a connection, then choose to tell a fuller story to a trained interviewer. Keep the booth separately staffed; browsing hosts should not also be expected to conduct interviews.</w:t>
      </w:r>
    </w:p>
    <w:p>
      <w:r>
        <w:br w:type="page"/>
      </w:r>
    </w:p>
    <w:p>
      <w:pPr>
        <w:pStyle w:val="Heading1"/>
      </w:pPr>
      <w:r>
        <w:t>6 Keep delivery manageable</w:t>
      </w:r>
    </w:p>
    <w:p>
      <w:r>
        <w:t>The core version needs one archive lead and one volunteer host present, with relief arranged. Their roles are to welcome people, help with devices, explain responses and reset stations.</w:t>
      </w:r>
    </w:p>
    <w:p>
      <w:r>
        <w:t>Prioritise borrowed venue equipment, headphones, printed prompts and a simple response process. Treat scanning, partner collections and a dedicated recording booth as additions once staffing and resources are confirmed.</w:t>
      </w:r>
    </w:p>
    <w:p>
      <w:r>
        <w:t>Before the festival:</w:t>
      </w:r>
    </w:p>
    <w:p>
      <w:pPr>
        <w:pStyle w:val="ListBullet"/>
      </w:pPr>
      <w:r>
        <w:t>Check playback, Wi-Fi, captions and readable text on the actual devices.</w:t>
      </w:r>
    </w:p>
    <w:p>
      <w:pPr>
        <w:pStyle w:val="ListBullet"/>
      </w:pPr>
      <w:r>
        <w:t>Prepare an authorised offline selection as a fallback.</w:t>
      </w:r>
    </w:p>
    <w:p>
      <w:pPr>
        <w:pStyle w:val="ListBullet"/>
      </w:pPr>
      <w:r>
        <w:t>Confirm permission for venue exhibition and any reproduced images.</w:t>
      </w:r>
    </w:p>
    <w:p>
      <w:pPr>
        <w:pStyle w:val="ListBullet"/>
      </w:pPr>
      <w:r>
        <w:t>Provide seated access, keyboard and list navigation, and an experience that works without sound.</w:t>
      </w:r>
    </w:p>
    <w:p>
      <w:pPr>
        <w:pStyle w:val="ListBullet"/>
      </w:pPr>
      <w:r>
        <w:t>Separate permission to retain a response from permission to publish it. Review contributions before public display.</w:t>
      </w:r>
    </w:p>
    <w:p>
      <w:r>
        <w:t>The archive lead should have protected time for this role, especially if the same person is also scheduled to photograph the festival.</w:t>
      </w:r>
    </w:p>
    <w:p>
      <w:pPr>
        <w:pStyle w:val="Heading1"/>
      </w:pPr>
      <w:r>
        <w:t>7 Give the experience a life afterwards</w:t>
      </w:r>
    </w:p>
    <w:p>
      <w:r>
        <w:t>Offer every visitor a QR link to revisit their favourite story. After the festival, create a small, consented digital collection titled “What Manchester wanted to remember.”</w:t>
      </w:r>
    </w:p>
    <w:p>
      <w:r>
        <w:t>Measure visitors taking part, stories explored, responses contributed and what people say they discovered. A reasonable initial planning target is 40–60 meaningful visits across the afternoon, to be tested against equipment and staffing.</w:t>
      </w:r>
    </w:p>
    <w:p>
      <w:pPr>
        <w:pStyle w:val="Heading1"/>
      </w:pPr>
      <w:r>
        <w:t>Suggested programme copy</w:t>
      </w:r>
    </w:p>
    <w:p>
      <w:r>
        <w:rPr>
          <w:b/>
        </w:rPr>
        <w:t>The Living Archive</w:t>
      </w:r>
    </w:p>
    <w:p>
      <w:r>
        <w:t>Between films, step into a world of dance, poetry, music and everyday connection. Explore See My World’s archive, follow a story from Manchester to Lagos, and tell us what deserves to be remembered. Stay for five minutes or make an afternoon of it.</w:t>
      </w:r>
    </w:p>
    <w:p>
      <w:pPr>
        <w:pStyle w:val="Heading1"/>
      </w:pPr>
      <w:r>
        <w:t>Recommended scope and planning point</w:t>
      </w:r>
    </w:p>
    <w:p>
      <w:r>
        <w:t>Deliver the browsing lounge, three routes and response activity first. Together, they give visitors a clear journey and make their own perspective part of the festival.</w:t>
      </w:r>
    </w:p>
    <w:p>
      <w:r>
        <w:t>The internal project document lists both 21 and 28 November 2026, with different closing times. Confirm the date and wider schedule before publishing the programme. This proposal uses its suggested 2pm to 6pm archive activity window.</w:t>
      </w:r>
    </w:p>
    <w:p>
      <w:pPr>
        <w:pStyle w:val="Heading1"/>
      </w:pPr>
      <w:r>
        <w:t>Sources</w:t>
      </w:r>
    </w:p>
    <w:p>
      <w:r>
        <w:t>See My World Archive: https://danieloyegade.github.io/smw-archive/ (reviewed 8 October 2026).</w:t>
      </w:r>
    </w:p>
    <w:p>
      <w:r>
        <w:t>SMW Film Festival – Project Document INTERNAL ONLY.pdf. Relevant context includes the festival framework, venue proposals and archive activity meeting notes, particularly pages 1–5, 14–17 and 21–22.</w:t>
      </w:r>
    </w:p>
    <w:sectPr w:rsidR="00FC693F" w:rsidRPr="0006063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See My World Film Festival Archive Experience Proposal</dc:title>
  <dc:subject>The Living Archive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