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48"/>
          <w:szCs w:val="48"/>
        </w:rPr>
        <w:t xml:space="preserve">blOb</w:t>
      </w:r>
    </w:p>
    <w:p>
      <w:pPr>
        <w:spacing w:after="80"/>
        <w:jc w:val="center"/>
      </w:pPr>
      <w:r>
        <w:rPr>
          <w:rFonts w:ascii="Arial" w:cs="Arial" w:eastAsia="Arial" w:hAnsi="Arial"/>
          <w:b/>
          <w:bCs/>
          <w:sz w:val="32"/>
          <w:szCs w:val="32"/>
        </w:rPr>
        <w:t xml:space="preserve">Privacy Policy</w:t>
      </w:r>
    </w:p>
    <w:p>
      <w:pPr>
        <w:spacing w:after="200"/>
        <w:jc w:val="center"/>
      </w:pPr>
      <w:r>
        <w:rPr>
          <w:rFonts w:ascii="Arial" w:cs="Arial" w:eastAsia="Arial" w:hAnsi="Arial"/>
          <w:i/>
          <w:iCs/>
          <w:color w:val="666666"/>
          <w:sz w:val="20"/>
          <w:szCs w:val="20"/>
        </w:rPr>
        <w:t xml:space="preserve">First Iteration Draft — For Legal Counsel Review Only</w:t>
      </w:r>
    </w:p>
    <w:p>
      <w:pPr>
        <w:spacing w:after="120"/>
      </w:pPr>
      <w:r>
        <w:rPr>
          <w:rFonts w:ascii="Arial" w:cs="Arial" w:eastAsia="Arial" w:hAnsi="Arial"/>
          <w:sz w:val="22"/>
          <w:szCs w:val="22"/>
        </w:rPr>
        <w:t xml:space="preserve">Effective Date: [INSERT DATE]</w:t>
      </w:r>
    </w:p>
    <w:p>
      <w:pPr>
        <w:spacing w:after="120"/>
      </w:pPr>
      <w:r>
        <w:rPr>
          <w:rFonts w:ascii="Arial" w:cs="Arial" w:eastAsia="Arial" w:hAnsi="Arial"/>
          <w:sz w:val="22"/>
          <w:szCs w:val="22"/>
        </w:rPr>
        <w:t xml:space="preserve">Last Updated: August 17, 2026</w:t>
      </w:r>
    </w:p>
    <w:p>
      <w:pPr>
        <w:spacing w:after="120"/>
      </w:pPr>
      <w:r>
        <w:rPr>
          <w:rFonts w:ascii="Arial" w:cs="Arial" w:eastAsia="Arial" w:hAnsi="Arial"/>
          <w:sz w:val="22"/>
          <w:szCs w:val="22"/>
        </w:rPr>
        <w:t xml:space="preserve">IMPORTANT: This is a first-iteration draft for counsel review only. It is not legal advice and must be customized and approved by qualified counsel before use.</w:t>
      </w:r>
    </w:p>
    <w:p>
      <w:pPr>
        <w:pStyle w:val="Heading1"/>
        <w:spacing w:after="200" w:before="360"/>
      </w:pPr>
      <w:r>
        <w:rPr>
          <w:rFonts w:ascii="Arial" w:cs="Arial" w:eastAsia="Arial" w:hAnsi="Arial"/>
          <w:b/>
          <w:bCs/>
          <w:sz w:val="28"/>
          <w:szCs w:val="28"/>
        </w:rPr>
        <w:t xml:space="preserve">1. Who We Are</w:t>
      </w:r>
    </w:p>
    <w:p>
      <w:pPr>
        <w:spacing w:after="120"/>
      </w:pPr>
      <w:r>
        <w:rPr>
          <w:rFonts w:ascii="Arial" w:cs="Arial" w:eastAsia="Arial" w:hAnsi="Arial"/>
          <w:sz w:val="22"/>
          <w:szCs w:val="22"/>
        </w:rPr>
        <w:t xml:space="preserve">This Privacy Policy describes how [COMPANY LEGAL NAME], doing business as blOb ("blOb", "we", "us", or "our"), collects, uses, shares, and protects personal information when you use the blOb Platform (website, mobile apps, and related services).</w:t>
      </w:r>
    </w:p>
    <w:p>
      <w:pPr>
        <w:spacing w:after="120"/>
      </w:pPr>
      <w:r>
        <w:rPr>
          <w:rFonts w:ascii="Arial" w:cs="Arial" w:eastAsia="Arial" w:hAnsi="Arial"/>
          <w:sz w:val="22"/>
          <w:szCs w:val="22"/>
        </w:rPr>
        <w:t xml:space="preserve">Controller contact: [privacy@blob.example] | [COMPANY ADDRESS]. If required, a Data Protection Officer or representative contact will be listed here.</w:t>
      </w:r>
    </w:p>
    <w:p>
      <w:pPr>
        <w:pStyle w:val="Heading1"/>
        <w:spacing w:after="200" w:before="360"/>
      </w:pPr>
      <w:r>
        <w:rPr>
          <w:rFonts w:ascii="Arial" w:cs="Arial" w:eastAsia="Arial" w:hAnsi="Arial"/>
          <w:b/>
          <w:bCs/>
          <w:sz w:val="28"/>
          <w:szCs w:val="28"/>
        </w:rPr>
        <w:t xml:space="preserve">2. Information We Collect</w:t>
      </w:r>
    </w:p>
    <w:p>
      <w:pPr>
        <w:pStyle w:val="Heading2"/>
        <w:spacing w:after="140" w:before="280"/>
      </w:pPr>
      <w:r>
        <w:rPr>
          <w:rFonts w:ascii="Arial" w:cs="Arial" w:eastAsia="Arial" w:hAnsi="Arial"/>
          <w:b/>
          <w:bCs/>
          <w:sz w:val="24"/>
          <w:szCs w:val="24"/>
        </w:rPr>
        <w:t xml:space="preserve">2.1 Information You Provide</w:t>
      </w:r>
    </w:p>
    <w:p>
      <w:pPr>
        <w:pStyle w:val="ListParagraph"/>
        <w:numPr>
          <w:ilvl w:val="0"/>
          <w:numId w:val="2"/>
        </w:numPr>
        <w:spacing w:after="80"/>
      </w:pPr>
      <w:r>
        <w:rPr>
          <w:rFonts w:ascii="Arial" w:cs="Arial" w:eastAsia="Arial" w:hAnsi="Arial"/>
          <w:sz w:val="22"/>
          <w:szCs w:val="22"/>
        </w:rPr>
        <w:t xml:space="preserve">Account and profile data: name, email, phone, username, password, skill tags, portfolio, bio, profile photo.</w:t>
      </w:r>
    </w:p>
    <w:p>
      <w:pPr>
        <w:pStyle w:val="ListParagraph"/>
        <w:numPr>
          <w:ilvl w:val="0"/>
          <w:numId w:val="2"/>
        </w:numPr>
        <w:spacing w:after="80"/>
      </w:pPr>
      <w:r>
        <w:rPr>
          <w:rFonts w:ascii="Arial" w:cs="Arial" w:eastAsia="Arial" w:hAnsi="Arial"/>
          <w:sz w:val="22"/>
          <w:szCs w:val="22"/>
        </w:rPr>
        <w:t xml:space="preserve">Identity verification (KYC) data: government ID, date of birth, address, selfie/biometric comparison (processed via third-party providers such as Stripe Identity where used), tax ID forms (W-9/W-8).</w:t>
      </w:r>
    </w:p>
    <w:p>
      <w:pPr>
        <w:pStyle w:val="ListParagraph"/>
        <w:numPr>
          <w:ilvl w:val="0"/>
          <w:numId w:val="2"/>
        </w:numPr>
        <w:spacing w:after="80"/>
      </w:pPr>
      <w:r>
        <w:rPr>
          <w:rFonts w:ascii="Arial" w:cs="Arial" w:eastAsia="Arial" w:hAnsi="Arial"/>
          <w:sz w:val="22"/>
          <w:szCs w:val="22"/>
        </w:rPr>
        <w:t xml:space="preserve">Payment and transaction data: limited billing details, transaction history, withdrawal information (full card numbers are handled by Stripe and not stored by us).</w:t>
      </w:r>
    </w:p>
    <w:p>
      <w:pPr>
        <w:pStyle w:val="ListParagraph"/>
        <w:numPr>
          <w:ilvl w:val="0"/>
          <w:numId w:val="2"/>
        </w:numPr>
        <w:spacing w:after="80"/>
      </w:pPr>
      <w:r>
        <w:rPr>
          <w:rFonts w:ascii="Arial" w:cs="Arial" w:eastAsia="Arial" w:hAnsi="Arial"/>
          <w:sz w:val="22"/>
          <w:szCs w:val="22"/>
        </w:rPr>
        <w:t xml:space="preserve">User-generated content: Challenge descriptions, submissions, comments, messages, reactions.</w:t>
      </w:r>
    </w:p>
    <w:p>
      <w:pPr>
        <w:pStyle w:val="ListParagraph"/>
        <w:numPr>
          <w:ilvl w:val="0"/>
          <w:numId w:val="2"/>
        </w:numPr>
        <w:spacing w:after="80"/>
      </w:pPr>
      <w:r>
        <w:rPr>
          <w:rFonts w:ascii="Arial" w:cs="Arial" w:eastAsia="Arial" w:hAnsi="Arial"/>
          <w:sz w:val="22"/>
          <w:szCs w:val="22"/>
        </w:rPr>
        <w:t xml:space="preserve">Communications: support requests, feedback.</w:t>
      </w:r>
    </w:p>
    <w:p>
      <w:pPr>
        <w:pStyle w:val="Heading2"/>
        <w:spacing w:after="140" w:before="280"/>
      </w:pPr>
      <w:r>
        <w:rPr>
          <w:rFonts w:ascii="Arial" w:cs="Arial" w:eastAsia="Arial" w:hAnsi="Arial"/>
          <w:b/>
          <w:bCs/>
          <w:sz w:val="24"/>
          <w:szCs w:val="24"/>
        </w:rPr>
        <w:t xml:space="preserve">2.2 Information Collected Automatically</w:t>
      </w:r>
    </w:p>
    <w:p>
      <w:pPr>
        <w:pStyle w:val="ListParagraph"/>
        <w:numPr>
          <w:ilvl w:val="0"/>
          <w:numId w:val="2"/>
        </w:numPr>
        <w:spacing w:after="80"/>
      </w:pPr>
      <w:r>
        <w:rPr>
          <w:rFonts w:ascii="Arial" w:cs="Arial" w:eastAsia="Arial" w:hAnsi="Arial"/>
          <w:sz w:val="22"/>
          <w:szCs w:val="22"/>
        </w:rPr>
        <w:t xml:space="preserve">Device and usage data: IP address, browser type, device identifiers, operating system, pages viewed, actions taken, approximate location derived from IP.</w:t>
      </w:r>
    </w:p>
    <w:p>
      <w:pPr>
        <w:pStyle w:val="ListParagraph"/>
        <w:numPr>
          <w:ilvl w:val="0"/>
          <w:numId w:val="2"/>
        </w:numPr>
        <w:spacing w:after="80"/>
      </w:pPr>
      <w:r>
        <w:rPr>
          <w:rFonts w:ascii="Arial" w:cs="Arial" w:eastAsia="Arial" w:hAnsi="Arial"/>
          <w:sz w:val="22"/>
          <w:szCs w:val="22"/>
        </w:rPr>
        <w:t xml:space="preserve">Cookies and similar technologies: for authentication, preferences, analytics, and security. See our Cookie notice for details.</w:t>
      </w:r>
    </w:p>
    <w:p>
      <w:pPr>
        <w:pStyle w:val="ListParagraph"/>
        <w:numPr>
          <w:ilvl w:val="0"/>
          <w:numId w:val="2"/>
        </w:numPr>
        <w:spacing w:after="80"/>
      </w:pPr>
      <w:r>
        <w:rPr>
          <w:rFonts w:ascii="Arial" w:cs="Arial" w:eastAsia="Arial" w:hAnsi="Arial"/>
          <w:sz w:val="22"/>
          <w:szCs w:val="22"/>
        </w:rPr>
        <w:t xml:space="preserve">Precise location (GPS): collected only with your consent and only when needed for certain paid/restricted Challenges or verification tiers. Not required for basic Platform use.</w:t>
      </w:r>
    </w:p>
    <w:p>
      <w:pPr>
        <w:pStyle w:val="Heading2"/>
        <w:spacing w:after="140" w:before="280"/>
      </w:pPr>
      <w:r>
        <w:rPr>
          <w:rFonts w:ascii="Arial" w:cs="Arial" w:eastAsia="Arial" w:hAnsi="Arial"/>
          <w:b/>
          <w:bCs/>
          <w:sz w:val="24"/>
          <w:szCs w:val="24"/>
        </w:rPr>
        <w:t xml:space="preserve">2.3 Information from Third Parties</w:t>
      </w:r>
    </w:p>
    <w:p>
      <w:pPr>
        <w:pStyle w:val="ListParagraph"/>
        <w:numPr>
          <w:ilvl w:val="0"/>
          <w:numId w:val="2"/>
        </w:numPr>
        <w:spacing w:after="80"/>
      </w:pPr>
      <w:r>
        <w:rPr>
          <w:rFonts w:ascii="Arial" w:cs="Arial" w:eastAsia="Arial" w:hAnsi="Arial"/>
          <w:sz w:val="22"/>
          <w:szCs w:val="22"/>
        </w:rPr>
        <w:t xml:space="preserve">Authentication providers (e.g., Google, Apple) if you choose social login.</w:t>
      </w:r>
    </w:p>
    <w:p>
      <w:pPr>
        <w:pStyle w:val="ListParagraph"/>
        <w:numPr>
          <w:ilvl w:val="0"/>
          <w:numId w:val="2"/>
        </w:numPr>
        <w:spacing w:after="80"/>
      </w:pPr>
      <w:r>
        <w:rPr>
          <w:rFonts w:ascii="Arial" w:cs="Arial" w:eastAsia="Arial" w:hAnsi="Arial"/>
          <w:sz w:val="22"/>
          <w:szCs w:val="22"/>
        </w:rPr>
        <w:t xml:space="preserve">Payment processors (Stripe) for transaction confirmation and fraud signals.</w:t>
      </w:r>
    </w:p>
    <w:p>
      <w:pPr>
        <w:pStyle w:val="ListParagraph"/>
        <w:numPr>
          <w:ilvl w:val="0"/>
          <w:numId w:val="2"/>
        </w:numPr>
        <w:spacing w:after="80"/>
      </w:pPr>
      <w:r>
        <w:rPr>
          <w:rFonts w:ascii="Arial" w:cs="Arial" w:eastAsia="Arial" w:hAnsi="Arial"/>
          <w:sz w:val="22"/>
          <w:szCs w:val="22"/>
        </w:rPr>
        <w:t xml:space="preserve">Identity verification and fraud-prevention providers.</w:t>
      </w:r>
    </w:p>
    <w:p>
      <w:pPr>
        <w:pStyle w:val="ListParagraph"/>
        <w:numPr>
          <w:ilvl w:val="0"/>
          <w:numId w:val="2"/>
        </w:numPr>
        <w:spacing w:after="80"/>
      </w:pPr>
      <w:r>
        <w:rPr>
          <w:rFonts w:ascii="Arial" w:cs="Arial" w:eastAsia="Arial" w:hAnsi="Arial"/>
          <w:sz w:val="22"/>
          <w:szCs w:val="22"/>
        </w:rPr>
        <w:t xml:space="preserve">Analytics and infrastructure providers.</w:t>
      </w:r>
    </w:p>
    <w:p>
      <w:pPr>
        <w:pStyle w:val="Heading1"/>
        <w:spacing w:after="200" w:before="360"/>
      </w:pPr>
      <w:r>
        <w:rPr>
          <w:rFonts w:ascii="Arial" w:cs="Arial" w:eastAsia="Arial" w:hAnsi="Arial"/>
          <w:b/>
          <w:bCs/>
          <w:sz w:val="28"/>
          <w:szCs w:val="28"/>
        </w:rPr>
        <w:t xml:space="preserve">3. How We Use Information</w:t>
      </w:r>
    </w:p>
    <w:p>
      <w:pPr>
        <w:spacing w:after="120"/>
      </w:pPr>
      <w:r>
        <w:rPr>
          <w:rFonts w:ascii="Arial" w:cs="Arial" w:eastAsia="Arial" w:hAnsi="Arial"/>
          <w:sz w:val="22"/>
          <w:szCs w:val="22"/>
        </w:rPr>
        <w:t xml:space="preserve">We use personal information to:</w:t>
      </w:r>
    </w:p>
    <w:p>
      <w:pPr>
        <w:pStyle w:val="ListParagraph"/>
        <w:numPr>
          <w:ilvl w:val="0"/>
          <w:numId w:val="2"/>
        </w:numPr>
        <w:spacing w:after="80"/>
      </w:pPr>
      <w:r>
        <w:rPr>
          <w:rFonts w:ascii="Arial" w:cs="Arial" w:eastAsia="Arial" w:hAnsi="Arial"/>
          <w:sz w:val="22"/>
          <w:szCs w:val="22"/>
        </w:rPr>
        <w:t xml:space="preserve">Provide, operate, and improve the Platform (accounts, Challenges, payments, social features, notifications);</w:t>
      </w:r>
    </w:p>
    <w:p>
      <w:pPr>
        <w:pStyle w:val="ListParagraph"/>
        <w:numPr>
          <w:ilvl w:val="0"/>
          <w:numId w:val="2"/>
        </w:numPr>
        <w:spacing w:after="80"/>
      </w:pPr>
      <w:r>
        <w:rPr>
          <w:rFonts w:ascii="Arial" w:cs="Arial" w:eastAsia="Arial" w:hAnsi="Arial"/>
          <w:sz w:val="22"/>
          <w:szCs w:val="22"/>
        </w:rPr>
        <w:t xml:space="preserve">Process transactions, prevent fraud, and comply with legal obligations (including AML, sanctions, tax reporting);</w:t>
      </w:r>
    </w:p>
    <w:p>
      <w:pPr>
        <w:pStyle w:val="ListParagraph"/>
        <w:numPr>
          <w:ilvl w:val="0"/>
          <w:numId w:val="2"/>
        </w:numPr>
        <w:spacing w:after="80"/>
      </w:pPr>
      <w:r>
        <w:rPr>
          <w:rFonts w:ascii="Arial" w:cs="Arial" w:eastAsia="Arial" w:hAnsi="Arial"/>
          <w:sz w:val="22"/>
          <w:szCs w:val="22"/>
        </w:rPr>
        <w:t xml:space="preserve">Verify identity and eligibility, enforce jurisdiction restrictions, and apply progressive KYC;</w:t>
      </w:r>
    </w:p>
    <w:p>
      <w:pPr>
        <w:pStyle w:val="ListParagraph"/>
        <w:numPr>
          <w:ilvl w:val="0"/>
          <w:numId w:val="2"/>
        </w:numPr>
        <w:spacing w:after="80"/>
      </w:pPr>
      <w:r>
        <w:rPr>
          <w:rFonts w:ascii="Arial" w:cs="Arial" w:eastAsia="Arial" w:hAnsi="Arial"/>
          <w:sz w:val="22"/>
          <w:szCs w:val="22"/>
        </w:rPr>
        <w:t xml:space="preserve">Communicate with you (transactional, service, and, with consent where required, marketing);</w:t>
      </w:r>
    </w:p>
    <w:p>
      <w:pPr>
        <w:pStyle w:val="ListParagraph"/>
        <w:numPr>
          <w:ilvl w:val="0"/>
          <w:numId w:val="2"/>
        </w:numPr>
        <w:spacing w:after="80"/>
      </w:pPr>
      <w:r>
        <w:rPr>
          <w:rFonts w:ascii="Arial" w:cs="Arial" w:eastAsia="Arial" w:hAnsi="Arial"/>
          <w:sz w:val="22"/>
          <w:szCs w:val="22"/>
        </w:rPr>
        <w:t xml:space="preserve">Personalize content and recommendations;</w:t>
      </w:r>
    </w:p>
    <w:p>
      <w:pPr>
        <w:pStyle w:val="ListParagraph"/>
        <w:numPr>
          <w:ilvl w:val="0"/>
          <w:numId w:val="2"/>
        </w:numPr>
        <w:spacing w:after="80"/>
      </w:pPr>
      <w:r>
        <w:rPr>
          <w:rFonts w:ascii="Arial" w:cs="Arial" w:eastAsia="Arial" w:hAnsi="Arial"/>
          <w:sz w:val="22"/>
          <w:szCs w:val="22"/>
        </w:rPr>
        <w:t xml:space="preserve">Protect the safety and integrity of the Platform and users;</w:t>
      </w:r>
    </w:p>
    <w:p>
      <w:pPr>
        <w:pStyle w:val="ListParagraph"/>
        <w:numPr>
          <w:ilvl w:val="0"/>
          <w:numId w:val="2"/>
        </w:numPr>
        <w:spacing w:after="80"/>
      </w:pPr>
      <w:r>
        <w:rPr>
          <w:rFonts w:ascii="Arial" w:cs="Arial" w:eastAsia="Arial" w:hAnsi="Arial"/>
          <w:sz w:val="22"/>
          <w:szCs w:val="22"/>
        </w:rPr>
        <w:t xml:space="preserve">Comply with law and respond to legal process.</w:t>
      </w:r>
    </w:p>
    <w:p>
      <w:pPr>
        <w:spacing w:after="120"/>
      </w:pPr>
      <w:r>
        <w:rPr>
          <w:rFonts w:ascii="Arial" w:cs="Arial" w:eastAsia="Arial" w:hAnsi="Arial"/>
          <w:sz w:val="22"/>
          <w:szCs w:val="22"/>
        </w:rPr>
        <w:t xml:space="preserve">Legal bases under GDPR/UK GDPR include: performance of a contract, legitimate interests (security, improvement, fraud prevention), consent (where required, e.g., precise location, certain marketing), and legal obligation.</w:t>
      </w:r>
    </w:p>
    <w:p>
      <w:pPr>
        <w:pStyle w:val="Heading1"/>
        <w:spacing w:after="200" w:before="360"/>
      </w:pPr>
      <w:r>
        <w:rPr>
          <w:rFonts w:ascii="Arial" w:cs="Arial" w:eastAsia="Arial" w:hAnsi="Arial"/>
          <w:b/>
          <w:bCs/>
          <w:sz w:val="28"/>
          <w:szCs w:val="28"/>
        </w:rPr>
        <w:t xml:space="preserve">4. How We Share Information</w:t>
      </w:r>
    </w:p>
    <w:p>
      <w:pPr>
        <w:spacing w:after="120"/>
      </w:pPr>
      <w:r>
        <w:rPr>
          <w:rFonts w:ascii="Arial" w:cs="Arial" w:eastAsia="Arial" w:hAnsi="Arial"/>
          <w:sz w:val="22"/>
          <w:szCs w:val="22"/>
        </w:rPr>
        <w:t xml:space="preserve">We share personal information with:</w:t>
      </w:r>
    </w:p>
    <w:p>
      <w:pPr>
        <w:pStyle w:val="ListParagraph"/>
        <w:numPr>
          <w:ilvl w:val="0"/>
          <w:numId w:val="2"/>
        </w:numPr>
        <w:spacing w:after="80"/>
      </w:pPr>
      <w:r>
        <w:rPr>
          <w:rFonts w:ascii="Arial" w:cs="Arial" w:eastAsia="Arial" w:hAnsi="Arial"/>
          <w:sz w:val="22"/>
          <w:szCs w:val="22"/>
        </w:rPr>
        <w:t xml:space="preserve">Service providers and processors who assist us (hosting, payment processing via Stripe, identity verification, analytics, customer support, cloud infrastructure) under appropriate contracts;</w:t>
      </w:r>
    </w:p>
    <w:p>
      <w:pPr>
        <w:pStyle w:val="ListParagraph"/>
        <w:numPr>
          <w:ilvl w:val="0"/>
          <w:numId w:val="2"/>
        </w:numPr>
        <w:spacing w:after="80"/>
      </w:pPr>
      <w:r>
        <w:rPr>
          <w:rFonts w:ascii="Arial" w:cs="Arial" w:eastAsia="Arial" w:hAnsi="Arial"/>
          <w:sz w:val="22"/>
          <w:szCs w:val="22"/>
        </w:rPr>
        <w:t xml:space="preserve">Other users, as necessary for the social and Challenge features you use (public profile elements, submissions, comments, leaderboards);</w:t>
      </w:r>
    </w:p>
    <w:p>
      <w:pPr>
        <w:pStyle w:val="ListParagraph"/>
        <w:numPr>
          <w:ilvl w:val="0"/>
          <w:numId w:val="2"/>
        </w:numPr>
        <w:spacing w:after="80"/>
      </w:pPr>
      <w:r>
        <w:rPr>
          <w:rFonts w:ascii="Arial" w:cs="Arial" w:eastAsia="Arial" w:hAnsi="Arial"/>
          <w:sz w:val="22"/>
          <w:szCs w:val="22"/>
        </w:rPr>
        <w:t xml:space="preserve">Payment and financial partners as required to process transactions and meet compliance obligations;</w:t>
      </w:r>
    </w:p>
    <w:p>
      <w:pPr>
        <w:pStyle w:val="ListParagraph"/>
        <w:numPr>
          <w:ilvl w:val="0"/>
          <w:numId w:val="2"/>
        </w:numPr>
        <w:spacing w:after="80"/>
      </w:pPr>
      <w:r>
        <w:rPr>
          <w:rFonts w:ascii="Arial" w:cs="Arial" w:eastAsia="Arial" w:hAnsi="Arial"/>
          <w:sz w:val="22"/>
          <w:szCs w:val="22"/>
        </w:rPr>
        <w:t xml:space="preserve">Authorities, regulators, or other parties when required by law, to protect rights and safety, or in connection with a merger/acquisition;</w:t>
      </w:r>
    </w:p>
    <w:p>
      <w:pPr>
        <w:pStyle w:val="ListParagraph"/>
        <w:numPr>
          <w:ilvl w:val="0"/>
          <w:numId w:val="2"/>
        </w:numPr>
        <w:spacing w:after="80"/>
      </w:pPr>
      <w:r>
        <w:rPr>
          <w:rFonts w:ascii="Arial" w:cs="Arial" w:eastAsia="Arial" w:hAnsi="Arial"/>
          <w:sz w:val="22"/>
          <w:szCs w:val="22"/>
        </w:rPr>
        <w:t xml:space="preserve">Affiliates under common control.</w:t>
      </w:r>
    </w:p>
    <w:p>
      <w:pPr>
        <w:spacing w:after="120"/>
      </w:pPr>
      <w:r>
        <w:rPr>
          <w:rFonts w:ascii="Arial" w:cs="Arial" w:eastAsia="Arial" w:hAnsi="Arial"/>
          <w:sz w:val="22"/>
          <w:szCs w:val="22"/>
        </w:rPr>
        <w:t xml:space="preserve">We do not sell personal information for monetary consideration. Under CCPA/CPRA we may “share” data for certain cross-context behavioral advertising; you can opt out as described below.</w:t>
      </w:r>
    </w:p>
    <w:p>
      <w:pPr>
        <w:spacing w:after="120"/>
      </w:pPr>
      <w:r>
        <w:rPr>
          <w:rFonts w:ascii="Arial" w:cs="Arial" w:eastAsia="Arial" w:hAnsi="Arial"/>
          <w:sz w:val="22"/>
          <w:szCs w:val="22"/>
        </w:rPr>
        <w:t xml:space="preserve">Stripe’s privacy policy applies to data it processes: https://stripe.com/privacy.</w:t>
      </w:r>
    </w:p>
    <w:p>
      <w:pPr>
        <w:pStyle w:val="Heading1"/>
        <w:spacing w:after="200" w:before="360"/>
      </w:pPr>
      <w:r>
        <w:rPr>
          <w:rFonts w:ascii="Arial" w:cs="Arial" w:eastAsia="Arial" w:hAnsi="Arial"/>
          <w:b/>
          <w:bCs/>
          <w:sz w:val="28"/>
          <w:szCs w:val="28"/>
        </w:rPr>
        <w:t xml:space="preserve">5. International Transfers</w:t>
      </w:r>
    </w:p>
    <w:p>
      <w:pPr>
        <w:spacing w:after="120"/>
      </w:pPr>
      <w:r>
        <w:rPr>
          <w:rFonts w:ascii="Arial" w:cs="Arial" w:eastAsia="Arial" w:hAnsi="Arial"/>
          <w:sz w:val="22"/>
          <w:szCs w:val="22"/>
        </w:rPr>
        <w:t xml:space="preserve">We may transfer personal information to the United States and other countries. Where required, we use appropriate safeguards such as Standard Contractual Clauses or adequacy decisions.</w:t>
      </w:r>
    </w:p>
    <w:p>
      <w:pPr>
        <w:pStyle w:val="Heading1"/>
        <w:spacing w:after="200" w:before="360"/>
      </w:pPr>
      <w:r>
        <w:rPr>
          <w:rFonts w:ascii="Arial" w:cs="Arial" w:eastAsia="Arial" w:hAnsi="Arial"/>
          <w:b/>
          <w:bCs/>
          <w:sz w:val="28"/>
          <w:szCs w:val="28"/>
        </w:rPr>
        <w:t xml:space="preserve">6. Retention</w:t>
      </w:r>
    </w:p>
    <w:p>
      <w:pPr>
        <w:spacing w:after="120"/>
      </w:pPr>
      <w:r>
        <w:rPr>
          <w:rFonts w:ascii="Arial" w:cs="Arial" w:eastAsia="Arial" w:hAnsi="Arial"/>
          <w:sz w:val="22"/>
          <w:szCs w:val="22"/>
        </w:rPr>
        <w:t xml:space="preserve">We retain personal information for as long as necessary to provide the Services, comply with legal obligations (including tax, AML, and accounting), resolve disputes, and enforce agreements. Retention periods vary by data category and legal requirements.</w:t>
      </w:r>
    </w:p>
    <w:p>
      <w:pPr>
        <w:pStyle w:val="Heading1"/>
        <w:spacing w:after="200" w:before="360"/>
      </w:pPr>
      <w:r>
        <w:rPr>
          <w:rFonts w:ascii="Arial" w:cs="Arial" w:eastAsia="Arial" w:hAnsi="Arial"/>
          <w:b/>
          <w:bCs/>
          <w:sz w:val="28"/>
          <w:szCs w:val="28"/>
        </w:rPr>
        <w:t xml:space="preserve">7. Security</w:t>
      </w:r>
    </w:p>
    <w:p>
      <w:pPr>
        <w:spacing w:after="120"/>
      </w:pPr>
      <w:r>
        <w:rPr>
          <w:rFonts w:ascii="Arial" w:cs="Arial" w:eastAsia="Arial" w:hAnsi="Arial"/>
          <w:sz w:val="22"/>
          <w:szCs w:val="22"/>
        </w:rPr>
        <w:t xml:space="preserve">We implement reasonable technical and organizational measures designed to protect personal information. No method of transmission or storage is completely secure; we cannot guarantee absolute security.</w:t>
      </w:r>
    </w:p>
    <w:p>
      <w:pPr>
        <w:pStyle w:val="Heading1"/>
        <w:spacing w:after="200" w:before="360"/>
      </w:pPr>
      <w:r>
        <w:rPr>
          <w:rFonts w:ascii="Arial" w:cs="Arial" w:eastAsia="Arial" w:hAnsi="Arial"/>
          <w:b/>
          <w:bCs/>
          <w:sz w:val="28"/>
          <w:szCs w:val="28"/>
        </w:rPr>
        <w:t xml:space="preserve">8. Your Rights and Choices</w:t>
      </w:r>
    </w:p>
    <w:p>
      <w:pPr>
        <w:spacing w:after="120"/>
      </w:pPr>
      <w:r>
        <w:rPr>
          <w:rFonts w:ascii="Arial" w:cs="Arial" w:eastAsia="Arial" w:hAnsi="Arial"/>
          <w:sz w:val="22"/>
          <w:szCs w:val="22"/>
        </w:rPr>
        <w:t xml:space="preserve">Depending on your location, you may have rights to:</w:t>
      </w:r>
    </w:p>
    <w:p>
      <w:pPr>
        <w:pStyle w:val="ListParagraph"/>
        <w:numPr>
          <w:ilvl w:val="0"/>
          <w:numId w:val="2"/>
        </w:numPr>
        <w:spacing w:after="80"/>
      </w:pPr>
      <w:r>
        <w:rPr>
          <w:rFonts w:ascii="Arial" w:cs="Arial" w:eastAsia="Arial" w:hAnsi="Arial"/>
          <w:sz w:val="22"/>
          <w:szCs w:val="22"/>
        </w:rPr>
        <w:t xml:space="preserve">Access, correct, or delete your personal information;</w:t>
      </w:r>
    </w:p>
    <w:p>
      <w:pPr>
        <w:pStyle w:val="ListParagraph"/>
        <w:numPr>
          <w:ilvl w:val="0"/>
          <w:numId w:val="2"/>
        </w:numPr>
        <w:spacing w:after="80"/>
      </w:pPr>
      <w:r>
        <w:rPr>
          <w:rFonts w:ascii="Arial" w:cs="Arial" w:eastAsia="Arial" w:hAnsi="Arial"/>
          <w:sz w:val="22"/>
          <w:szCs w:val="22"/>
        </w:rPr>
        <w:t xml:space="preserve">Portability of certain data;</w:t>
      </w:r>
    </w:p>
    <w:p>
      <w:pPr>
        <w:pStyle w:val="ListParagraph"/>
        <w:numPr>
          <w:ilvl w:val="0"/>
          <w:numId w:val="2"/>
        </w:numPr>
        <w:spacing w:after="80"/>
      </w:pPr>
      <w:r>
        <w:rPr>
          <w:rFonts w:ascii="Arial" w:cs="Arial" w:eastAsia="Arial" w:hAnsi="Arial"/>
          <w:sz w:val="22"/>
          <w:szCs w:val="22"/>
        </w:rPr>
        <w:t xml:space="preserve">Object to or restrict certain processing;</w:t>
      </w:r>
    </w:p>
    <w:p>
      <w:pPr>
        <w:pStyle w:val="ListParagraph"/>
        <w:numPr>
          <w:ilvl w:val="0"/>
          <w:numId w:val="2"/>
        </w:numPr>
        <w:spacing w:after="80"/>
      </w:pPr>
      <w:r>
        <w:rPr>
          <w:rFonts w:ascii="Arial" w:cs="Arial" w:eastAsia="Arial" w:hAnsi="Arial"/>
          <w:sz w:val="22"/>
          <w:szCs w:val="22"/>
        </w:rPr>
        <w:t xml:space="preserve">Withdraw consent (where processing is based on consent);</w:t>
      </w:r>
    </w:p>
    <w:p>
      <w:pPr>
        <w:pStyle w:val="ListParagraph"/>
        <w:numPr>
          <w:ilvl w:val="0"/>
          <w:numId w:val="2"/>
        </w:numPr>
        <w:spacing w:after="80"/>
      </w:pPr>
      <w:r>
        <w:rPr>
          <w:rFonts w:ascii="Arial" w:cs="Arial" w:eastAsia="Arial" w:hAnsi="Arial"/>
          <w:sz w:val="22"/>
          <w:szCs w:val="22"/>
        </w:rPr>
        <w:t xml:space="preserve">Opt out of “sale” or “sharing” of personal information (CCPA/CPRA) and certain targeted advertising;</w:t>
      </w:r>
    </w:p>
    <w:p>
      <w:pPr>
        <w:pStyle w:val="ListParagraph"/>
        <w:numPr>
          <w:ilvl w:val="0"/>
          <w:numId w:val="2"/>
        </w:numPr>
        <w:spacing w:after="80"/>
      </w:pPr>
      <w:r>
        <w:rPr>
          <w:rFonts w:ascii="Arial" w:cs="Arial" w:eastAsia="Arial" w:hAnsi="Arial"/>
          <w:sz w:val="22"/>
          <w:szCs w:val="22"/>
        </w:rPr>
        <w:t xml:space="preserve">Lodge a complaint with a supervisory authority.</w:t>
      </w:r>
    </w:p>
    <w:p>
      <w:pPr>
        <w:spacing w:after="120"/>
      </w:pPr>
      <w:r>
        <w:rPr>
          <w:rFonts w:ascii="Arial" w:cs="Arial" w:eastAsia="Arial" w:hAnsi="Arial"/>
          <w:sz w:val="22"/>
          <w:szCs w:val="22"/>
        </w:rPr>
        <w:t xml:space="preserve">To exercise rights, contact [privacy@blob.example] or use in-app tools where available. We will verify requests as required by law. California residents have additional rights under the CCPA/CPRA, including the right to know categories of information collected and the right to non-discrimination.</w:t>
      </w:r>
    </w:p>
    <w:p>
      <w:pPr>
        <w:spacing w:after="120"/>
      </w:pPr>
      <w:r>
        <w:rPr>
          <w:rFonts w:ascii="Arial" w:cs="Arial" w:eastAsia="Arial" w:hAnsi="Arial"/>
          <w:sz w:val="22"/>
          <w:szCs w:val="22"/>
        </w:rPr>
        <w:t xml:space="preserve">You can control cookies through browser settings and our consent tools. You can decline precise location permission; basic Platform functionality will remain available.</w:t>
      </w:r>
    </w:p>
    <w:p>
      <w:pPr>
        <w:pStyle w:val="Heading1"/>
        <w:spacing w:after="200" w:before="360"/>
      </w:pPr>
      <w:r>
        <w:rPr>
          <w:rFonts w:ascii="Arial" w:cs="Arial" w:eastAsia="Arial" w:hAnsi="Arial"/>
          <w:b/>
          <w:bCs/>
          <w:sz w:val="28"/>
          <w:szCs w:val="28"/>
        </w:rPr>
        <w:t xml:space="preserve">9. Children’s Privacy</w:t>
      </w:r>
    </w:p>
    <w:p>
      <w:pPr>
        <w:spacing w:after="120"/>
      </w:pPr>
      <w:r>
        <w:rPr>
          <w:rFonts w:ascii="Arial" w:cs="Arial" w:eastAsia="Arial" w:hAnsi="Arial"/>
          <w:sz w:val="22"/>
          <w:szCs w:val="22"/>
        </w:rPr>
        <w:t xml:space="preserve">The Platform is not directed to children under 13 (or under 16 in certain jurisdictions). We do not knowingly collect personal information from children. If we learn we have collected such information, we will delete it.</w:t>
      </w:r>
    </w:p>
    <w:p>
      <w:pPr>
        <w:pStyle w:val="Heading1"/>
        <w:spacing w:after="200" w:before="360"/>
      </w:pPr>
      <w:r>
        <w:rPr>
          <w:rFonts w:ascii="Arial" w:cs="Arial" w:eastAsia="Arial" w:hAnsi="Arial"/>
          <w:b/>
          <w:bCs/>
          <w:sz w:val="28"/>
          <w:szCs w:val="28"/>
        </w:rPr>
        <w:t xml:space="preserve">10. Jurisdiction-Specific Notices</w:t>
      </w:r>
    </w:p>
    <w:p>
      <w:pPr>
        <w:spacing w:after="120"/>
      </w:pPr>
      <w:r>
        <w:rPr>
          <w:rFonts w:ascii="Arial" w:cs="Arial" w:eastAsia="Arial" w:hAnsi="Arial"/>
          <w:sz w:val="22"/>
          <w:szCs w:val="22"/>
        </w:rPr>
        <w:t xml:space="preserve">Additional disclosures for California, EU/EEA, United Kingdom, Canada, Australia, and other jurisdictions will be expanded in subsequent versions after counsel review. Residents of those jurisdictions may contact us to exercise applicable rights.</w:t>
      </w:r>
    </w:p>
    <w:p>
      <w:pPr>
        <w:pStyle w:val="Heading1"/>
        <w:spacing w:after="200" w:before="360"/>
      </w:pPr>
      <w:r>
        <w:rPr>
          <w:rFonts w:ascii="Arial" w:cs="Arial" w:eastAsia="Arial" w:hAnsi="Arial"/>
          <w:b/>
          <w:bCs/>
          <w:sz w:val="28"/>
          <w:szCs w:val="28"/>
        </w:rPr>
        <w:t xml:space="preserve">11. Changes to This Policy</w:t>
      </w:r>
    </w:p>
    <w:p>
      <w:pPr>
        <w:spacing w:after="120"/>
      </w:pPr>
      <w:r>
        <w:rPr>
          <w:rFonts w:ascii="Arial" w:cs="Arial" w:eastAsia="Arial" w:hAnsi="Arial"/>
          <w:sz w:val="22"/>
          <w:szCs w:val="22"/>
        </w:rPr>
        <w:t xml:space="preserve">We may update this Privacy Policy from time to time. Material changes will be notified via the Platform or email. The “Last Updated” date indicates the most recent revision.</w:t>
      </w:r>
    </w:p>
    <w:p>
      <w:pPr>
        <w:pStyle w:val="Heading1"/>
        <w:spacing w:after="200" w:before="360"/>
      </w:pPr>
      <w:r>
        <w:rPr>
          <w:rFonts w:ascii="Arial" w:cs="Arial" w:eastAsia="Arial" w:hAnsi="Arial"/>
          <w:b/>
          <w:bCs/>
          <w:sz w:val="28"/>
          <w:szCs w:val="28"/>
        </w:rPr>
        <w:t xml:space="preserve">12. Contact Us</w:t>
      </w:r>
    </w:p>
    <w:p>
      <w:pPr>
        <w:spacing w:after="120"/>
      </w:pPr>
      <w:r>
        <w:rPr>
          <w:rFonts w:ascii="Arial" w:cs="Arial" w:eastAsia="Arial" w:hAnsi="Arial"/>
          <w:sz w:val="22"/>
          <w:szCs w:val="22"/>
        </w:rPr>
        <w:t xml:space="preserve">Questions or requests: [privacy@blob.example]</w:t>
      </w:r>
    </w:p>
    <w:p>
      <w:pPr>
        <w:spacing w:after="120"/>
      </w:pPr>
      <w:r>
        <w:rPr>
          <w:rFonts w:ascii="Arial" w:cs="Arial" w:eastAsia="Arial" w:hAnsi="Arial"/>
          <w:sz w:val="22"/>
          <w:szCs w:val="22"/>
        </w:rPr>
        <w:t xml:space="preserve">[COMPANY LEGAL NAME]</w:t>
      </w:r>
    </w:p>
    <w:p>
      <w:pPr>
        <w:spacing w:after="120"/>
      </w:pPr>
      <w:r>
        <w:rPr>
          <w:rFonts w:ascii="Arial" w:cs="Arial" w:eastAsia="Arial" w:hAnsi="Arial"/>
          <w:sz w:val="22"/>
          <w:szCs w:val="22"/>
        </w:rPr>
        <w:t xml:space="preserve">[FULL ADDRESS]</w:t>
      </w:r>
    </w:p>
    <w:p>
      <w:pPr>
        <w:spacing w:before="400"/>
      </w:pPr>
      <w:r>
        <w:rPr>
          <w:i/>
          <w:iCs/>
          <w:color w:val="666666"/>
          <w:sz w:val="20"/>
          <w:szCs w:val="20"/>
        </w:rPr>
        <w:t xml:space="preserve">— End of Privacy Policy (First Iteration Draft)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Confidential Draft — Counsel Review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666666"/>
        <w:sz w:val="18"/>
        <w:szCs w:val="18"/>
      </w:rPr>
      <w:t xml:space="preserve">blOb — Privacy Policy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2026-08-17T17:41:25.353Z</dcterms:created>
  <dcterms:modified xsi:type="dcterms:W3CDTF">2026-08-17T17:41:25.353Z</dcterms:modified>
</cp:coreProperties>
</file>

<file path=docProps/custom.xml><?xml version="1.0" encoding="utf-8"?>
<Properties xmlns="http://schemas.openxmlformats.org/officeDocument/2006/custom-properties" xmlns:vt="http://schemas.openxmlformats.org/officeDocument/2006/docPropsVTypes"/>
</file>