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df" ContentType="application/pdf"/>
  <Override PartName="/word/media/rId26.pdf" ContentType="application/pdf"/>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Medial</w:t>
      </w:r>
      <w:r>
        <w:t xml:space="preserve"> </w:t>
      </w:r>
      <w:r>
        <w:t xml:space="preserve">Septal</w:t>
      </w:r>
      <w:r>
        <w:t xml:space="preserve"> </w:t>
      </w:r>
      <w:r>
        <w:t xml:space="preserve">Projections</w:t>
      </w:r>
      <w:r>
        <w:t xml:space="preserve"> </w:t>
      </w:r>
      <w:r>
        <w:t xml:space="preserve">to</w:t>
      </w:r>
      <w:r>
        <w:t xml:space="preserve"> </w:t>
      </w:r>
      <w:r>
        <w:t xml:space="preserve">the</w:t>
      </w:r>
      <w:r>
        <w:t xml:space="preserve"> </w:t>
      </w:r>
      <w:r>
        <w:t xml:space="preserve">Parasubiculum</w:t>
      </w:r>
    </w:p>
    <w:p>
      <w:pPr>
        <w:pStyle w:val="Author"/>
      </w:pPr>
      <w:r>
        <w:t xml:space="preserve">Daniel</w:t>
      </w:r>
      <w:r>
        <w:t xml:space="preserve"> </w:t>
      </w:r>
      <w:r>
        <w:t xml:space="preserve">Parthier</w:t>
      </w:r>
    </w:p>
    <w:p>
      <w:pPr>
        <w:pStyle w:val="Date"/>
      </w:pPr>
      <w:r>
        <w:t xml:space="preserve">18.02.2021</w:t>
      </w:r>
    </w:p>
    <w:p>
      <w:pPr>
        <w:pStyle w:val="Heading1"/>
      </w:pPr>
      <w:bookmarkStart w:id="20" w:name="prerequisites"/>
      <w:r>
        <w:t xml:space="preserve">1	Prerequisites</w:t>
      </w:r>
      <w:bookmarkEnd w:id="20"/>
    </w:p>
    <w:p>
      <w:pPr>
        <w:pStyle w:val="FirstParagraph"/>
      </w:pPr>
      <w:r>
        <w:t xml:space="preserve">The experimental work of this thesis was completed from xx.xx.xx to xx.xx.xx under the supervision of Prof. Dr. Dietmar Schmitz at the Neuroscience Research Centre (NWFZ) of the Charité.</w:t>
      </w:r>
    </w:p>
    <w:p>
      <w:pPr>
        <w:pStyle w:val="Heading1"/>
      </w:pPr>
      <w:bookmarkStart w:id="21" w:name="intro"/>
      <w:r>
        <w:t xml:space="preserve">2	Introduction</w:t>
      </w:r>
      <w:bookmarkEnd w:id="21"/>
    </w:p>
    <w:p>
      <w:pPr>
        <w:pStyle w:val="Heading2"/>
      </w:pPr>
      <w:bookmarkStart w:id="22" w:name="theta"/>
      <w:r>
        <w:t xml:space="preserve">2.1	Theta</w:t>
      </w:r>
      <w:bookmarkEnd w:id="22"/>
    </w:p>
    <w:p>
      <w:pPr>
        <w:pStyle w:val="Heading2"/>
      </w:pPr>
      <w:bookmarkStart w:id="23" w:name="medial-septum"/>
      <w:r>
        <w:t xml:space="preserve">2.2	Medial Septum</w:t>
      </w:r>
      <w:bookmarkEnd w:id="23"/>
    </w:p>
    <w:p>
      <w:pPr>
        <w:pStyle w:val="FirstParagraph"/>
      </w:pPr>
      <w:r>
        <w:t xml:space="preserve">The medial septum (MS) a structure located in the forebrain (Figure</w:t>
      </w:r>
      <w:r>
        <w:t xml:space="preserve"> </w:t>
      </w:r>
      <w:r>
        <w:t xml:space="preserve">2.1</w:t>
      </w:r>
      <w:r>
        <w:t xml:space="preserve">) can be found across species.</w:t>
      </w:r>
    </w:p>
    <w:p>
      <w:pPr>
        <w:pStyle w:val="CaptionedFigure"/>
      </w:pPr>
      <w:r>
        <w:drawing>
          <wp:inline>
            <wp:extent cx="5334000" cy="1652494"/>
            <wp:effectExtent b="0" l="0" r="0" t="0"/>
            <wp:docPr descr="Figure 2.1: Schematic of medial septum in saggital (A) and coronal (B) section. Blue shows the location of the MS, light gray represents ventricular space and dark gray fibre bundels. The dashed line in (A) indicates the position of the section of (B). Modified from Allen Brain Atlas." title="" id="1" name="Picture"/>
            <a:graphic>
              <a:graphicData uri="http://schemas.openxmlformats.org/drawingml/2006/picture">
                <pic:pic>
                  <pic:nvPicPr>
                    <pic:cNvPr descr="Figures/Schemes/MS_schematic.pdf" id="0" name="Picture"/>
                    <pic:cNvPicPr>
                      <a:picLocks noChangeArrowheads="1" noChangeAspect="1"/>
                    </pic:cNvPicPr>
                  </pic:nvPicPr>
                  <pic:blipFill>
                    <a:blip r:embed="rId24"/>
                    <a:stretch>
                      <a:fillRect/>
                    </a:stretch>
                  </pic:blipFill>
                  <pic:spPr bwMode="auto">
                    <a:xfrm>
                      <a:off x="0" y="0"/>
                      <a:ext cx="5334000" cy="1652494"/>
                    </a:xfrm>
                    <a:prstGeom prst="rect">
                      <a:avLst/>
                    </a:prstGeom>
                    <a:noFill/>
                    <a:ln w="9525">
                      <a:noFill/>
                      <a:headEnd/>
                      <a:tailEnd/>
                    </a:ln>
                  </pic:spPr>
                </pic:pic>
              </a:graphicData>
            </a:graphic>
          </wp:inline>
        </w:drawing>
      </w:r>
    </w:p>
    <w:p>
      <w:pPr>
        <w:pStyle w:val="ImageCaption"/>
      </w:pPr>
      <w:r>
        <w:t xml:space="preserve">Figure 2.1: Schematic of medial septum in saggital (A) and coronal (B) section. Blue shows the location of the MS, light gray represents ventricular space and dark gray fibre bundels. The dashed line in (A) indicates the position of the section of (B). Modified from Allen Brain Atlas.</w:t>
      </w:r>
    </w:p>
    <w:p>
      <w:pPr>
        <w:pStyle w:val="Heading2"/>
      </w:pPr>
      <w:bookmarkStart w:id="25" w:name="parasubiculum"/>
      <w:r>
        <w:t xml:space="preserve">2.3	Parasubiculum</w:t>
      </w:r>
      <w:bookmarkEnd w:id="25"/>
    </w:p>
    <w:p>
      <w:pPr>
        <w:pStyle w:val="FirstParagraph"/>
      </w:pPr>
      <w:r>
        <w:t xml:space="preserve">The parasubiculum (PaS) on the other hand is part of the parahippocampal formation (Figure</w:t>
      </w:r>
      <w:r>
        <w:t xml:space="preserve"> </w:t>
      </w:r>
      <w:r>
        <w:t xml:space="preserve">2.2</w:t>
      </w:r>
      <w:r>
        <w:t xml:space="preserve">), the posterior part of the mouse brain, and is found in different species</w:t>
      </w:r>
      <w:r>
        <w:t xml:space="preserve"> </w:t>
      </w:r>
      <w:r>
        <w:t xml:space="preserve">(Ding</w:t>
      </w:r>
      <w:r>
        <w:t xml:space="preserve"> </w:t>
      </w:r>
      <w:hyperlink w:anchor="ref-ding_comparative_2013">
        <w:r>
          <w:rPr>
            <w:rStyle w:val="Hyperlink"/>
          </w:rPr>
          <w:t xml:space="preserve">2013</w:t>
        </w:r>
      </w:hyperlink>
      <w:r>
        <w:t xml:space="preserve">)</w:t>
      </w:r>
      <w:r>
        <w:t xml:space="preserve">.</w:t>
      </w:r>
      <w:r>
        <w:t xml:space="preserve"> </w:t>
      </w:r>
      <w:r>
        <w:t xml:space="preserve">It is adjacent to the medial entorhinal cortex and presubiculum which, as the PaS, have spatially linked functional cell types coding for different aspects used for navigation (Citation needed).</w:t>
      </w:r>
    </w:p>
    <w:p>
      <w:pPr>
        <w:pStyle w:val="CaptionedFigure"/>
      </w:pPr>
      <w:r>
        <w:drawing>
          <wp:inline>
            <wp:extent cx="5334000" cy="1955387"/>
            <wp:effectExtent b="0" l="0" r="0" t="0"/>
            <wp:docPr descr="Figure 2.2: Schematic of parasubiculum in a saggital (A) and horizontal (B) section. turqoise shows the location of the PaS, light gray represents ventricular space and dark gray fibre bundels. The dark green in (B) represents the pyramidal cell layer II of the medial entorhinal cortex. The cornu ammonis and the dentate gyrus are marked in light blue." title="" id="1" name="Picture"/>
            <a:graphic>
              <a:graphicData uri="http://schemas.openxmlformats.org/drawingml/2006/picture">
                <pic:pic>
                  <pic:nvPicPr>
                    <pic:cNvPr descr="Figures/Schemes/PaS_schematic.pdf" id="0" name="Picture"/>
                    <pic:cNvPicPr>
                      <a:picLocks noChangeArrowheads="1" noChangeAspect="1"/>
                    </pic:cNvPicPr>
                  </pic:nvPicPr>
                  <pic:blipFill>
                    <a:blip r:embed="rId26"/>
                    <a:stretch>
                      <a:fillRect/>
                    </a:stretch>
                  </pic:blipFill>
                  <pic:spPr bwMode="auto">
                    <a:xfrm>
                      <a:off x="0" y="0"/>
                      <a:ext cx="5334000" cy="1955387"/>
                    </a:xfrm>
                    <a:prstGeom prst="rect">
                      <a:avLst/>
                    </a:prstGeom>
                    <a:noFill/>
                    <a:ln w="9525">
                      <a:noFill/>
                      <a:headEnd/>
                      <a:tailEnd/>
                    </a:ln>
                  </pic:spPr>
                </pic:pic>
              </a:graphicData>
            </a:graphic>
          </wp:inline>
        </w:drawing>
      </w:r>
    </w:p>
    <w:p>
      <w:pPr>
        <w:pStyle w:val="ImageCaption"/>
      </w:pPr>
      <w:r>
        <w:t xml:space="preserve">Figure 2.2: Schematic of parasubiculum in a saggital (A) and horizontal (B) section. turqoise shows the location of the PaS, light gray represents ventricular space and dark gray fibre bundels. The dark green in (B) represents the pyramidal cell layer II of the medial entorhinal cortex. The cornu ammonis and the dentate gyrus are marked in light blue.</w:t>
      </w:r>
    </w:p>
    <w:p>
      <w:pPr>
        <w:pStyle w:val="Heading2"/>
      </w:pPr>
      <w:bookmarkStart w:id="27" w:name="spatial-navigation"/>
      <w:r>
        <w:t xml:space="preserve">2.4	Spatial Navigation</w:t>
      </w:r>
      <w:bookmarkEnd w:id="27"/>
    </w:p>
    <w:p>
      <w:pPr>
        <w:pStyle w:val="Heading3"/>
      </w:pPr>
      <w:bookmarkStart w:id="28" w:name="theta-1"/>
      <w:r>
        <w:t xml:space="preserve">2.4.1	Theta</w:t>
      </w:r>
      <w:bookmarkEnd w:id="28"/>
    </w:p>
    <w:p>
      <w:pPr>
        <w:pStyle w:val="FirstParagraph"/>
      </w:pPr>
      <w:r>
        <w:t xml:space="preserve">You can label chapter and section titles using</w:t>
      </w:r>
      <w:r>
        <w:t xml:space="preserve"> </w:t>
      </w:r>
      <w:r>
        <w:rPr>
          <w:rStyle w:val="VerbatimChar"/>
        </w:rPr>
        <w:t xml:space="preserve">{#label}</w:t>
      </w:r>
      <w:r>
        <w:t xml:space="preserve"> </w:t>
      </w:r>
      <w:r>
        <w:t xml:space="preserve">after them, e.g., we can reference Chapter</w:t>
      </w:r>
      <w:r>
        <w:t xml:space="preserve"> </w:t>
      </w:r>
      <w:r>
        <w:t xml:space="preserve">2</w:t>
      </w:r>
      <w:r>
        <w:t xml:space="preserve">. If you do not manually label them, there will be automatic labels anyway, e.g., Chapter</w:t>
      </w:r>
      <w:r>
        <w:t xml:space="preserve"> </w:t>
      </w:r>
      <w:r>
        <w:t xml:space="preserve">??</w:t>
      </w:r>
      <w:r>
        <w:t xml:space="preserve">.</w:t>
      </w:r>
    </w:p>
    <w:p>
      <w:pPr>
        <w:pStyle w:val="BodyText"/>
      </w:pPr>
      <w:r>
        <w:t xml:space="preserve">Figures and tables with captions will be placed in</w:t>
      </w:r>
      <w:r>
        <w:t xml:space="preserve"> </w:t>
      </w:r>
      <w:r>
        <w:rPr>
          <w:rStyle w:val="VerbatimChar"/>
        </w:rPr>
        <w:t xml:space="preserve">figure</w:t>
      </w:r>
      <w:r>
        <w:t xml:space="preserve"> </w:t>
      </w:r>
      <w:r>
        <w:t xml:space="preserve">and</w:t>
      </w:r>
      <w:r>
        <w:t xml:space="preserve"> </w:t>
      </w:r>
      <w:r>
        <w:rPr>
          <w:rStyle w:val="VerbatimChar"/>
        </w:rPr>
        <w:t xml:space="preserve">table</w:t>
      </w:r>
      <w:r>
        <w:t xml:space="preserve"> </w:t>
      </w:r>
      <w:r>
        <w:t xml:space="preserve">environments, respectively.</w:t>
      </w:r>
    </w:p>
    <w:p>
      <w:pPr>
        <w:pStyle w:val="SourceCode"/>
      </w:pPr>
      <w:r>
        <w:rPr>
          <w:rStyle w:val="KeywordTok"/>
        </w:rPr>
        <w:t xml:space="preserve">par</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FloatTok"/>
        </w:rPr>
        <w:t xml:space="preserve">.1</w:t>
      </w:r>
      <w:r>
        <w:rPr>
          <w:rStyle w:val="NormalTok"/>
        </w:rPr>
        <w:t xml:space="preserve">, </w:t>
      </w:r>
      <w:r>
        <w:rPr>
          <w:rStyle w:val="FloatTok"/>
        </w:rPr>
        <w:t xml:space="preserve">.1</w:t>
      </w:r>
      <w:r>
        <w:rPr>
          <w:rStyle w:val="NormalTok"/>
        </w:rPr>
        <w:t xml:space="preserve">))</w:t>
      </w:r>
      <w:r>
        <w:br/>
      </w:r>
      <w:r>
        <w:rPr>
          <w:rStyle w:val="KeywordTok"/>
        </w:rPr>
        <w:t xml:space="preserve">plot</w:t>
      </w:r>
      <w:r>
        <w:rPr>
          <w:rStyle w:val="NormalTok"/>
        </w:rPr>
        <w:t xml:space="preserve">(pressure, </w:t>
      </w:r>
      <w:r>
        <w:rPr>
          <w:rStyle w:val="DataTypeTok"/>
        </w:rPr>
        <w:t xml:space="preserve">type =</w:t>
      </w:r>
      <w:r>
        <w:rPr>
          <w:rStyle w:val="NormalTok"/>
        </w:rPr>
        <w:t xml:space="preserve"> </w:t>
      </w:r>
      <w:r>
        <w:rPr>
          <w:rStyle w:val="StringTok"/>
        </w:rPr>
        <w:t xml:space="preserve">'b'</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w:t>
      </w:r>
    </w:p>
    <w:p>
      <w:pPr>
        <w:pStyle w:val="CaptionedFigure"/>
      </w:pPr>
      <w:r>
        <w:drawing>
          <wp:inline>
            <wp:extent cx="4620126" cy="3696101"/>
            <wp:effectExtent b="0" l="0" r="0" t="0"/>
            <wp:docPr descr="Figure 2.3: Here is a nice figure!" title="" id="1" name="Picture"/>
            <a:graphic>
              <a:graphicData uri="http://schemas.openxmlformats.org/drawingml/2006/picture">
                <pic:pic>
                  <pic:nvPicPr>
                    <pic:cNvPr descr="Thesis_files/figure-docx/nice-fig-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2.3: Here is a nice figure!</w:t>
      </w:r>
    </w:p>
    <w:p>
      <w:pPr>
        <w:pStyle w:val="BodyText"/>
      </w:pPr>
      <w:r>
        <w:t xml:space="preserve">Reference a figure by its code chunk label with the</w:t>
      </w:r>
      <w:r>
        <w:t xml:space="preserve"> </w:t>
      </w:r>
      <w:r>
        <w:rPr>
          <w:rStyle w:val="VerbatimChar"/>
        </w:rPr>
        <w:t xml:space="preserve">fig:</w:t>
      </w:r>
      <w:r>
        <w:t xml:space="preserve"> </w:t>
      </w:r>
      <w:r>
        <w:t xml:space="preserve">prefix, e.g., see Figure</w:t>
      </w:r>
      <w:r>
        <w:t xml:space="preserve"> </w:t>
      </w:r>
      <w:r>
        <w:t xml:space="preserve">2.3</w:t>
      </w:r>
      <w:r>
        <w:t xml:space="preserve">. Similarly, you can reference tables generated from</w:t>
      </w:r>
      <w:r>
        <w:t xml:space="preserve"> </w:t>
      </w:r>
      <w:r>
        <w:rPr>
          <w:rStyle w:val="VerbatimChar"/>
        </w:rPr>
        <w:t xml:space="preserve">knitr::kable()</w:t>
      </w:r>
      <w:r>
        <w:t xml:space="preserve">, e.g., see Table</w:t>
      </w:r>
      <w:r>
        <w:t xml:space="preserve"> </w:t>
      </w:r>
      <w:r>
        <w:t xml:space="preserve">2.1</w:t>
      </w:r>
      <w:r>
        <w:t xml:space="preserve">.</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w:t>
      </w:r>
      <w:r>
        <w:br/>
      </w:r>
      <w:r>
        <w:rPr>
          <w:rStyle w:val="NormalTok"/>
        </w:rPr>
        <w:t xml:space="preserve">  </w:t>
      </w:r>
      <w:r>
        <w:rPr>
          <w:rStyle w:val="KeywordTok"/>
        </w:rPr>
        <w:t xml:space="preserve">head</w:t>
      </w:r>
      <w:r>
        <w:rPr>
          <w:rStyle w:val="NormalTok"/>
        </w:rPr>
        <w:t xml:space="preserve">(iris, </w:t>
      </w:r>
      <w:r>
        <w:rPr>
          <w:rStyle w:val="DecValTok"/>
        </w:rPr>
        <w:t xml:space="preserve">20</w:t>
      </w:r>
      <w:r>
        <w:rPr>
          <w:rStyle w:val="NormalTok"/>
        </w:rPr>
        <w:t xml:space="preserve">), </w:t>
      </w:r>
      <w:r>
        <w:rPr>
          <w:rStyle w:val="DataTypeTok"/>
        </w:rPr>
        <w:t xml:space="preserve">caption =</w:t>
      </w:r>
      <w:r>
        <w:rPr>
          <w:rStyle w:val="NormalTok"/>
        </w:rPr>
        <w:t xml:space="preserve"> </w:t>
      </w:r>
      <w:r>
        <w:rPr>
          <w:rStyle w:val="StringTok"/>
        </w:rPr>
        <w:t xml:space="preserve">'Here is a nice table!'</w:t>
      </w:r>
      <w:r>
        <w:rPr>
          <w:rStyle w:val="NormalTok"/>
        </w:rPr>
        <w:t xml:space="preserve">,</w:t>
      </w:r>
      <w:r>
        <w:br/>
      </w:r>
      <w:r>
        <w:rPr>
          <w:rStyle w:val="NormalTok"/>
        </w:rPr>
        <w:t xml:space="preserve">  </w:t>
      </w:r>
      <w:r>
        <w:rPr>
          <w:rStyle w:val="DataTypeTok"/>
        </w:rPr>
        <w:t xml:space="preserve">booktabs =</w:t>
      </w:r>
      <w:r>
        <w:rPr>
          <w:rStyle w:val="NormalTok"/>
        </w:rPr>
        <w:t xml:space="preserve"> </w:t>
      </w:r>
      <w:r>
        <w:rPr>
          <w:rStyle w:val="OtherTok"/>
        </w:rPr>
        <w:t xml:space="preserve">TRUE</w:t>
      </w:r>
      <w:r>
        <w:br/>
      </w:r>
      <w:r>
        <w:rPr>
          <w:rStyle w:val="NormalTok"/>
        </w:rPr>
        <w:t xml:space="preserve">)</w:t>
      </w:r>
    </w:p>
    <w:p>
      <w:pPr>
        <w:pStyle w:val="TableCaption"/>
      </w:pPr>
      <w:r>
        <w:t xml:space="preserve">Table 2.1: Here is a nice table!</w:t>
      </w:r>
    </w:p>
    <w:tbl>
      <w:tblPr>
        <w:tblStyle w:val="Table"/>
        <w:tblW w:type="pct" w:w="0.0"/>
        <w:tblLook w:firstRow="1"/>
        <w:tblCaption w:val="Table 2.1: Here is a nice table!"/>
      </w:tblPr>
      <w:tblGrid/>
      <w:tr>
        <w:trPr>
          <w:cnfStyle w:firstRow="1"/>
        </w:trPr>
        <w:tc>
          <w:tcPr>
            <w:tcBorders>
              <w:bottom w:val="single"/>
            </w:tcBorders>
            <w:vAlign w:val="bottom"/>
          </w:tcPr>
          <w:p>
            <w:pPr>
              <w:pStyle w:val="Compact"/>
              <w:jc w:val="right"/>
            </w:pPr>
            <w:r>
              <w:t xml:space="preserve">Sepal.Length</w:t>
            </w:r>
          </w:p>
        </w:tc>
        <w:tc>
          <w:tcPr>
            <w:tcBorders>
              <w:bottom w:val="single"/>
            </w:tcBorders>
            <w:vAlign w:val="bottom"/>
          </w:tcPr>
          <w:p>
            <w:pPr>
              <w:pStyle w:val="Compact"/>
              <w:jc w:val="right"/>
            </w:pPr>
            <w:r>
              <w:t xml:space="preserve">Sepal.Width</w:t>
            </w:r>
          </w:p>
        </w:tc>
        <w:tc>
          <w:tcPr>
            <w:tcBorders>
              <w:bottom w:val="single"/>
            </w:tcBorders>
            <w:vAlign w:val="bottom"/>
          </w:tcPr>
          <w:p>
            <w:pPr>
              <w:pStyle w:val="Compact"/>
              <w:jc w:val="right"/>
            </w:pPr>
            <w:r>
              <w:t xml:space="preserve">Petal.Length</w:t>
            </w:r>
          </w:p>
        </w:tc>
        <w:tc>
          <w:tcPr>
            <w:tcBorders>
              <w:bottom w:val="single"/>
            </w:tcBorders>
            <w:vAlign w:val="bottom"/>
          </w:tcPr>
          <w:p>
            <w:pPr>
              <w:pStyle w:val="Compact"/>
              <w:jc w:val="right"/>
            </w:pPr>
            <w:r>
              <w:t xml:space="preserve">Petal.Width</w:t>
            </w:r>
          </w:p>
        </w:tc>
        <w:tc>
          <w:tcPr>
            <w:tcBorders>
              <w:bottom w:val="single"/>
            </w:tcBorders>
            <w:vAlign w:val="bottom"/>
          </w:tcPr>
          <w:p>
            <w:pPr>
              <w:pStyle w:val="Compact"/>
              <w:jc w:val="left"/>
            </w:pPr>
            <w:r>
              <w:t xml:space="preserve">Species</w:t>
            </w:r>
          </w:p>
        </w:tc>
      </w:tr>
      <w:tr>
        <w:tc>
          <w:p>
            <w:pPr>
              <w:pStyle w:val="Compact"/>
              <w:jc w:val="right"/>
            </w:pPr>
            <w:r>
              <w:t xml:space="preserve">5.1</w:t>
            </w:r>
          </w:p>
        </w:tc>
        <w:tc>
          <w:p>
            <w:pPr>
              <w:pStyle w:val="Compact"/>
              <w:jc w:val="right"/>
            </w:pPr>
            <w:r>
              <w:t xml:space="preserve">3.5</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4.9</w:t>
            </w:r>
          </w:p>
        </w:tc>
        <w:tc>
          <w:p>
            <w:pPr>
              <w:pStyle w:val="Compact"/>
              <w:jc w:val="right"/>
            </w:pPr>
            <w:r>
              <w:t xml:space="preserve">3.0</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4.7</w:t>
            </w:r>
          </w:p>
        </w:tc>
        <w:tc>
          <w:p>
            <w:pPr>
              <w:pStyle w:val="Compact"/>
              <w:jc w:val="right"/>
            </w:pPr>
            <w:r>
              <w:t xml:space="preserve">3.2</w:t>
            </w:r>
          </w:p>
        </w:tc>
        <w:tc>
          <w:p>
            <w:pPr>
              <w:pStyle w:val="Compact"/>
              <w:jc w:val="right"/>
            </w:pPr>
            <w:r>
              <w:t xml:space="preserve">1.3</w:t>
            </w:r>
          </w:p>
        </w:tc>
        <w:tc>
          <w:p>
            <w:pPr>
              <w:pStyle w:val="Compact"/>
              <w:jc w:val="right"/>
            </w:pPr>
            <w:r>
              <w:t xml:space="preserve">0.2</w:t>
            </w:r>
          </w:p>
        </w:tc>
        <w:tc>
          <w:p>
            <w:pPr>
              <w:pStyle w:val="Compact"/>
              <w:jc w:val="left"/>
            </w:pPr>
            <w:r>
              <w:t xml:space="preserve">setosa</w:t>
            </w:r>
          </w:p>
        </w:tc>
      </w:tr>
      <w:tr>
        <w:tc>
          <w:p>
            <w:pPr>
              <w:pStyle w:val="Compact"/>
              <w:jc w:val="right"/>
            </w:pPr>
            <w:r>
              <w:t xml:space="preserve">4.6</w:t>
            </w:r>
          </w:p>
        </w:tc>
        <w:tc>
          <w:p>
            <w:pPr>
              <w:pStyle w:val="Compact"/>
              <w:jc w:val="right"/>
            </w:pPr>
            <w:r>
              <w:t xml:space="preserve">3.1</w:t>
            </w:r>
          </w:p>
        </w:tc>
        <w:tc>
          <w:p>
            <w:pPr>
              <w:pStyle w:val="Compact"/>
              <w:jc w:val="right"/>
            </w:pPr>
            <w:r>
              <w:t xml:space="preserve">1.5</w:t>
            </w:r>
          </w:p>
        </w:tc>
        <w:tc>
          <w:p>
            <w:pPr>
              <w:pStyle w:val="Compact"/>
              <w:jc w:val="right"/>
            </w:pPr>
            <w:r>
              <w:t xml:space="preserve">0.2</w:t>
            </w:r>
          </w:p>
        </w:tc>
        <w:tc>
          <w:p>
            <w:pPr>
              <w:pStyle w:val="Compact"/>
              <w:jc w:val="left"/>
            </w:pPr>
            <w:r>
              <w:t xml:space="preserve">setosa</w:t>
            </w:r>
          </w:p>
        </w:tc>
      </w:tr>
      <w:tr>
        <w:tc>
          <w:p>
            <w:pPr>
              <w:pStyle w:val="Compact"/>
              <w:jc w:val="right"/>
            </w:pPr>
            <w:r>
              <w:t xml:space="preserve">5.0</w:t>
            </w:r>
          </w:p>
        </w:tc>
        <w:tc>
          <w:p>
            <w:pPr>
              <w:pStyle w:val="Compact"/>
              <w:jc w:val="right"/>
            </w:pPr>
            <w:r>
              <w:t xml:space="preserve">3.6</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5.4</w:t>
            </w:r>
          </w:p>
        </w:tc>
        <w:tc>
          <w:p>
            <w:pPr>
              <w:pStyle w:val="Compact"/>
              <w:jc w:val="right"/>
            </w:pPr>
            <w:r>
              <w:t xml:space="preserve">3.9</w:t>
            </w:r>
          </w:p>
        </w:tc>
        <w:tc>
          <w:p>
            <w:pPr>
              <w:pStyle w:val="Compact"/>
              <w:jc w:val="right"/>
            </w:pPr>
            <w:r>
              <w:t xml:space="preserve">1.7</w:t>
            </w:r>
          </w:p>
        </w:tc>
        <w:tc>
          <w:p>
            <w:pPr>
              <w:pStyle w:val="Compact"/>
              <w:jc w:val="right"/>
            </w:pPr>
            <w:r>
              <w:t xml:space="preserve">0.4</w:t>
            </w:r>
          </w:p>
        </w:tc>
        <w:tc>
          <w:p>
            <w:pPr>
              <w:pStyle w:val="Compact"/>
              <w:jc w:val="left"/>
            </w:pPr>
            <w:r>
              <w:t xml:space="preserve">setosa</w:t>
            </w:r>
          </w:p>
        </w:tc>
      </w:tr>
      <w:tr>
        <w:tc>
          <w:p>
            <w:pPr>
              <w:pStyle w:val="Compact"/>
              <w:jc w:val="right"/>
            </w:pPr>
            <w:r>
              <w:t xml:space="preserve">4.6</w:t>
            </w:r>
          </w:p>
        </w:tc>
        <w:tc>
          <w:p>
            <w:pPr>
              <w:pStyle w:val="Compact"/>
              <w:jc w:val="right"/>
            </w:pPr>
            <w:r>
              <w:t xml:space="preserve">3.4</w:t>
            </w:r>
          </w:p>
        </w:tc>
        <w:tc>
          <w:p>
            <w:pPr>
              <w:pStyle w:val="Compact"/>
              <w:jc w:val="right"/>
            </w:pPr>
            <w:r>
              <w:t xml:space="preserve">1.4</w:t>
            </w:r>
          </w:p>
        </w:tc>
        <w:tc>
          <w:p>
            <w:pPr>
              <w:pStyle w:val="Compact"/>
              <w:jc w:val="right"/>
            </w:pPr>
            <w:r>
              <w:t xml:space="preserve">0.3</w:t>
            </w:r>
          </w:p>
        </w:tc>
        <w:tc>
          <w:p>
            <w:pPr>
              <w:pStyle w:val="Compact"/>
              <w:jc w:val="left"/>
            </w:pPr>
            <w:r>
              <w:t xml:space="preserve">setosa</w:t>
            </w:r>
          </w:p>
        </w:tc>
      </w:tr>
      <w:tr>
        <w:tc>
          <w:p>
            <w:pPr>
              <w:pStyle w:val="Compact"/>
              <w:jc w:val="right"/>
            </w:pPr>
            <w:r>
              <w:t xml:space="preserve">5.0</w:t>
            </w:r>
          </w:p>
        </w:tc>
        <w:tc>
          <w:p>
            <w:pPr>
              <w:pStyle w:val="Compact"/>
              <w:jc w:val="right"/>
            </w:pPr>
            <w:r>
              <w:t xml:space="preserve">3.4</w:t>
            </w:r>
          </w:p>
        </w:tc>
        <w:tc>
          <w:p>
            <w:pPr>
              <w:pStyle w:val="Compact"/>
              <w:jc w:val="right"/>
            </w:pPr>
            <w:r>
              <w:t xml:space="preserve">1.5</w:t>
            </w:r>
          </w:p>
        </w:tc>
        <w:tc>
          <w:p>
            <w:pPr>
              <w:pStyle w:val="Compact"/>
              <w:jc w:val="right"/>
            </w:pPr>
            <w:r>
              <w:t xml:space="preserve">0.2</w:t>
            </w:r>
          </w:p>
        </w:tc>
        <w:tc>
          <w:p>
            <w:pPr>
              <w:pStyle w:val="Compact"/>
              <w:jc w:val="left"/>
            </w:pPr>
            <w:r>
              <w:t xml:space="preserve">setosa</w:t>
            </w:r>
          </w:p>
        </w:tc>
      </w:tr>
      <w:tr>
        <w:tc>
          <w:p>
            <w:pPr>
              <w:pStyle w:val="Compact"/>
              <w:jc w:val="right"/>
            </w:pPr>
            <w:r>
              <w:t xml:space="preserve">4.4</w:t>
            </w:r>
          </w:p>
        </w:tc>
        <w:tc>
          <w:p>
            <w:pPr>
              <w:pStyle w:val="Compact"/>
              <w:jc w:val="right"/>
            </w:pPr>
            <w:r>
              <w:t xml:space="preserve">2.9</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4.9</w:t>
            </w:r>
          </w:p>
        </w:tc>
        <w:tc>
          <w:p>
            <w:pPr>
              <w:pStyle w:val="Compact"/>
              <w:jc w:val="right"/>
            </w:pPr>
            <w:r>
              <w:t xml:space="preserve">3.1</w:t>
            </w:r>
          </w:p>
        </w:tc>
        <w:tc>
          <w:p>
            <w:pPr>
              <w:pStyle w:val="Compact"/>
              <w:jc w:val="right"/>
            </w:pPr>
            <w:r>
              <w:t xml:space="preserve">1.5</w:t>
            </w:r>
          </w:p>
        </w:tc>
        <w:tc>
          <w:p>
            <w:pPr>
              <w:pStyle w:val="Compact"/>
              <w:jc w:val="right"/>
            </w:pPr>
            <w:r>
              <w:t xml:space="preserve">0.1</w:t>
            </w:r>
          </w:p>
        </w:tc>
        <w:tc>
          <w:p>
            <w:pPr>
              <w:pStyle w:val="Compact"/>
              <w:jc w:val="left"/>
            </w:pPr>
            <w:r>
              <w:t xml:space="preserve">setosa</w:t>
            </w:r>
          </w:p>
        </w:tc>
      </w:tr>
      <w:tr>
        <w:tc>
          <w:p>
            <w:pPr>
              <w:pStyle w:val="Compact"/>
              <w:jc w:val="right"/>
            </w:pPr>
            <w:r>
              <w:t xml:space="preserve">5.4</w:t>
            </w:r>
          </w:p>
        </w:tc>
        <w:tc>
          <w:p>
            <w:pPr>
              <w:pStyle w:val="Compact"/>
              <w:jc w:val="right"/>
            </w:pPr>
            <w:r>
              <w:t xml:space="preserve">3.7</w:t>
            </w:r>
          </w:p>
        </w:tc>
        <w:tc>
          <w:p>
            <w:pPr>
              <w:pStyle w:val="Compact"/>
              <w:jc w:val="right"/>
            </w:pPr>
            <w:r>
              <w:t xml:space="preserve">1.5</w:t>
            </w:r>
          </w:p>
        </w:tc>
        <w:tc>
          <w:p>
            <w:pPr>
              <w:pStyle w:val="Compact"/>
              <w:jc w:val="right"/>
            </w:pPr>
            <w:r>
              <w:t xml:space="preserve">0.2</w:t>
            </w:r>
          </w:p>
        </w:tc>
        <w:tc>
          <w:p>
            <w:pPr>
              <w:pStyle w:val="Compact"/>
              <w:jc w:val="left"/>
            </w:pPr>
            <w:r>
              <w:t xml:space="preserve">setosa</w:t>
            </w:r>
          </w:p>
        </w:tc>
      </w:tr>
      <w:tr>
        <w:tc>
          <w:p>
            <w:pPr>
              <w:pStyle w:val="Compact"/>
              <w:jc w:val="right"/>
            </w:pPr>
            <w:r>
              <w:t xml:space="preserve">4.8</w:t>
            </w:r>
          </w:p>
        </w:tc>
        <w:tc>
          <w:p>
            <w:pPr>
              <w:pStyle w:val="Compact"/>
              <w:jc w:val="right"/>
            </w:pPr>
            <w:r>
              <w:t xml:space="preserve">3.4</w:t>
            </w:r>
          </w:p>
        </w:tc>
        <w:tc>
          <w:p>
            <w:pPr>
              <w:pStyle w:val="Compact"/>
              <w:jc w:val="right"/>
            </w:pPr>
            <w:r>
              <w:t xml:space="preserve">1.6</w:t>
            </w:r>
          </w:p>
        </w:tc>
        <w:tc>
          <w:p>
            <w:pPr>
              <w:pStyle w:val="Compact"/>
              <w:jc w:val="right"/>
            </w:pPr>
            <w:r>
              <w:t xml:space="preserve">0.2</w:t>
            </w:r>
          </w:p>
        </w:tc>
        <w:tc>
          <w:p>
            <w:pPr>
              <w:pStyle w:val="Compact"/>
              <w:jc w:val="left"/>
            </w:pPr>
            <w:r>
              <w:t xml:space="preserve">setosa</w:t>
            </w:r>
          </w:p>
        </w:tc>
      </w:tr>
      <w:tr>
        <w:tc>
          <w:p>
            <w:pPr>
              <w:pStyle w:val="Compact"/>
              <w:jc w:val="right"/>
            </w:pPr>
            <w:r>
              <w:t xml:space="preserve">4.8</w:t>
            </w:r>
          </w:p>
        </w:tc>
        <w:tc>
          <w:p>
            <w:pPr>
              <w:pStyle w:val="Compact"/>
              <w:jc w:val="right"/>
            </w:pPr>
            <w:r>
              <w:t xml:space="preserve">3.0</w:t>
            </w:r>
          </w:p>
        </w:tc>
        <w:tc>
          <w:p>
            <w:pPr>
              <w:pStyle w:val="Compact"/>
              <w:jc w:val="right"/>
            </w:pPr>
            <w:r>
              <w:t xml:space="preserve">1.4</w:t>
            </w:r>
          </w:p>
        </w:tc>
        <w:tc>
          <w:p>
            <w:pPr>
              <w:pStyle w:val="Compact"/>
              <w:jc w:val="right"/>
            </w:pPr>
            <w:r>
              <w:t xml:space="preserve">0.1</w:t>
            </w:r>
          </w:p>
        </w:tc>
        <w:tc>
          <w:p>
            <w:pPr>
              <w:pStyle w:val="Compact"/>
              <w:jc w:val="left"/>
            </w:pPr>
            <w:r>
              <w:t xml:space="preserve">setosa</w:t>
            </w:r>
          </w:p>
        </w:tc>
      </w:tr>
      <w:tr>
        <w:tc>
          <w:p>
            <w:pPr>
              <w:pStyle w:val="Compact"/>
              <w:jc w:val="right"/>
            </w:pPr>
            <w:r>
              <w:t xml:space="preserve">4.3</w:t>
            </w:r>
          </w:p>
        </w:tc>
        <w:tc>
          <w:p>
            <w:pPr>
              <w:pStyle w:val="Compact"/>
              <w:jc w:val="right"/>
            </w:pPr>
            <w:r>
              <w:t xml:space="preserve">3.0</w:t>
            </w:r>
          </w:p>
        </w:tc>
        <w:tc>
          <w:p>
            <w:pPr>
              <w:pStyle w:val="Compact"/>
              <w:jc w:val="right"/>
            </w:pPr>
            <w:r>
              <w:t xml:space="preserve">1.1</w:t>
            </w:r>
          </w:p>
        </w:tc>
        <w:tc>
          <w:p>
            <w:pPr>
              <w:pStyle w:val="Compact"/>
              <w:jc w:val="right"/>
            </w:pPr>
            <w:r>
              <w:t xml:space="preserve">0.1</w:t>
            </w:r>
          </w:p>
        </w:tc>
        <w:tc>
          <w:p>
            <w:pPr>
              <w:pStyle w:val="Compact"/>
              <w:jc w:val="left"/>
            </w:pPr>
            <w:r>
              <w:t xml:space="preserve">setosa</w:t>
            </w:r>
          </w:p>
        </w:tc>
      </w:tr>
      <w:tr>
        <w:tc>
          <w:p>
            <w:pPr>
              <w:pStyle w:val="Compact"/>
              <w:jc w:val="right"/>
            </w:pPr>
            <w:r>
              <w:t xml:space="preserve">5.8</w:t>
            </w:r>
          </w:p>
        </w:tc>
        <w:tc>
          <w:p>
            <w:pPr>
              <w:pStyle w:val="Compact"/>
              <w:jc w:val="right"/>
            </w:pPr>
            <w:r>
              <w:t xml:space="preserve">4.0</w:t>
            </w:r>
          </w:p>
        </w:tc>
        <w:tc>
          <w:p>
            <w:pPr>
              <w:pStyle w:val="Compact"/>
              <w:jc w:val="right"/>
            </w:pPr>
            <w:r>
              <w:t xml:space="preserve">1.2</w:t>
            </w:r>
          </w:p>
        </w:tc>
        <w:tc>
          <w:p>
            <w:pPr>
              <w:pStyle w:val="Compact"/>
              <w:jc w:val="right"/>
            </w:pPr>
            <w:r>
              <w:t xml:space="preserve">0.2</w:t>
            </w:r>
          </w:p>
        </w:tc>
        <w:tc>
          <w:p>
            <w:pPr>
              <w:pStyle w:val="Compact"/>
              <w:jc w:val="left"/>
            </w:pPr>
            <w:r>
              <w:t xml:space="preserve">setosa</w:t>
            </w:r>
          </w:p>
        </w:tc>
      </w:tr>
      <w:tr>
        <w:tc>
          <w:p>
            <w:pPr>
              <w:pStyle w:val="Compact"/>
              <w:jc w:val="right"/>
            </w:pPr>
            <w:r>
              <w:t xml:space="preserve">5.7</w:t>
            </w:r>
          </w:p>
        </w:tc>
        <w:tc>
          <w:p>
            <w:pPr>
              <w:pStyle w:val="Compact"/>
              <w:jc w:val="right"/>
            </w:pPr>
            <w:r>
              <w:t xml:space="preserve">4.4</w:t>
            </w:r>
          </w:p>
        </w:tc>
        <w:tc>
          <w:p>
            <w:pPr>
              <w:pStyle w:val="Compact"/>
              <w:jc w:val="right"/>
            </w:pPr>
            <w:r>
              <w:t xml:space="preserve">1.5</w:t>
            </w:r>
          </w:p>
        </w:tc>
        <w:tc>
          <w:p>
            <w:pPr>
              <w:pStyle w:val="Compact"/>
              <w:jc w:val="right"/>
            </w:pPr>
            <w:r>
              <w:t xml:space="preserve">0.4</w:t>
            </w:r>
          </w:p>
        </w:tc>
        <w:tc>
          <w:p>
            <w:pPr>
              <w:pStyle w:val="Compact"/>
              <w:jc w:val="left"/>
            </w:pPr>
            <w:r>
              <w:t xml:space="preserve">setosa</w:t>
            </w:r>
          </w:p>
        </w:tc>
      </w:tr>
      <w:tr>
        <w:tc>
          <w:p>
            <w:pPr>
              <w:pStyle w:val="Compact"/>
              <w:jc w:val="right"/>
            </w:pPr>
            <w:r>
              <w:t xml:space="preserve">5.4</w:t>
            </w:r>
          </w:p>
        </w:tc>
        <w:tc>
          <w:p>
            <w:pPr>
              <w:pStyle w:val="Compact"/>
              <w:jc w:val="right"/>
            </w:pPr>
            <w:r>
              <w:t xml:space="preserve">3.9</w:t>
            </w:r>
          </w:p>
        </w:tc>
        <w:tc>
          <w:p>
            <w:pPr>
              <w:pStyle w:val="Compact"/>
              <w:jc w:val="right"/>
            </w:pPr>
            <w:r>
              <w:t xml:space="preserve">1.3</w:t>
            </w:r>
          </w:p>
        </w:tc>
        <w:tc>
          <w:p>
            <w:pPr>
              <w:pStyle w:val="Compact"/>
              <w:jc w:val="right"/>
            </w:pPr>
            <w:r>
              <w:t xml:space="preserve">0.4</w:t>
            </w:r>
          </w:p>
        </w:tc>
        <w:tc>
          <w:p>
            <w:pPr>
              <w:pStyle w:val="Compact"/>
              <w:jc w:val="left"/>
            </w:pPr>
            <w:r>
              <w:t xml:space="preserve">setosa</w:t>
            </w:r>
          </w:p>
        </w:tc>
      </w:tr>
      <w:tr>
        <w:tc>
          <w:p>
            <w:pPr>
              <w:pStyle w:val="Compact"/>
              <w:jc w:val="right"/>
            </w:pPr>
            <w:r>
              <w:t xml:space="preserve">5.1</w:t>
            </w:r>
          </w:p>
        </w:tc>
        <w:tc>
          <w:p>
            <w:pPr>
              <w:pStyle w:val="Compact"/>
              <w:jc w:val="right"/>
            </w:pPr>
            <w:r>
              <w:t xml:space="preserve">3.5</w:t>
            </w:r>
          </w:p>
        </w:tc>
        <w:tc>
          <w:p>
            <w:pPr>
              <w:pStyle w:val="Compact"/>
              <w:jc w:val="right"/>
            </w:pPr>
            <w:r>
              <w:t xml:space="preserve">1.4</w:t>
            </w:r>
          </w:p>
        </w:tc>
        <w:tc>
          <w:p>
            <w:pPr>
              <w:pStyle w:val="Compact"/>
              <w:jc w:val="right"/>
            </w:pPr>
            <w:r>
              <w:t xml:space="preserve">0.3</w:t>
            </w:r>
          </w:p>
        </w:tc>
        <w:tc>
          <w:p>
            <w:pPr>
              <w:pStyle w:val="Compact"/>
              <w:jc w:val="left"/>
            </w:pPr>
            <w:r>
              <w:t xml:space="preserve">setosa</w:t>
            </w:r>
          </w:p>
        </w:tc>
      </w:tr>
      <w:tr>
        <w:tc>
          <w:p>
            <w:pPr>
              <w:pStyle w:val="Compact"/>
              <w:jc w:val="right"/>
            </w:pPr>
            <w:r>
              <w:t xml:space="preserve">5.7</w:t>
            </w:r>
          </w:p>
        </w:tc>
        <w:tc>
          <w:p>
            <w:pPr>
              <w:pStyle w:val="Compact"/>
              <w:jc w:val="right"/>
            </w:pPr>
            <w:r>
              <w:t xml:space="preserve">3.8</w:t>
            </w:r>
          </w:p>
        </w:tc>
        <w:tc>
          <w:p>
            <w:pPr>
              <w:pStyle w:val="Compact"/>
              <w:jc w:val="right"/>
            </w:pPr>
            <w:r>
              <w:t xml:space="preserve">1.7</w:t>
            </w:r>
          </w:p>
        </w:tc>
        <w:tc>
          <w:p>
            <w:pPr>
              <w:pStyle w:val="Compact"/>
              <w:jc w:val="right"/>
            </w:pPr>
            <w:r>
              <w:t xml:space="preserve">0.3</w:t>
            </w:r>
          </w:p>
        </w:tc>
        <w:tc>
          <w:p>
            <w:pPr>
              <w:pStyle w:val="Compact"/>
              <w:jc w:val="left"/>
            </w:pPr>
            <w:r>
              <w:t xml:space="preserve">setosa</w:t>
            </w:r>
          </w:p>
        </w:tc>
      </w:tr>
      <w:tr>
        <w:tc>
          <w:p>
            <w:pPr>
              <w:pStyle w:val="Compact"/>
              <w:jc w:val="right"/>
            </w:pPr>
            <w:r>
              <w:t xml:space="preserve">5.1</w:t>
            </w:r>
          </w:p>
        </w:tc>
        <w:tc>
          <w:p>
            <w:pPr>
              <w:pStyle w:val="Compact"/>
              <w:jc w:val="right"/>
            </w:pPr>
            <w:r>
              <w:t xml:space="preserve">3.8</w:t>
            </w:r>
          </w:p>
        </w:tc>
        <w:tc>
          <w:p>
            <w:pPr>
              <w:pStyle w:val="Compact"/>
              <w:jc w:val="right"/>
            </w:pPr>
            <w:r>
              <w:t xml:space="preserve">1.5</w:t>
            </w:r>
          </w:p>
        </w:tc>
        <w:tc>
          <w:p>
            <w:pPr>
              <w:pStyle w:val="Compact"/>
              <w:jc w:val="right"/>
            </w:pPr>
            <w:r>
              <w:t xml:space="preserve">0.3</w:t>
            </w:r>
          </w:p>
        </w:tc>
        <w:tc>
          <w:p>
            <w:pPr>
              <w:pStyle w:val="Compact"/>
              <w:jc w:val="left"/>
            </w:pPr>
            <w:r>
              <w:t xml:space="preserve">setosa</w:t>
            </w:r>
          </w:p>
        </w:tc>
      </w:tr>
    </w:tbl>
    <w:p>
      <w:pPr>
        <w:pStyle w:val="BodyText"/>
      </w:pPr>
      <w:r>
        <w:t xml:space="preserve">look at figure</w:t>
      </w:r>
      <w:r>
        <w:t xml:space="preserve"> </w:t>
      </w:r>
      <w:r>
        <w:t xml:space="preserve">2.3</w:t>
      </w:r>
    </w:p>
    <w:p>
      <w:pPr>
        <w:pStyle w:val="BodyText"/>
      </w:pPr>
      <w:r>
        <w:t xml:space="preserve">You can write citations, too. For example, we are using the</w:t>
      </w:r>
      <w:r>
        <w:t xml:space="preserve"> </w:t>
      </w:r>
      <w:r>
        <w:rPr>
          <w:b/>
        </w:rPr>
        <w:t xml:space="preserve">bookdown</w:t>
      </w:r>
      <w:r>
        <w:t xml:space="preserve"> </w:t>
      </w:r>
      <w:r>
        <w:t xml:space="preserve">package</w:t>
      </w:r>
      <w:r>
        <w:t xml:space="preserve"> </w:t>
      </w:r>
      <w:r>
        <w:t xml:space="preserve">(Xie</w:t>
      </w:r>
      <w:r>
        <w:t xml:space="preserve"> </w:t>
      </w:r>
      <w:hyperlink w:anchor="ref-R-bookdown">
        <w:r>
          <w:rPr>
            <w:rStyle w:val="Hyperlink"/>
          </w:rPr>
          <w:t xml:space="preserve">2020</w:t>
        </w:r>
      </w:hyperlink>
      <w:r>
        <w:t xml:space="preserve">)</w:t>
      </w:r>
      <w:r>
        <w:t xml:space="preserve"> </w:t>
      </w:r>
      <w:r>
        <w:t xml:space="preserve">in this sample book, which was built on top of R Markdown and</w:t>
      </w:r>
      <w:r>
        <w:t xml:space="preserve"> </w:t>
      </w:r>
      <w:r>
        <w:rPr>
          <w:b/>
        </w:rPr>
        <w:t xml:space="preserve">knitr</w:t>
      </w:r>
      <w:r>
        <w:t xml:space="preserve"> </w:t>
      </w:r>
      <w:r>
        <w:t xml:space="preserve">(Xie</w:t>
      </w:r>
      <w:r>
        <w:t xml:space="preserve"> </w:t>
      </w:r>
      <w:hyperlink w:anchor="ref-xie2015">
        <w:r>
          <w:rPr>
            <w:rStyle w:val="Hyperlink"/>
          </w:rPr>
          <w:t xml:space="preserve">2015</w:t>
        </w:r>
      </w:hyperlink>
      <w:r>
        <w:t xml:space="preserve">)</w:t>
      </w:r>
      <w:r>
        <w:t xml:space="preserve">.</w:t>
      </w:r>
    </w:p>
    <w:p>
      <w:pPr>
        <w:pStyle w:val="Heading1"/>
      </w:pPr>
      <w:bookmarkStart w:id="30" w:name="materials-and-methods"/>
      <w:r>
        <w:t xml:space="preserve">3	Materials and Methods</w:t>
      </w:r>
      <w:bookmarkEnd w:id="30"/>
    </w:p>
    <w:p>
      <w:pPr>
        <w:pStyle w:val="Heading2"/>
      </w:pPr>
      <w:bookmarkStart w:id="31" w:name="in-vitro"/>
      <w:r>
        <w:t xml:space="preserve">3.1	In-Vitro</w:t>
      </w:r>
      <w:bookmarkEnd w:id="31"/>
    </w:p>
    <w:p>
      <w:pPr>
        <w:pStyle w:val="Heading3"/>
      </w:pPr>
      <w:bookmarkStart w:id="32" w:name="slice-preparation"/>
      <w:r>
        <w:t xml:space="preserve">3.1.1	Slice Preparation</w:t>
      </w:r>
      <w:bookmarkEnd w:id="32"/>
    </w:p>
    <w:p>
      <w:pPr>
        <w:pStyle w:val="FirstParagraph"/>
      </w:pPr>
      <w:r>
        <w:t xml:space="preserve">For slices animals (n = XX PV-Cre mice, n = XX ChAT-Cre mice ) were deeply anaesthetised using isoflurane decapitated, the brain removed and quickly transferred to ice-cold slicing solution. sucrose artificial cerebral spinal fluid (SACF). SACF contained 87 NaCl, 26 NaHCO</w:t>
      </w:r>
      <w:r>
        <w:rPr>
          <w:vertAlign w:val="subscript"/>
        </w:rPr>
        <w:t xml:space="preserve">3</w:t>
      </w:r>
      <w:r>
        <w:t xml:space="preserve">, 10 Glucose, 50 Sucrose, 2.5 KCl, 1.25 NaH_2PO</w:t>
      </w:r>
      <w:r>
        <w:rPr>
          <w:vertAlign w:val="subscript"/>
        </w:rPr>
        <w:t xml:space="preserve">4</w:t>
      </w:r>
      <w:r>
        <w:t xml:space="preserve">, 0.5 CaCl</w:t>
      </w:r>
      <w:r>
        <w:rPr>
          <w:vertAlign w:val="subscript"/>
        </w:rPr>
        <w:t xml:space="preserve">2</w:t>
      </w:r>
      <w:r>
        <w:t xml:space="preserve">, 3 MgCl</w:t>
      </w:r>
      <w:r>
        <w:rPr>
          <w:vertAlign w:val="subscript"/>
        </w:rPr>
        <w:t xml:space="preserve">2</w:t>
      </w:r>
      <w:r>
        <w:t xml:space="preserve"> </w:t>
      </w:r>
      <w:r>
        <w:t xml:space="preserve">· 6H</w:t>
      </w:r>
      <w:r>
        <w:rPr>
          <w:vertAlign w:val="subscript"/>
        </w:rPr>
        <w:t xml:space="preserve">2</w:t>
      </w:r>
      <w:r>
        <w:t xml:space="preserve">O.</w:t>
      </w:r>
      <w:r>
        <w:t xml:space="preserve"> </w:t>
      </w:r>
      <w:r>
        <w:t xml:space="preserve">400 µm horizontal slices were produced using a vibratome (VT1200S, Leica Biosystems, Wetzlar, Germany), then transferred and stored in an interface chamber for up to 1-6 h. Slices were perfused with ACSF (119 NaCl, 26 NaHCO</w:t>
      </w:r>
      <w:r>
        <w:rPr>
          <w:vertAlign w:val="subscript"/>
        </w:rPr>
        <w:t xml:space="preserve">3</w:t>
      </w:r>
      <w:r>
        <w:t xml:space="preserve">, 10 Glucose, 2.5 KCl, 1 NaH</w:t>
      </w:r>
      <w:r>
        <w:rPr>
          <w:vertAlign w:val="subscript"/>
        </w:rPr>
        <w:t xml:space="preserve">2</w:t>
      </w:r>
      <w:r>
        <w:t xml:space="preserve">PO</w:t>
      </w:r>
      <w:r>
        <w:rPr>
          <w:vertAlign w:val="subscript"/>
        </w:rPr>
        <w:t xml:space="preserve">4</w:t>
      </w:r>
      <w:r>
        <w:t xml:space="preserve">, 2.5 CaCl</w:t>
      </w:r>
      <w:r>
        <w:rPr>
          <w:vertAlign w:val="subscript"/>
        </w:rPr>
        <w:t xml:space="preserve">2</w:t>
      </w:r>
      <w:r>
        <w:t xml:space="preserve">, 1.3 MgCl</w:t>
      </w:r>
      <w:r>
        <w:rPr>
          <w:vertAlign w:val="subscript"/>
        </w:rPr>
        <w:t xml:space="preserve">2</w:t>
      </w:r>
      <w:r>
        <w:t xml:space="preserve"> </w:t>
      </w:r>
      <w:r>
        <w:t xml:space="preserve">· 6H</w:t>
      </w:r>
      <w:r>
        <w:rPr>
          <w:vertAlign w:val="subscript"/>
        </w:rPr>
        <w:t xml:space="preserve">2</w:t>
      </w:r>
      <w:r>
        <w:t xml:space="preserve">O) and oxygenated during the whole period.</w:t>
      </w:r>
    </w:p>
    <w:p>
      <w:pPr>
        <w:pStyle w:val="Heading3"/>
      </w:pPr>
      <w:bookmarkStart w:id="33" w:name="slice-recordings"/>
      <w:r>
        <w:t xml:space="preserve">3.1.2	Slice Recordings</w:t>
      </w:r>
      <w:bookmarkEnd w:id="33"/>
    </w:p>
    <w:p>
      <w:pPr>
        <w:pStyle w:val="FirstParagraph"/>
      </w:pPr>
      <w:r>
        <w:t xml:space="preserve">Cells where identified using XXXX DIC XXXX and recorded using a glass electrode filled with intracellular solution (120 K-Gluconate, 10 Hepes, 10 KCl, 5 EGTA, 2 MgSO</w:t>
      </w:r>
      <w:r>
        <w:rPr>
          <w:vertAlign w:val="subscript"/>
        </w:rPr>
        <w:t xml:space="preserve">4</w:t>
      </w:r>
      <w:r>
        <w:t xml:space="preserve"> </w:t>
      </w:r>
      <w:r>
        <w:t xml:space="preserve">· 7H</w:t>
      </w:r>
      <w:r>
        <w:rPr>
          <w:vertAlign w:val="subscript"/>
        </w:rPr>
        <w:t xml:space="preserve">2</w:t>
      </w:r>
      <w:r>
        <w:t xml:space="preserve">, 3 MgATP, 1 NaGTP, 5 Phosphocreatine Na, 0.2% Biocytin) to record currents, voltage and later identify cells via Biocytin staining.</w:t>
      </w:r>
    </w:p>
    <w:p>
      <w:pPr>
        <w:pStyle w:val="BodyText"/>
      </w:pPr>
      <w:r>
        <w:t xml:space="preserve">all in c/mM</w:t>
      </w:r>
    </w:p>
    <w:p>
      <w:pPr>
        <w:pStyle w:val="BodyText"/>
      </w:pPr>
      <w:r>
        <w:t xml:space="preserve">Drugs used:</w:t>
      </w:r>
    </w:p>
    <w:p>
      <w:pPr>
        <w:pStyle w:val="Heading1"/>
      </w:pPr>
      <w:bookmarkStart w:id="34" w:name="results"/>
      <w:r>
        <w:t xml:space="preserve">4	Results</w:t>
      </w:r>
      <w:bookmarkEnd w:id="34"/>
    </w:p>
    <w:p>
      <w:pPr>
        <w:pStyle w:val="FirstParagraph"/>
      </w:pPr>
      <w:r>
        <w:t xml:space="preserve">Here is a review of existing methods.</w:t>
      </w:r>
    </w:p>
    <w:p>
      <w:pPr>
        <w:pStyle w:val="Heading1"/>
      </w:pPr>
      <w:bookmarkStart w:id="35" w:name="discussion"/>
      <w:r>
        <w:t xml:space="preserve">5	Discussion</w:t>
      </w:r>
      <w:bookmarkEnd w:id="35"/>
    </w:p>
    <w:p>
      <w:pPr>
        <w:pStyle w:val="FirstParagraph"/>
      </w:pPr>
      <w:r>
        <w:t xml:space="preserve">Here is a review of existing methods.</w:t>
      </w:r>
    </w:p>
    <w:bookmarkStart w:id="42" w:name="refs"/>
    <w:bookmarkStart w:id="37" w:name="ref-ding_comparative_2013"/>
    <w:p>
      <w:pPr>
        <w:pStyle w:val="Bibliography"/>
      </w:pPr>
      <w:r>
        <w:t xml:space="preserve">Ding, Song-Lin L. 2013. “Comparative Anatomy of the Prosubiculum, Subiculum, Presubiculum, Postsubiculum, and Parasubiculum in Human, Monkey, and Rodent.”</w:t>
      </w:r>
      <w:r>
        <w:t xml:space="preserve"> </w:t>
      </w:r>
      <w:r>
        <w:rPr>
          <w:i/>
        </w:rPr>
        <w:t xml:space="preserve">The Journal of Comparative Neurology</w:t>
      </w:r>
      <w:r>
        <w:t xml:space="preserve"> </w:t>
      </w:r>
      <w:r>
        <w:t xml:space="preserve">521 (18): 4145–62.</w:t>
      </w:r>
      <w:r>
        <w:t xml:space="preserve"> </w:t>
      </w:r>
      <w:hyperlink r:id="rId36">
        <w:r>
          <w:rPr>
            <w:rStyle w:val="Hyperlink"/>
          </w:rPr>
          <w:t xml:space="preserve">https://doi.org/10.1002/cne.23416</w:t>
        </w:r>
      </w:hyperlink>
      <w:r>
        <w:t xml:space="preserve">.</w:t>
      </w:r>
    </w:p>
    <w:bookmarkEnd w:id="37"/>
    <w:bookmarkStart w:id="39" w:name="ref-xie2015"/>
    <w:p>
      <w:pPr>
        <w:pStyle w:val="Bibliography"/>
      </w:pPr>
      <w:r>
        <w:t xml:space="preserve">Xie, Yihui. 2015.</w:t>
      </w:r>
      <w:r>
        <w:t xml:space="preserve"> </w:t>
      </w:r>
      <w:r>
        <w:rPr>
          <w:i/>
        </w:rPr>
        <w:t xml:space="preserve">Dynamic Documents with R and Knitr</w:t>
      </w:r>
      <w:r>
        <w:t xml:space="preserve">. 2nd ed. Boca Raton, Florida: Chapman; Hall/CRC.</w:t>
      </w:r>
      <w:r>
        <w:t xml:space="preserve"> </w:t>
      </w:r>
      <w:hyperlink r:id="rId38">
        <w:r>
          <w:rPr>
            <w:rStyle w:val="Hyperlink"/>
          </w:rPr>
          <w:t xml:space="preserve">http://yihui.name/knitr/</w:t>
        </w:r>
      </w:hyperlink>
      <w:r>
        <w:t xml:space="preserve">.</w:t>
      </w:r>
    </w:p>
    <w:bookmarkEnd w:id="39"/>
    <w:bookmarkStart w:id="41" w:name="ref-R-bookdown"/>
    <w:p>
      <w:pPr>
        <w:pStyle w:val="Bibliography"/>
      </w:pPr>
      <w:r>
        <w:t xml:space="preserve">———. 2020.</w:t>
      </w:r>
      <w:r>
        <w:t xml:space="preserve"> </w:t>
      </w:r>
      <w:r>
        <w:rPr>
          <w:i/>
        </w:rPr>
        <w:t xml:space="preserve">Bookdown: Authoring Books and Technical Documents with R Markdown</w:t>
      </w:r>
      <w:r>
        <w:t xml:space="preserve">.</w:t>
      </w:r>
      <w:r>
        <w:t xml:space="preserve"> </w:t>
      </w:r>
      <w:hyperlink r:id="rId40">
        <w:r>
          <w:rPr>
            <w:rStyle w:val="Hyperlink"/>
          </w:rPr>
          <w:t xml:space="preserve">https://github.com/rstudio/bookdown</w:t>
        </w:r>
      </w:hyperlink>
      <w:r>
        <w:t xml:space="preserve">.</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df" /><Relationship Type="http://schemas.openxmlformats.org/officeDocument/2006/relationships/image" Id="rId26" Target="media/rId26.pdf" /><Relationship Type="http://schemas.openxmlformats.org/officeDocument/2006/relationships/image" Id="rId29" Target="media/rId29.png" /><Relationship Type="http://schemas.openxmlformats.org/officeDocument/2006/relationships/hyperlink" Id="rId38" Target="http://yihui.name/knitr/" TargetMode="External" /><Relationship Type="http://schemas.openxmlformats.org/officeDocument/2006/relationships/hyperlink" Id="rId36" Target="https://doi.org/10.1002/cne.23416" TargetMode="External" /><Relationship Type="http://schemas.openxmlformats.org/officeDocument/2006/relationships/hyperlink" Id="rId40" Target="https://github.com/rstudio/bookdown" TargetMode="External" /></Relationships>
</file>

<file path=word/_rels/footnotes.xml.rels><?xml version="1.0" encoding="UTF-8"?>
<Relationships xmlns="http://schemas.openxmlformats.org/package/2006/relationships"><Relationship Type="http://schemas.openxmlformats.org/officeDocument/2006/relationships/hyperlink" Id="rId38" Target="http://yihui.name/knitr/" TargetMode="External" /><Relationship Type="http://schemas.openxmlformats.org/officeDocument/2006/relationships/hyperlink" Id="rId36" Target="https://doi.org/10.1002/cne.23416" TargetMode="External" /><Relationship Type="http://schemas.openxmlformats.org/officeDocument/2006/relationships/hyperlink" Id="rId40" Target="https://github.com/rstudio/bookdow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Medial Septal Projections to the Parasubiculum</dc:title>
  <dc:creator>Daniel Parthier</dc:creator>
  <cp:keywords/>
  <dcterms:created xsi:type="dcterms:W3CDTF">2021-02-18T12:56:45Z</dcterms:created>
  <dcterms:modified xsi:type="dcterms:W3CDTF">2021-02-18T12:56:45Z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18.02.2021</vt:lpwstr>
  </property>
  <property fmtid="{D5CDD505-2E9C-101B-9397-08002B2CF9AE}" pid="6" name="documentclass">
    <vt:lpwstr>book</vt:lpwstr>
  </property>
  <property fmtid="{D5CDD505-2E9C-101B-9397-08002B2CF9AE}" pid="7" name="fontsize">
    <vt:lpwstr>12pt</vt:lpwstr>
  </property>
  <property fmtid="{D5CDD505-2E9C-101B-9397-08002B2CF9AE}" pid="8" name="geometry">
    <vt:lpwstr>left=3cm, right=3cm, top=2.5cm, bottom=2.5cm</vt:lpwstr>
  </property>
  <property fmtid="{D5CDD505-2E9C-101B-9397-08002B2CF9AE}" pid="9" name="linestretch">
    <vt:lpwstr>1.5</vt:lpwstr>
  </property>
  <property fmtid="{D5CDD505-2E9C-101B-9397-08002B2CF9AE}" pid="10" name="link-citations">
    <vt:lpwstr>yes</vt:lpwstr>
  </property>
  <property fmtid="{D5CDD505-2E9C-101B-9397-08002B2CF9AE}" pid="11" name="mainfont">
    <vt:lpwstr>Nimbus Roman</vt:lpwstr>
  </property>
  <property fmtid="{D5CDD505-2E9C-101B-9397-08002B2CF9AE}" pid="12" name="output">
    <vt:lpwstr/>
  </property>
  <property fmtid="{D5CDD505-2E9C-101B-9397-08002B2CF9AE}" pid="13" name="sansfont">
    <vt:lpwstr>Nimbus Roman</vt:lpwstr>
  </property>
  <property fmtid="{D5CDD505-2E9C-101B-9397-08002B2CF9AE}" pid="14" name="site">
    <vt:lpwstr>bookdown::bookdown_site</vt:lpwstr>
  </property>
  <property fmtid="{D5CDD505-2E9C-101B-9397-08002B2CF9AE}" pid="15" name="subtitle">
    <vt:lpwstr>Inaugural-Dissertationto obtain the academic degreeDoctor rerum naturalium (Dr. rer. nat.)submitted to the Department of Biology, Chemistry and Pharmacyof Freie Universität Berlin by</vt:lpwstr>
  </property>
  <property fmtid="{D5CDD505-2E9C-101B-9397-08002B2CF9AE}" pid="16" name="toc-depth">
    <vt:lpwstr>1</vt:lpwstr>
  </property>
</Properties>
</file>