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mbria" w:cs="Cambria" w:eastAsia="Cambria" w:hAnsi="Cambria"/>
          <w:b/>
          <w:bCs/>
          <w:color w:val="1F3864"/>
          <w:sz w:val="52"/>
          <w:szCs w:val="52"/>
        </w:rPr>
        <w:t xml:space="preserve">DANIEL PATTERSON</w:t>
      </w:r>
    </w:p>
    <w:p>
      <w:pPr>
        <w:spacing w:after="40"/>
        <w:jc w:val="center"/>
      </w:pPr>
      <w:r>
        <w:rPr>
          <w:rFonts w:ascii="Cambria" w:cs="Cambria" w:eastAsia="Cambria" w:hAnsi="Cambria"/>
          <w:b/>
          <w:bCs/>
          <w:color w:val="8A6A1F"/>
          <w:spacing w:val="20"/>
          <w:sz w:val="21"/>
          <w:szCs w:val="21"/>
        </w:rPr>
        <w:t xml:space="preserve">HEALTHCARE REVENUE CYCLE ANALYTICS · REPORTING AUTOMATION</w:t>
      </w:r>
    </w:p>
    <w:p>
      <w:pPr>
        <w:spacing w:after="100"/>
        <w:jc w:val="center"/>
      </w:pPr>
      <w:r>
        <w:rPr>
          <w:rFonts w:ascii="Calibri" w:cs="Calibri" w:eastAsia="Calibri" w:hAnsi="Calibri"/>
          <w:sz w:val="19"/>
          <w:szCs w:val="19"/>
        </w:rPr>
        <w:t xml:space="preserve">Tampa, FL · 772.486.6481 · </w:t>
      </w:r>
      <w:hyperlink w:history="1" r:id="rIddwby2mwl4nttsdkvnb-2j">
        <w:r>
          <w:rPr>
            <w:rFonts w:ascii="Calibri" w:cs="Calibri" w:eastAsia="Calibri" w:hAnsi="Calibri"/>
            <w:color w:val="1155CC"/>
            <w:sz w:val="20"/>
            <w:szCs w:val="20"/>
            <w:u w:val="single"/>
          </w:rPr>
          <w:t xml:space="preserve">dpatterson6575@gmail.com</w:t>
        </w:r>
      </w:hyperlink>
      <w:r>
        <w:rPr>
          <w:rFonts w:ascii="Calibri" w:cs="Calibri" w:eastAsia="Calibri" w:hAnsi="Calibri"/>
          <w:sz w:val="19"/>
          <w:szCs w:val="19"/>
        </w:rPr>
        <w:t xml:space="preserve"> · </w:t>
      </w:r>
      <w:hyperlink w:history="1" r:id="rIdcmf3svox1-y4mqyfou3vx">
        <w:r>
          <w:rPr>
            <w:rFonts w:ascii="Calibri" w:cs="Calibri" w:eastAsia="Calibri" w:hAnsi="Calibri"/>
            <w:color w:val="1155CC"/>
            <w:sz w:val="20"/>
            <w:szCs w:val="20"/>
            <w:u w:val="single"/>
          </w:rPr>
          <w:t xml:space="preserve">LinkedIn</w:t>
        </w:r>
      </w:hyperlink>
      <w:r>
        <w:rPr>
          <w:rFonts w:ascii="Calibri" w:cs="Calibri" w:eastAsia="Calibri" w:hAnsi="Calibri"/>
          <w:sz w:val="19"/>
          <w:szCs w:val="19"/>
        </w:rPr>
        <w:t xml:space="preserve"> · </w:t>
      </w:r>
      <w:hyperlink w:history="1" r:id="rIduc3ctmbr154olcsqiz3it">
        <w:r>
          <w:rPr>
            <w:rFonts w:ascii="Calibri" w:cs="Calibri" w:eastAsia="Calibri" w:hAnsi="Calibri"/>
            <w:color w:val="1155CC"/>
            <w:sz w:val="20"/>
            <w:szCs w:val="20"/>
            <w:u w:val="single"/>
          </w:rPr>
          <w:t xml:space="preserve">Portfolio</w:t>
        </w:r>
      </w:hyperlink>
      <w:r>
        <w:rPr>
          <w:rFonts w:ascii="Calibri" w:cs="Calibri" w:eastAsia="Calibri" w:hAnsi="Calibri"/>
          <w:sz w:val="19"/>
          <w:szCs w:val="19"/>
        </w:rPr>
        <w:t xml:space="preserve"> · </w:t>
      </w:r>
      <w:hyperlink w:history="1" r:id="rIdd38j9dp2wibj22uwsqk2_">
        <w:r>
          <w:rPr>
            <w:rFonts w:ascii="Calibri" w:cs="Calibri" w:eastAsia="Calibri" w:hAnsi="Calibri"/>
            <w:color w:val="1155CC"/>
            <w:sz w:val="20"/>
            <w:szCs w:val="20"/>
            <w:u w:val="single"/>
          </w:rPr>
          <w:t xml:space="preserve">GitHub</w:t>
        </w:r>
      </w:hyperlink>
    </w:p>
    <w:p>
      <w:pPr>
        <w:pBdr>
          <w:bottom w:val="single" w:color="A6A6A6" w:sz="4" w:space="2"/>
        </w:pBdr>
        <w:spacing w:after="80" w:before="60"/>
      </w:pPr>
      <w:r>
        <w:rPr>
          <w:rFonts w:ascii="Calibri" w:cs="Calibri" w:eastAsia="Calibri" w:hAnsi="Calibri"/>
          <w:sz w:val="20"/>
          <w:szCs w:val="20"/>
        </w:rPr>
        <w:t xml:space="preserve">Business Process Analyst working in healthcare revenue cycle. I build reporting systems that find money the organization was not catching and then keep running on their own. Fourteen automated reports are in service across write-off automation, worklist generation, executive dashboards and internal controls, seven of them unattended. The work has traced $971M in Medicare cash through to posting, identified $1.1M in recoverable write-off value and roughly $12M in duplicate payments. Currently pursuing an M.S. in Analytics at Georgia Tech.</w:t>
      </w:r>
    </w:p>
    <w:p>
      <w:pPr>
        <w:pBdr>
          <w:bottom w:val="single" w:color="1F3864" w:sz="4" w:space="2"/>
        </w:pBdr>
        <w:spacing w:after="60" w:before="160"/>
      </w:pPr>
      <w:r>
        <w:rPr>
          <w:rFonts w:ascii="Cambria" w:cs="Cambria" w:eastAsia="Cambria" w:hAnsi="Cambria"/>
          <w:b/>
          <w:bCs/>
          <w:color w:val="1F3864"/>
          <w:spacing w:val="60"/>
          <w:sz w:val="22"/>
          <w:szCs w:val="22"/>
        </w:rPr>
        <w:t xml:space="preserve">TECHNICAL</w:t>
      </w:r>
    </w:p>
    <w:p>
      <w:pPr>
        <w:spacing w:after="60"/>
      </w:pPr>
      <w:r>
        <w:rPr>
          <w:rFonts w:ascii="Calibri" w:cs="Calibri" w:eastAsia="Calibri" w:hAnsi="Calibri"/>
          <w:sz w:val="20"/>
          <w:szCs w:val="20"/>
        </w:rPr>
        <w:t xml:space="preserve">R (tidyverse, RMarkdown, flexdashboard, arrow, openxlsx) · Python · SQL · DuckDB · Parquet · Excel/VBA · Git · Spyder scheduling · Healthcare revenue cycle: ATB, 835 remittance, contract grids, T-code adjustment logic, Medicaid and Medicare payer rules</w:t>
      </w:r>
    </w:p>
    <w:p>
      <w:pPr>
        <w:pBdr>
          <w:bottom w:val="single" w:color="1F3864" w:sz="4" w:space="2"/>
        </w:pBdr>
        <w:spacing w:after="60" w:before="160"/>
      </w:pPr>
      <w:r>
        <w:rPr>
          <w:rFonts w:ascii="Cambria" w:cs="Cambria" w:eastAsia="Cambria" w:hAnsi="Cambria"/>
          <w:b/>
          <w:bCs/>
          <w:color w:val="1F3864"/>
          <w:spacing w:val="60"/>
          <w:sz w:val="22"/>
          <w:szCs w:val="22"/>
        </w:rPr>
        <w:t xml:space="preserve">EXPERIENCE</w:t>
      </w:r>
    </w:p>
    <w:p>
      <w:pPr>
        <w:spacing w:after="0" w:before="120"/>
      </w:pPr>
      <w:r>
        <w:rPr>
          <w:rFonts w:ascii="Cambria" w:cs="Cambria" w:eastAsia="Cambria" w:hAnsi="Cambria"/>
          <w:b/>
          <w:bCs/>
          <w:color w:val="1F3864"/>
          <w:sz w:val="21"/>
          <w:szCs w:val="21"/>
        </w:rPr>
        <w:t xml:space="preserve">Encompass Health · Business Services Office</w:t>
      </w:r>
    </w:p>
    <w:p>
      <w:pPr>
        <w:spacing w:after="60"/>
      </w:pPr>
      <w:r>
        <w:rPr>
          <w:rFonts w:ascii="Calibri" w:cs="Calibri" w:eastAsia="Calibri" w:hAnsi="Calibri"/>
          <w:i/>
          <w:iCs/>
          <w:color w:val="595959"/>
          <w:sz w:val="19"/>
          <w:szCs w:val="19"/>
        </w:rPr>
        <w:t xml:space="preserve">Land O'Lakes, FL · Aug 2024 – Present</w:t>
      </w:r>
    </w:p>
    <w:p>
      <w:pPr>
        <w:tabs>
          <w:tab w:val="right" w:pos="10800"/>
        </w:tabs>
        <w:spacing w:after="40" w:before="100"/>
      </w:pPr>
      <w:r>
        <w:rPr>
          <w:rFonts w:ascii="Calibri" w:cs="Calibri" w:eastAsia="Calibri" w:hAnsi="Calibri"/>
          <w:b/>
          <w:bCs/>
          <w:sz w:val="20"/>
          <w:szCs w:val="20"/>
        </w:rPr>
        <w:t xml:space="preserve">Business Process Analyst III</w:t>
      </w:r>
      <w:r>
        <w:rPr>
          <w:rFonts w:ascii="Calibri" w:cs="Calibri" w:eastAsia="Calibri" w:hAnsi="Calibri"/>
          <w:i/>
          <w:iCs/>
          <w:color w:val="595959"/>
          <w:sz w:val="19"/>
          <w:szCs w:val="19"/>
        </w:rPr>
        <w:t xml:space="preserve">	Jul 2026 – Present</w:t>
      </w:r>
    </w:p>
    <w:p>
      <w:pPr>
        <w:pStyle w:val="ListParagraph"/>
        <w:numPr>
          <w:ilvl w:val="0"/>
          <w:numId w:val="2"/>
        </w:numPr>
        <w:spacing w:after="50"/>
      </w:pPr>
      <w:r>
        <w:rPr>
          <w:rFonts w:ascii="Calibri" w:cs="Calibri" w:eastAsia="Calibri" w:hAnsi="Calibri"/>
          <w:sz w:val="20"/>
          <w:szCs w:val="20"/>
        </w:rPr>
        <w:t xml:space="preserve">Built a Medicare cash reconciliation platform that traces bank deposits through to AR posting. It covered 8,307 deposits worth </w:t>
      </w:r>
      <w:r>
        <w:rPr>
          <w:rFonts w:ascii="Calibri" w:cs="Calibri" w:eastAsia="Calibri" w:hAnsi="Calibri"/>
          <w:b/>
          <w:bCs/>
          <w:sz w:val="20"/>
          <w:szCs w:val="20"/>
        </w:rPr>
        <w:t xml:space="preserve">$971.4M</w:t>
      </w:r>
      <w:r>
        <w:rPr>
          <w:rFonts w:ascii="Calibri" w:cs="Calibri" w:eastAsia="Calibri" w:hAnsi="Calibri"/>
          <w:sz w:val="20"/>
          <w:szCs w:val="20"/>
        </w:rPr>
        <w:t xml:space="preserve">, matched 98.5% of them and 99.5% of the dollars, and confirmed 5,480 to the penny. The median deposit posts the same day it arrives.</w:t>
      </w:r>
    </w:p>
    <w:p>
      <w:pPr>
        <w:pStyle w:val="ListParagraph"/>
        <w:numPr>
          <w:ilvl w:val="0"/>
          <w:numId w:val="2"/>
        </w:numPr>
        <w:spacing w:after="50"/>
      </w:pPr>
      <w:r>
        <w:rPr>
          <w:rFonts w:ascii="Calibri" w:cs="Calibri" w:eastAsia="Calibri" w:hAnsi="Calibri"/>
          <w:sz w:val="20"/>
          <w:szCs w:val="20"/>
        </w:rPr>
        <w:t xml:space="preserve">Found 123 deposits worth </w:t>
      </w:r>
      <w:r>
        <w:rPr>
          <w:rFonts w:ascii="Calibri" w:cs="Calibri" w:eastAsia="Calibri" w:hAnsi="Calibri"/>
          <w:b/>
          <w:bCs/>
          <w:sz w:val="20"/>
          <w:szCs w:val="20"/>
        </w:rPr>
        <w:t xml:space="preserve">$5.3M</w:t>
      </w:r>
      <w:r>
        <w:rPr>
          <w:rFonts w:ascii="Calibri" w:cs="Calibri" w:eastAsia="Calibri" w:hAnsi="Calibri"/>
          <w:sz w:val="20"/>
          <w:szCs w:val="20"/>
        </w:rPr>
        <w:t xml:space="preserve"> that never reached AR, and narrowed those to 113 genuine exceptions worth $4.3M. Added a check that flags any payer and date where the match rate falls below 75% and drops more than 20 points under that payer's normal level, which is what a broken auto-posting feed looks like before anyone notices it.</w:t>
      </w:r>
    </w:p>
    <w:p>
      <w:pPr>
        <w:pStyle w:val="ListParagraph"/>
        <w:numPr>
          <w:ilvl w:val="0"/>
          <w:numId w:val="2"/>
        </w:numPr>
        <w:spacing w:after="50"/>
      </w:pPr>
      <w:r>
        <w:rPr>
          <w:rFonts w:ascii="Calibri" w:cs="Calibri" w:eastAsia="Calibri" w:hAnsi="Calibri"/>
          <w:sz w:val="20"/>
          <w:szCs w:val="20"/>
        </w:rPr>
        <w:t xml:space="preserve">Wrote a null-safe comparison to replace the base operator, which had been quietly treating deposits with no reference at all as matched. Kept amount agreement out of the matching logic entirely and used it as a separate test, so the validation stays independent of the thing it is validating.</w:t>
      </w:r>
    </w:p>
    <w:p>
      <w:pPr>
        <w:pStyle w:val="ListParagraph"/>
        <w:numPr>
          <w:ilvl w:val="0"/>
          <w:numId w:val="2"/>
        </w:numPr>
        <w:spacing w:after="50"/>
      </w:pPr>
      <w:r>
        <w:rPr>
          <w:rFonts w:ascii="Calibri" w:cs="Calibri" w:eastAsia="Calibri" w:hAnsi="Calibri"/>
          <w:sz w:val="20"/>
          <w:szCs w:val="20"/>
        </w:rPr>
        <w:t xml:space="preserve">Built a bad debt reporting framework that sorts every write-off dollar by T-code into preventable, unpreventable and needs review, replacing a single headline number with root cause. It surfaced a coordination of benefits pattern that led to front-end workflow changes, and was chosen as the basis for a wider enterprise bad debt initiative.</w:t>
      </w:r>
    </w:p>
    <w:p>
      <w:pPr>
        <w:pStyle w:val="ListParagraph"/>
        <w:numPr>
          <w:ilvl w:val="0"/>
          <w:numId w:val="2"/>
        </w:numPr>
        <w:spacing w:after="50"/>
      </w:pPr>
      <w:r>
        <w:rPr>
          <w:rFonts w:ascii="Calibri" w:cs="Calibri" w:eastAsia="Calibri" w:hAnsi="Calibri"/>
          <w:sz w:val="20"/>
          <w:szCs w:val="20"/>
        </w:rPr>
        <w:t xml:space="preserve">Scaled that from one facility to the whole Business Services Organization, holding the categorization and sign convention identical so the two views reconcile against each other. Delivered ahead of deadline to Controller, Regional VP and SVP audiences.</w:t>
      </w:r>
    </w:p>
    <w:p>
      <w:pPr>
        <w:pStyle w:val="ListParagraph"/>
        <w:numPr>
          <w:ilvl w:val="0"/>
          <w:numId w:val="2"/>
        </w:numPr>
        <w:spacing w:after="50"/>
      </w:pPr>
      <w:r>
        <w:rPr>
          <w:rFonts w:ascii="Calibri" w:cs="Calibri" w:eastAsia="Calibri" w:hAnsi="Calibri"/>
          <w:sz w:val="20"/>
          <w:szCs w:val="20"/>
        </w:rPr>
        <w:t xml:space="preserve">Deployed three Medicaid and Medicare write-off automations that only send a file when they find something, so a clean run is silent rather than an empty spreadsheet in someone's inbox. QMB returned $16,690 across 11 accounts on its first run and South Carolina found $24,000 in adjustment opportunity. The Kentucky report came back empty and I automated it anyway, so a known contracting exception stays covered at no ongoing cost.</w:t>
      </w:r>
    </w:p>
    <w:p>
      <w:pPr>
        <w:pStyle w:val="ListParagraph"/>
        <w:numPr>
          <w:ilvl w:val="0"/>
          <w:numId w:val="2"/>
        </w:numPr>
        <w:spacing w:after="50"/>
      </w:pPr>
      <w:r>
        <w:rPr>
          <w:rFonts w:ascii="Calibri" w:cs="Calibri" w:eastAsia="Calibri" w:hAnsi="Calibri"/>
          <w:sz w:val="20"/>
          <w:szCs w:val="20"/>
        </w:rPr>
        <w:t xml:space="preserve">Wrote the documentation standard for the reporting portfolio: fourteen sheets covering why each report exists, the logic in the order it runs, where the data comes from and what the known limits are. Any number in it can be defended without opening the code.</w:t>
      </w:r>
    </w:p>
    <w:p>
      <w:pPr>
        <w:tabs>
          <w:tab w:val="right" w:pos="10800"/>
        </w:tabs>
        <w:spacing w:after="40" w:before="100"/>
      </w:pPr>
      <w:r>
        <w:rPr>
          <w:rFonts w:ascii="Calibri" w:cs="Calibri" w:eastAsia="Calibri" w:hAnsi="Calibri"/>
          <w:b/>
          <w:bCs/>
          <w:sz w:val="20"/>
          <w:szCs w:val="20"/>
        </w:rPr>
        <w:t xml:space="preserve">Business Process Analyst II</w:t>
      </w:r>
      <w:r>
        <w:rPr>
          <w:rFonts w:ascii="Calibri" w:cs="Calibri" w:eastAsia="Calibri" w:hAnsi="Calibri"/>
          <w:i/>
          <w:iCs/>
          <w:color w:val="595959"/>
          <w:sz w:val="19"/>
          <w:szCs w:val="19"/>
        </w:rPr>
        <w:t xml:space="preserve">	Dec 2025 – Jul 2026</w:t>
      </w:r>
    </w:p>
    <w:p>
      <w:pPr>
        <w:pStyle w:val="ListParagraph"/>
        <w:numPr>
          <w:ilvl w:val="0"/>
          <w:numId w:val="2"/>
        </w:numPr>
        <w:spacing w:after="50"/>
      </w:pPr>
      <w:r>
        <w:rPr>
          <w:rFonts w:ascii="Calibri" w:cs="Calibri" w:eastAsia="Calibri" w:hAnsi="Calibri"/>
          <w:sz w:val="20"/>
          <w:szCs w:val="20"/>
        </w:rPr>
        <w:t xml:space="preserve">Automated Medicaid due diligence across five data sources, proving account by account that the primary payer had already exceeded the contract rate in effect during the stay. Identified </w:t>
      </w:r>
      <w:r>
        <w:rPr>
          <w:rFonts w:ascii="Calibri" w:cs="Calibri" w:eastAsia="Calibri" w:hAnsi="Calibri"/>
          <w:b/>
          <w:bCs/>
          <w:sz w:val="20"/>
          <w:szCs w:val="20"/>
        </w:rPr>
        <w:t xml:space="preserve">$663,207</w:t>
      </w:r>
      <w:r>
        <w:rPr>
          <w:rFonts w:ascii="Calibri" w:cs="Calibri" w:eastAsia="Calibri" w:hAnsi="Calibri"/>
          <w:sz w:val="20"/>
          <w:szCs w:val="20"/>
        </w:rPr>
        <w:t xml:space="preserve"> across 154 accounts. Still running today as a weekly control.</w:t>
      </w:r>
    </w:p>
    <w:p>
      <w:pPr>
        <w:pStyle w:val="ListParagraph"/>
        <w:numPr>
          <w:ilvl w:val="0"/>
          <w:numId w:val="2"/>
        </w:numPr>
        <w:spacing w:after="50"/>
      </w:pPr>
      <w:r>
        <w:rPr>
          <w:rFonts w:ascii="Calibri" w:cs="Calibri" w:eastAsia="Calibri" w:hAnsi="Calibri"/>
          <w:sz w:val="20"/>
          <w:szCs w:val="20"/>
        </w:rPr>
        <w:t xml:space="preserve">Pointed the same framework at BCBS secondary accounts and reached $415,606, about two thirds of the Medicaid result, in a much shorter build because the method was already proven. Together the two reports account for </w:t>
      </w:r>
      <w:r>
        <w:rPr>
          <w:rFonts w:ascii="Calibri" w:cs="Calibri" w:eastAsia="Calibri" w:hAnsi="Calibri"/>
          <w:b/>
          <w:bCs/>
          <w:sz w:val="20"/>
          <w:szCs w:val="20"/>
        </w:rPr>
        <w:t xml:space="preserve">$1.08M</w:t>
      </w:r>
      <w:r>
        <w:rPr>
          <w:rFonts w:ascii="Calibri" w:cs="Calibri" w:eastAsia="Calibri" w:hAnsi="Calibri"/>
          <w:sz w:val="20"/>
          <w:szCs w:val="20"/>
        </w:rPr>
        <w:t xml:space="preserve"> in write-off value the organization was not identifying before. Caught a data problem during validation where financial class was changing before payments posted, and corrected the population before release.</w:t>
      </w:r>
    </w:p>
    <w:p>
      <w:pPr>
        <w:pStyle w:val="ListParagraph"/>
        <w:numPr>
          <w:ilvl w:val="0"/>
          <w:numId w:val="2"/>
        </w:numPr>
        <w:spacing w:after="50"/>
      </w:pPr>
      <w:r>
        <w:rPr>
          <w:rFonts w:ascii="Calibri" w:cs="Calibri" w:eastAsia="Calibri" w:hAnsi="Calibri"/>
          <w:sz w:val="20"/>
          <w:szCs w:val="20"/>
        </w:rPr>
        <w:t xml:space="preserve">Rebuilt the duplicate payment review as a DuckDB-backed analytics platform with full history retained. It has since surfaced roughly </w:t>
      </w:r>
      <w:r>
        <w:rPr>
          <w:rFonts w:ascii="Calibri" w:cs="Calibri" w:eastAsia="Calibri" w:hAnsi="Calibri"/>
          <w:b/>
          <w:bCs/>
          <w:sz w:val="20"/>
          <w:szCs w:val="20"/>
        </w:rPr>
        <w:t xml:space="preserve">$12M</w:t>
      </w:r>
      <w:r>
        <w:rPr>
          <w:rFonts w:ascii="Calibri" w:cs="Calibri" w:eastAsia="Calibri" w:hAnsi="Calibri"/>
          <w:sz w:val="20"/>
          <w:szCs w:val="20"/>
        </w:rPr>
        <w:t xml:space="preserve">, with insight into payers, day of week, calendar concentration and facility. It reads the team's existing output, so nobody had to change how they work.</w:t>
      </w:r>
    </w:p>
    <w:p>
      <w:pPr>
        <w:pStyle w:val="ListParagraph"/>
        <w:numPr>
          <w:ilvl w:val="0"/>
          <w:numId w:val="2"/>
        </w:numPr>
        <w:spacing w:after="50"/>
      </w:pPr>
      <w:r>
        <w:rPr>
          <w:rFonts w:ascii="Calibri" w:cs="Calibri" w:eastAsia="Calibri" w:hAnsi="Calibri"/>
          <w:sz w:val="20"/>
          <w:szCs w:val="20"/>
        </w:rPr>
        <w:t xml:space="preserve">Built the AR Underperformers Report Card on pacing rather than a flat target, measuring each facility against 98% of business days elapsed. A facility behind in week two is not the same problem as one behind in week eleven. Leadership sees the gap in dollars rather than percentages.</w:t>
      </w:r>
    </w:p>
    <w:p>
      <w:pPr>
        <w:pStyle w:val="ListParagraph"/>
        <w:numPr>
          <w:ilvl w:val="0"/>
          <w:numId w:val="2"/>
        </w:numPr>
        <w:spacing w:after="50"/>
      </w:pPr>
      <w:r>
        <w:rPr>
          <w:rFonts w:ascii="Calibri" w:cs="Calibri" w:eastAsia="Calibri" w:hAnsi="Calibri"/>
          <w:sz w:val="20"/>
          <w:szCs w:val="20"/>
        </w:rPr>
        <w:t xml:space="preserve">Rebuilt it for production by trimming what gets loaded and imported, without touching a single metric definition, then parameterized it into per-team report cards across every operating team.</w:t>
      </w:r>
    </w:p>
    <w:p>
      <w:pPr>
        <w:pStyle w:val="ListParagraph"/>
        <w:numPr>
          <w:ilvl w:val="0"/>
          <w:numId w:val="2"/>
        </w:numPr>
        <w:spacing w:after="50"/>
      </w:pPr>
      <w:r>
        <w:rPr>
          <w:rFonts w:ascii="Calibri" w:cs="Calibri" w:eastAsia="Calibri" w:hAnsi="Calibri"/>
          <w:sz w:val="20"/>
          <w:szCs w:val="20"/>
        </w:rPr>
        <w:t xml:space="preserve">Automated a daily reconciliation of OHPAC refunds against the Fusion vendor master. Rebuilt the match to key on vendor ID with address as an exception flag rather than the other way round, and sorted the output so reviewers only look at what needs attention.</w:t>
      </w:r>
    </w:p>
    <w:p>
      <w:pPr>
        <w:pStyle w:val="ListParagraph"/>
        <w:numPr>
          <w:ilvl w:val="0"/>
          <w:numId w:val="2"/>
        </w:numPr>
        <w:spacing w:after="50"/>
      </w:pPr>
      <w:r>
        <w:rPr>
          <w:rFonts w:ascii="Calibri" w:cs="Calibri" w:eastAsia="Calibri" w:hAnsi="Calibri"/>
          <w:sz w:val="20"/>
          <w:szCs w:val="20"/>
        </w:rPr>
        <w:t xml:space="preserve">Delivered the first HTML Medicaid performance report and a full credit balance operational reporting suite for executive leadership, establishing the format and financial class segmentation later reused across the portfolio.</w:t>
      </w:r>
    </w:p>
    <w:p>
      <w:pPr>
        <w:tabs>
          <w:tab w:val="right" w:pos="10800"/>
        </w:tabs>
        <w:spacing w:after="40" w:before="100"/>
      </w:pPr>
      <w:r>
        <w:rPr>
          <w:rFonts w:ascii="Calibri" w:cs="Calibri" w:eastAsia="Calibri" w:hAnsi="Calibri"/>
          <w:b/>
          <w:bCs/>
          <w:sz w:val="20"/>
          <w:szCs w:val="20"/>
        </w:rPr>
        <w:t xml:space="preserve">Accounts Receivable Analyst III</w:t>
      </w:r>
      <w:r>
        <w:rPr>
          <w:rFonts w:ascii="Calibri" w:cs="Calibri" w:eastAsia="Calibri" w:hAnsi="Calibri"/>
          <w:i/>
          <w:iCs/>
          <w:color w:val="595959"/>
          <w:sz w:val="19"/>
          <w:szCs w:val="19"/>
        </w:rPr>
        <w:t xml:space="preserve">	May 2025 – Dec 2025</w:t>
      </w:r>
    </w:p>
    <w:p>
      <w:pPr>
        <w:pStyle w:val="ListParagraph"/>
        <w:numPr>
          <w:ilvl w:val="0"/>
          <w:numId w:val="2"/>
        </w:numPr>
        <w:spacing w:after="50"/>
      </w:pPr>
      <w:r>
        <w:rPr>
          <w:rFonts w:ascii="Calibri" w:cs="Calibri" w:eastAsia="Calibri" w:hAnsi="Calibri"/>
          <w:sz w:val="20"/>
          <w:szCs w:val="20"/>
        </w:rPr>
        <w:t xml:space="preserve">Identified </w:t>
      </w:r>
      <w:r>
        <w:rPr>
          <w:rFonts w:ascii="Calibri" w:cs="Calibri" w:eastAsia="Calibri" w:hAnsi="Calibri"/>
          <w:b/>
          <w:bCs/>
          <w:sz w:val="20"/>
          <w:szCs w:val="20"/>
        </w:rPr>
        <w:t xml:space="preserve">$3.62M</w:t>
      </w:r>
      <w:r>
        <w:rPr>
          <w:rFonts w:ascii="Calibri" w:cs="Calibri" w:eastAsia="Calibri" w:hAnsi="Calibri"/>
          <w:sz w:val="20"/>
          <w:szCs w:val="20"/>
        </w:rPr>
        <w:t xml:space="preserve"> in overpayments at roughly 99% accuracy through account level review of posting activity, which became the analytical basis for the duplicate payment reporting built the following year.</w:t>
      </w:r>
    </w:p>
    <w:p>
      <w:pPr>
        <w:pStyle w:val="ListParagraph"/>
        <w:numPr>
          <w:ilvl w:val="0"/>
          <w:numId w:val="2"/>
        </w:numPr>
        <w:spacing w:after="50"/>
      </w:pPr>
      <w:r>
        <w:rPr>
          <w:rFonts w:ascii="Calibri" w:cs="Calibri" w:eastAsia="Calibri" w:hAnsi="Calibri"/>
          <w:sz w:val="20"/>
          <w:szCs w:val="20"/>
        </w:rPr>
        <w:t xml:space="preserve">Drove a </w:t>
      </w:r>
      <w:r>
        <w:rPr>
          <w:rFonts w:ascii="Calibri" w:cs="Calibri" w:eastAsia="Calibri" w:hAnsi="Calibri"/>
          <w:b/>
          <w:bCs/>
          <w:sz w:val="20"/>
          <w:szCs w:val="20"/>
        </w:rPr>
        <w:t xml:space="preserve">60%</w:t>
      </w:r>
      <w:r>
        <w:rPr>
          <w:rFonts w:ascii="Calibri" w:cs="Calibri" w:eastAsia="Calibri" w:hAnsi="Calibri"/>
          <w:sz w:val="20"/>
          <w:szCs w:val="20"/>
        </w:rPr>
        <w:t xml:space="preserve"> month over month reduction in duplicate payments by isolating the posting behaviours causing them and feeding those findings back into daily review.</w:t>
      </w:r>
    </w:p>
    <w:p>
      <w:pPr>
        <w:tabs>
          <w:tab w:val="right" w:pos="10800"/>
        </w:tabs>
        <w:spacing w:after="40" w:before="100"/>
      </w:pPr>
      <w:r>
        <w:rPr>
          <w:rFonts w:ascii="Calibri" w:cs="Calibri" w:eastAsia="Calibri" w:hAnsi="Calibri"/>
          <w:b/>
          <w:bCs/>
          <w:sz w:val="20"/>
          <w:szCs w:val="20"/>
        </w:rPr>
        <w:t xml:space="preserve">Accounting Assistant</w:t>
      </w:r>
      <w:r>
        <w:rPr>
          <w:rFonts w:ascii="Calibri" w:cs="Calibri" w:eastAsia="Calibri" w:hAnsi="Calibri"/>
          <w:i/>
          <w:iCs/>
          <w:color w:val="595959"/>
          <w:sz w:val="19"/>
          <w:szCs w:val="19"/>
        </w:rPr>
        <w:t xml:space="preserve">	Aug 2024 – May 2025</w:t>
      </w:r>
    </w:p>
    <w:p>
      <w:pPr>
        <w:pStyle w:val="ListParagraph"/>
        <w:numPr>
          <w:ilvl w:val="0"/>
          <w:numId w:val="2"/>
        </w:numPr>
        <w:spacing w:after="50"/>
      </w:pPr>
      <w:r>
        <w:rPr>
          <w:rFonts w:ascii="Calibri" w:cs="Calibri" w:eastAsia="Calibri" w:hAnsi="Calibri"/>
          <w:sz w:val="20"/>
          <w:szCs w:val="20"/>
        </w:rPr>
        <w:t xml:space="preserve">Supported revenue cycle posting and reconciliation while building the early reporting automations that led to promotion into the analyst track.</w:t>
      </w:r>
    </w:p>
    <w:p>
      <w:pPr>
        <w:spacing w:after="0" w:before="120"/>
      </w:pPr>
      <w:r>
        <w:rPr>
          <w:rFonts w:ascii="Cambria" w:cs="Cambria" w:eastAsia="Cambria" w:hAnsi="Cambria"/>
          <w:b/>
          <w:bCs/>
          <w:color w:val="1F3864"/>
          <w:sz w:val="21"/>
          <w:szCs w:val="21"/>
        </w:rPr>
        <w:t xml:space="preserve">The BA Fund · Commercial Loan Broker</w:t>
      </w:r>
    </w:p>
    <w:p>
      <w:pPr>
        <w:spacing w:after="60"/>
      </w:pPr>
      <w:r>
        <w:rPr>
          <w:rFonts w:ascii="Calibri" w:cs="Calibri" w:eastAsia="Calibri" w:hAnsi="Calibri"/>
          <w:i/>
          <w:iCs/>
          <w:color w:val="595959"/>
          <w:sz w:val="19"/>
          <w:szCs w:val="19"/>
        </w:rPr>
        <w:t xml:space="preserve">Aug 2017 – May 2025</w:t>
      </w:r>
    </w:p>
    <w:p>
      <w:pPr>
        <w:pStyle w:val="ListParagraph"/>
        <w:numPr>
          <w:ilvl w:val="0"/>
          <w:numId w:val="2"/>
        </w:numPr>
        <w:spacing w:after="50"/>
      </w:pPr>
      <w:r>
        <w:rPr>
          <w:rFonts w:ascii="Calibri" w:cs="Calibri" w:eastAsia="Calibri" w:hAnsi="Calibri"/>
          <w:sz w:val="20"/>
          <w:szCs w:val="20"/>
        </w:rPr>
        <w:t xml:space="preserve">Owned the full origination process at a family commercial lending business, from borrower intake and financial package assembly through lender matching, underwriting coordination and close.</w:t>
      </w:r>
    </w:p>
    <w:p>
      <w:pPr>
        <w:pBdr>
          <w:bottom w:val="single" w:color="1F3864" w:sz="4" w:space="2"/>
        </w:pBdr>
        <w:spacing w:after="60" w:before="160"/>
      </w:pPr>
      <w:r>
        <w:rPr>
          <w:rFonts w:ascii="Cambria" w:cs="Cambria" w:eastAsia="Cambria" w:hAnsi="Cambria"/>
          <w:b/>
          <w:bCs/>
          <w:color w:val="1F3864"/>
          <w:spacing w:val="60"/>
          <w:sz w:val="22"/>
          <w:szCs w:val="22"/>
        </w:rPr>
        <w:t xml:space="preserve">EDUCATION</w:t>
      </w:r>
    </w:p>
    <w:p>
      <w:pPr>
        <w:tabs>
          <w:tab w:val="right" w:pos="10800"/>
        </w:tabs>
        <w:spacing w:after="40"/>
      </w:pPr>
      <w:r>
        <w:rPr>
          <w:rFonts w:ascii="Calibri" w:cs="Calibri" w:eastAsia="Calibri" w:hAnsi="Calibri"/>
          <w:b/>
          <w:bCs/>
          <w:sz w:val="20"/>
          <w:szCs w:val="20"/>
        </w:rPr>
        <w:t xml:space="preserve">M.S. Analytics, Computational Data Analytics · Georgia Institute of Technology</w:t>
      </w:r>
      <w:r>
        <w:rPr>
          <w:rFonts w:ascii="Calibri" w:cs="Calibri" w:eastAsia="Calibri" w:hAnsi="Calibri"/>
          <w:i/>
          <w:iCs/>
          <w:color w:val="595959"/>
          <w:sz w:val="19"/>
          <w:szCs w:val="19"/>
        </w:rPr>
        <w:t xml:space="preserve">	Expected Dec 2028</w:t>
      </w:r>
    </w:p>
    <w:p>
      <w:pPr>
        <w:tabs>
          <w:tab w:val="right" w:pos="10800"/>
        </w:tabs>
        <w:spacing w:after="40"/>
      </w:pPr>
      <w:r>
        <w:rPr>
          <w:rFonts w:ascii="Calibri" w:cs="Calibri" w:eastAsia="Calibri" w:hAnsi="Calibri"/>
          <w:b/>
          <w:bCs/>
          <w:sz w:val="20"/>
          <w:szCs w:val="20"/>
        </w:rPr>
        <w:t xml:space="preserve">B.A. Economics and Econometrics · University of South Florida</w:t>
      </w:r>
      <w:r>
        <w:rPr>
          <w:rFonts w:ascii="Calibri" w:cs="Calibri" w:eastAsia="Calibri" w:hAnsi="Calibri"/>
          <w:i/>
          <w:iCs/>
          <w:color w:val="595959"/>
          <w:sz w:val="19"/>
          <w:szCs w:val="19"/>
        </w:rPr>
        <w:t xml:space="preserve">	Dec 2024</w:t>
      </w:r>
    </w:p>
    <w:p>
      <w:pPr>
        <w:tabs>
          <w:tab w:val="right" w:pos="10800"/>
        </w:tabs>
        <w:spacing w:after="40"/>
      </w:pPr>
      <w:r>
        <w:rPr>
          <w:rFonts w:ascii="Calibri" w:cs="Calibri" w:eastAsia="Calibri" w:hAnsi="Calibri"/>
          <w:b/>
          <w:bCs/>
          <w:sz w:val="20"/>
          <w:szCs w:val="20"/>
        </w:rPr>
        <w:t xml:space="preserve">Google Data Analytics Professional Certificate</w:t>
      </w:r>
      <w:r>
        <w:rPr>
          <w:rFonts w:ascii="Calibri" w:cs="Calibri" w:eastAsia="Calibri" w:hAnsi="Calibri"/>
          <w:i/>
          <w:iCs/>
          <w:color w:val="595959"/>
          <w:sz w:val="19"/>
          <w:szCs w:val="19"/>
        </w:rPr>
        <w:t xml:space="preserve">	Jun 2025</w:t>
      </w:r>
    </w:p>
    <w:p>
      <w:pPr>
        <w:pBdr>
          <w:bottom w:val="single" w:color="1F3864" w:sz="4" w:space="2"/>
        </w:pBdr>
        <w:spacing w:after="60" w:before="160"/>
      </w:pPr>
      <w:r>
        <w:rPr>
          <w:rFonts w:ascii="Cambria" w:cs="Cambria" w:eastAsia="Cambria" w:hAnsi="Cambria"/>
          <w:b/>
          <w:bCs/>
          <w:color w:val="1F3864"/>
          <w:spacing w:val="60"/>
          <w:sz w:val="22"/>
          <w:szCs w:val="22"/>
        </w:rPr>
        <w:t xml:space="preserve">SELECTED INDEPENDENT PROJECTS</w:t>
      </w:r>
    </w:p>
    <w:p>
      <w:pPr>
        <w:pStyle w:val="ListParagraph"/>
        <w:numPr>
          <w:ilvl w:val="0"/>
          <w:numId w:val="2"/>
        </w:numPr>
        <w:spacing w:after="50"/>
      </w:pPr>
      <w:r>
        <w:rPr>
          <w:rFonts w:ascii="Calibri" w:cs="Calibri" w:eastAsia="Calibri" w:hAnsi="Calibri"/>
          <w:b/>
          <w:bCs/>
          <w:sz w:val="20"/>
          <w:szCs w:val="20"/>
        </w:rPr>
        <w:t xml:space="preserve">Medicare Payment Variability and Revenue Leakage Detection Model</w:t>
      </w:r>
      <w:r>
        <w:rPr>
          <w:rFonts w:ascii="Calibri" w:cs="Calibri" w:eastAsia="Calibri" w:hAnsi="Calibri"/>
          <w:sz w:val="20"/>
          <w:szCs w:val="20"/>
        </w:rPr>
        <w:t xml:space="preserve">. Claims-based analysis of payment variability across 2,845 providers, segmenting recovery opportunity by DRG and identifying where charges and payments decouple.</w:t>
      </w:r>
    </w:p>
    <w:p>
      <w:pPr>
        <w:pStyle w:val="ListParagraph"/>
        <w:numPr>
          <w:ilvl w:val="0"/>
          <w:numId w:val="2"/>
        </w:numPr>
        <w:spacing w:after="50"/>
      </w:pPr>
      <w:r>
        <w:rPr>
          <w:rFonts w:ascii="Calibri" w:cs="Calibri" w:eastAsia="Calibri" w:hAnsi="Calibri"/>
          <w:b/>
          <w:bCs/>
          <w:sz w:val="20"/>
          <w:szCs w:val="20"/>
        </w:rPr>
        <w:t xml:space="preserve">U.S. Healthcare Cost and Payments Dashboard</w:t>
      </w:r>
      <w:r>
        <w:rPr>
          <w:rFonts w:ascii="Calibri" w:cs="Calibri" w:eastAsia="Calibri" w:hAnsi="Calibri"/>
          <w:sz w:val="20"/>
          <w:szCs w:val="20"/>
        </w:rPr>
        <w:t xml:space="preserve">. National spending, payer flow and operational efficiency analysis built on CMS National Health Expenditure data.</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360"/>
      </w:pPr>
      <w:rPr>
        <w:rFonts w:ascii="Calibri" w:cs="Calibri" w:eastAsia="Calibri" w:hAnsi="Calibri"/>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by2mwl4nttsdkvnb-2j" Type="http://schemas.openxmlformats.org/officeDocument/2006/relationships/hyperlink" Target="mailto:dpatterson6575@gmail.com" TargetMode="External"/><Relationship Id="rIdcmf3svox1-y4mqyfou3vx" Type="http://schemas.openxmlformats.org/officeDocument/2006/relationships/hyperlink" Target="https://www.linkedin.com/in/daniel-patterson-b03a5718b" TargetMode="External"/><Relationship Id="rIduc3ctmbr154olcsqiz3it" Type="http://schemas.openxmlformats.org/officeDocument/2006/relationships/hyperlink" Target="https://danielpatterson1.github.io/Daniel-Patterson-portfolio/" TargetMode="External"/><Relationship Id="rIdd38j9dp2wibj22uwsqk2_" Type="http://schemas.openxmlformats.org/officeDocument/2006/relationships/hyperlink" Target="https://github.com/danielpatterson1"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2026-08-28T13:13:49.513Z</dcterms:created>
  <dcterms:modified xsi:type="dcterms:W3CDTF">2026-08-28T13:13:49.514Z</dcterms:modified>
</cp:coreProperties>
</file>

<file path=docProps/custom.xml><?xml version="1.0" encoding="utf-8"?>
<Properties xmlns="http://schemas.openxmlformats.org/officeDocument/2006/custom-properties" xmlns:vt="http://schemas.openxmlformats.org/officeDocument/2006/docPropsVTypes"/>
</file>