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azpiwj426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Messaging House for Purely Personal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h620wq82q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Roof: Unique Value Proposition (UVP)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UVP:</w:t>
        <w:br w:type="textWrapping"/>
      </w:r>
      <w:r w:rsidDel="00000000" w:rsidR="00000000" w:rsidRPr="00000000">
        <w:rPr>
          <w:rtl w:val="0"/>
        </w:rPr>
        <w:t xml:space="preserve"> “AI-powered personal branding that books clients.”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UVP:</w:t>
        <w:br w:type="textWrapping"/>
      </w:r>
      <w:r w:rsidDel="00000000" w:rsidR="00000000" w:rsidRPr="00000000">
        <w:rPr>
          <w:rtl w:val="0"/>
        </w:rPr>
        <w:t xml:space="preserve"> “We turn your founder story into a client-generating system with AI, content, and co-creation.”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UVP:</w:t>
        <w:br w:type="textWrapping"/>
      </w:r>
      <w:r w:rsidDel="00000000" w:rsidR="00000000" w:rsidRPr="00000000">
        <w:rPr>
          <w:rtl w:val="0"/>
        </w:rPr>
        <w:t xml:space="preserve"> “Purely Personal helps founder-led businesses with high-ticket offers turn their story into a client-magnet on LinkedIn. Using AI agents, branded content systems, and a human+tech workflow, we create visibility, consistency, and inbound leads — so you can lead while your brand works in the background.”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8yzew0vw0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Key Message Pillars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5.5"/>
        <w:gridCol w:w="3163.875"/>
        <w:gridCol w:w="4070.625"/>
        <w:tblGridChange w:id="0">
          <w:tblGrid>
            <w:gridCol w:w="2125.5"/>
            <w:gridCol w:w="3163.875"/>
            <w:gridCol w:w="4070.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Pain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Brand Visibility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We make founders look like the go-to experts in their niche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“Nobody sees my content,” “My message feels unclear,” “I don’t know what to post”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AI + Human Hybrid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We automate content creation without losing your 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“Content feels robotic,” “I don’t trust AI,” “I’m too busy to post consistently”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Revenue-Driven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Every post, system, and story is engineered to bring in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“Likes don’t pay the bills,” “How do I turn posts into deals?”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ty2vw95vq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Supporting Content &amp; Proof Points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4726989079566"/>
        <w:gridCol w:w="3757.6287051482063"/>
        <w:gridCol w:w="4224.898595943838"/>
        <w:tblGridChange w:id="0">
          <w:tblGrid>
            <w:gridCol w:w="1377.4726989079566"/>
            <w:gridCol w:w="3757.6287051482063"/>
            <w:gridCol w:w="4224.89859594383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Content templates, LinkedIn ghostwriting, branded visuals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Clients booked speaking gigs in 14 days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Hybrid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AI agents trained on founder's story, tone, and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Weekly co-creation + AI + success manager ensures continuity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Revenue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DM workflows, post prompts that convert, call-to-action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Increased client acquisition from content, seen across SaaS and coaching sectors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faw6vz5pa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Basic Profile (Example ICP: Danny)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Danny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: 35–45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</w:t>
      </w:r>
      <w:r w:rsidDel="00000000" w:rsidR="00000000" w:rsidRPr="00000000">
        <w:rPr>
          <w:rtl w:val="0"/>
        </w:rPr>
        <w:t xml:space="preserve">: Founder of B2B SaaS or Coaching company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U.S. (primary), also Asia, Europe, UAE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Demographics</w:t>
      </w:r>
      <w:r w:rsidDel="00000000" w:rsidR="00000000" w:rsidRPr="00000000">
        <w:rPr>
          <w:rtl w:val="0"/>
        </w:rPr>
        <w:t xml:space="preserve">: Solo or small team founder, tech-savvy, growth-oriented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65yke9adk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Emotional and Psychological Profiling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Wants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seen as an authority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content without burnout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 premium leads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brand that reflects expertise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speaking invites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LinkedIn performance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inbound DMs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systems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ROI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 in their industry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Aspirations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a recognized thought leader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high-ticket deals effortlessly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on big stages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client attraction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Outsource content with control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revenue from LinkedIn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legacy brand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influence in niche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industry conversations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run out of content ideas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failure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invisible on LinkedIn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 outpacing them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looking amateur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replacing authenticity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burnout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Wasting time/money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stuck in DIY mode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with no response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overwhelm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Frustrations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clarity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content results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manual tasks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Overthinking posts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Repeating mistakes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programs with no support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content consistency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leads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confusion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Time-suck marketing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jv4t3xm5c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Problems &amp; Tailored Solutions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1: No scalable content system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Solution: AI+human content engine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Weekly co-creation &amp; publishing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Personalized templates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Founder-branded storylines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Notion dashboard + metrics tracking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2: Weak positioning and unclear messaging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Solution: Founder messaging audit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UVP and audience research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Hook-based content prompts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Brand voice guide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Weekly reviews with strategist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3: Lack of automation in outreach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Solution: Smart DM scripts + triggers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Zapier workflows for leads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Comment/DM engagement playbooks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AI-integrated lead nurturing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CRM tagging and follow-up flows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4: Fear of sounding robotic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Solution: Voice calibration sessions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Human edits on AI output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Personal tone training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Signature phrase creation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Ongoing tone feedback loop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5: Content creation is overwhelming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Solution: Pre-filled calendars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Copy/paste carousels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Swipe files + editing prompts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Assistant-supported publishing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Zero-draft content walkthroughs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tyyud1ukb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Hyper-Specific Outcomes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random posts to a booked calendar (3–6 calls/week from LinkedIn)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2x–5x increase in profile views, saves, and DMs within 30 days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brand equity — leading to invites, features, and client trust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weekly content time by 70%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visibility while the founder focuses on closing and leading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invites within 2–3 weeks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differentiation from competitors — becoming the category voice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without burnout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that reflects the founder’s story and vision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3x ROI within 90 days from inbound conversions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