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110"/>
      </w:tblGrid>
      <w:tr w:rsidR="001013FD" w14:paraId="062A051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100" w:type="dxa"/>
            </w:tcMar>
            <w:vAlign w:val="center"/>
          </w:tcPr>
          <w:p w14:paraId="0B85E678" w14:textId="77777777" w:rsidR="001013FD" w:rsidRDefault="00000000">
            <w:r>
              <w:rPr>
                <w:noProof/>
              </w:rPr>
              <w:drawing>
                <wp:inline distT="0" distB="0" distL="0" distR="0" wp14:anchorId="44B6F8B9" wp14:editId="3A70B875">
                  <wp:extent cx="571500" cy="752475"/>
                  <wp:effectExtent l="0" t="0" r="0" b="0"/>
                  <wp:docPr id="1" name="escudo" descr="Escudo Universidad de La Sabana" title="Escud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1500" cy="75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1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100" w:type="dxa"/>
              <w:bottom w:w="0" w:type="dxa"/>
              <w:right w:w="0" w:type="dxa"/>
            </w:tcMar>
            <w:vAlign w:val="center"/>
          </w:tcPr>
          <w:p w14:paraId="2AE74011" w14:textId="77777777" w:rsidR="001013FD" w:rsidRDefault="00000000">
            <w:pPr>
              <w:spacing w:after="100"/>
            </w:pPr>
            <w:r>
              <w:rPr>
                <w:b/>
                <w:bCs/>
                <w:color w:val="C7A925"/>
                <w:sz w:val="17"/>
                <w:szCs w:val="17"/>
              </w:rPr>
              <w:t>UNIVERSIDAD DE LA SABANA  ·  INTEGRACIÓN DE DATOS</w:t>
            </w:r>
          </w:p>
          <w:p w14:paraId="0491A80B" w14:textId="77777777" w:rsidR="001013FD" w:rsidRDefault="00000000">
            <w:pPr>
              <w:spacing w:after="60" w:line="300" w:lineRule="auto"/>
            </w:pPr>
            <w:r>
              <w:rPr>
                <w:b/>
                <w:bCs/>
                <w:color w:val="000000"/>
                <w:sz w:val="36"/>
                <w:szCs w:val="36"/>
              </w:rPr>
              <w:t>Taller de decisión de arquitectura de datos</w:t>
            </w:r>
          </w:p>
          <w:p w14:paraId="62E855A2" w14:textId="77777777" w:rsidR="001013FD" w:rsidRDefault="00000000">
            <w:r>
              <w:rPr>
                <w:color w:val="666666"/>
              </w:rPr>
              <w:t xml:space="preserve">Caso ficticio: </w:t>
            </w:r>
            <w:proofErr w:type="spellStart"/>
            <w:r>
              <w:rPr>
                <w:color w:val="666666"/>
              </w:rPr>
              <w:t>TransAndina</w:t>
            </w:r>
            <w:proofErr w:type="spellEnd"/>
            <w:r>
              <w:rPr>
                <w:color w:val="666666"/>
              </w:rPr>
              <w:t xml:space="preserve"> Logística S.A.S.</w:t>
            </w:r>
          </w:p>
        </w:tc>
      </w:tr>
    </w:tbl>
    <w:p w14:paraId="15110F28" w14:textId="77777777" w:rsidR="001013FD" w:rsidRDefault="001013FD">
      <w:pPr>
        <w:pBdr>
          <w:bottom w:val="single" w:sz="36" w:space="1" w:color="C7A925"/>
        </w:pBdr>
        <w:spacing w:before="100" w:after="100"/>
      </w:pPr>
    </w:p>
    <w:p w14:paraId="6D3E9F7F" w14:textId="77777777" w:rsidR="001013FD" w:rsidRDefault="001013FD">
      <w:pPr>
        <w:keepNext/>
        <w:pBdr>
          <w:bottom w:val="single" w:sz="18" w:space="1" w:color="C7A925"/>
        </w:pBdr>
        <w:spacing w:after="140"/>
        <w:ind w:right="7660"/>
      </w:pPr>
    </w:p>
    <w:p w14:paraId="7749541C" w14:textId="77777777" w:rsidR="001013FD" w:rsidRDefault="00000000">
      <w:pPr>
        <w:pStyle w:val="Ttulo2"/>
        <w:keepNext/>
        <w:spacing w:before="280" w:after="40"/>
      </w:pPr>
      <w:r>
        <w:t xml:space="preserve">El caso: </w:t>
      </w:r>
      <w:proofErr w:type="spellStart"/>
      <w:r>
        <w:t>TransAndina</w:t>
      </w:r>
      <w:proofErr w:type="spellEnd"/>
      <w:r>
        <w:t xml:space="preserve"> Logística S.A.S., cuando cada entrega vive en una nube distinta</w:t>
      </w:r>
    </w:p>
    <w:p w14:paraId="532CBB8B" w14:textId="77777777" w:rsidR="001013FD" w:rsidRDefault="001013FD">
      <w:pPr>
        <w:keepNext/>
        <w:pBdr>
          <w:bottom w:val="single" w:sz="18" w:space="1" w:color="C7A925"/>
        </w:pBdr>
        <w:spacing w:after="140"/>
        <w:ind w:right="7660"/>
      </w:pPr>
    </w:p>
    <w:p w14:paraId="7623A99F" w14:textId="77777777" w:rsidR="001013FD" w:rsidRDefault="00000000">
      <w:pPr>
        <w:pStyle w:val="Ttulo3"/>
        <w:keepNext/>
        <w:spacing w:before="40" w:after="70"/>
      </w:pPr>
      <w:r>
        <w:t>La empresa</w:t>
      </w:r>
    </w:p>
    <w:p w14:paraId="512F28B4" w14:textId="77777777" w:rsidR="001013FD" w:rsidRDefault="00000000">
      <w:pPr>
        <w:spacing w:after="100" w:line="276" w:lineRule="auto"/>
      </w:pPr>
      <w:proofErr w:type="spellStart"/>
      <w:r>
        <w:t>TransAndina</w:t>
      </w:r>
      <w:proofErr w:type="spellEnd"/>
      <w:r>
        <w:t xml:space="preserve"> Logística S.A.S. es una empresa colombiana de transporte y distribución con 15 años de trayectoria. Tiene centros de distribución en Bogotá, Medellín, Cali y Barranquilla, opera en Ecuador y planea abrir operación en Perú en 2027. Cuenta con 650 vehículos propios, 1.400 transportistas aliados y 2.900 empleados. Factura COP 240.000 millones al año y sus sistemas generan cerca de 8 millones de eventos al mes: posiciones GPS, pedidos, entregas, facturas y novedades de conductores.</w:t>
      </w:r>
    </w:p>
    <w:p w14:paraId="19396978" w14:textId="77777777" w:rsidR="001013FD" w:rsidRDefault="00000000">
      <w:pPr>
        <w:spacing w:after="70" w:line="276" w:lineRule="auto"/>
      </w:pPr>
      <w:r>
        <w:t>Con los años, cada área eligió su propia plataforma, sin una estrategia de datos común. Hoy hay tres nubes que no se hablan entre sí: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460"/>
      </w:tblGrid>
      <w:tr w:rsidR="001013FD" w14:paraId="0BD6A24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8FDF88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Plataforma</w:t>
            </w:r>
          </w:p>
        </w:tc>
        <w:tc>
          <w:tcPr>
            <w:tcW w:w="74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7F546D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Qué vive allí</w:t>
            </w:r>
          </w:p>
        </w:tc>
      </w:tr>
      <w:tr w:rsidR="001013FD" w14:paraId="7F9A7E5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1C5EFA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AWS</w:t>
            </w:r>
          </w:p>
        </w:tc>
        <w:tc>
          <w:tcPr>
            <w:tcW w:w="74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F7466DA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Operación de flota: telemetría y GPS de los vehículos (AWS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Core), rutas y alertas de mantenimiento. Fue elegida por su madurez en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y la experiencia del equipo de operaciones.</w:t>
            </w:r>
          </w:p>
        </w:tc>
      </w:tr>
      <w:tr w:rsidR="001013FD" w14:paraId="2535AAD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EE35A2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Microsoft Azure</w:t>
            </w:r>
          </w:p>
        </w:tc>
        <w:tc>
          <w:tcPr>
            <w:tcW w:w="74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8C7A1F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Sistemas corporativos: ERP financiero, facturación electrónica y nómina de conductores. Hay un contrato Enterprise </w:t>
            </w:r>
            <w:proofErr w:type="spellStart"/>
            <w:r>
              <w:rPr>
                <w:sz w:val="18"/>
                <w:szCs w:val="18"/>
              </w:rPr>
              <w:t>Agreement</w:t>
            </w:r>
            <w:proofErr w:type="spellEnd"/>
            <w:r>
              <w:rPr>
                <w:sz w:val="18"/>
                <w:szCs w:val="18"/>
              </w:rPr>
              <w:t xml:space="preserve"> vigente por tres años más.</w:t>
            </w:r>
          </w:p>
        </w:tc>
      </w:tr>
      <w:tr w:rsidR="001013FD" w14:paraId="16B0897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6E6C635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Google Cloud</w:t>
            </w:r>
          </w:p>
        </w:tc>
        <w:tc>
          <w:tcPr>
            <w:tcW w:w="74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E4E8E29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Clientes: plataforma de seguimiento de pedidos y CRM comercial, construida por un proveedor externo que no autoriza modificaciones. Contrato vigente por dos años.</w:t>
            </w:r>
          </w:p>
        </w:tc>
      </w:tr>
    </w:tbl>
    <w:p w14:paraId="0D97955F" w14:textId="77777777" w:rsidR="001013FD" w:rsidRDefault="00000000">
      <w:pPr>
        <w:pStyle w:val="Ttulo3"/>
        <w:keepNext/>
        <w:spacing w:before="200" w:after="70"/>
      </w:pPr>
      <w:r>
        <w:t>El problema</w:t>
      </w:r>
    </w:p>
    <w:p w14:paraId="0B4A14E3" w14:textId="77777777" w:rsidR="001013FD" w:rsidRDefault="00000000">
      <w:pPr>
        <w:spacing w:after="70" w:line="276" w:lineRule="auto"/>
      </w:pPr>
      <w:proofErr w:type="spellStart"/>
      <w:r>
        <w:t>TransAndina</w:t>
      </w:r>
      <w:proofErr w:type="spellEnd"/>
      <w:r>
        <w:t xml:space="preserve"> promete entregas con hora y precio, pero los datos para cumplirlas están separados:</w:t>
      </w:r>
    </w:p>
    <w:p w14:paraId="341004DC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Los despachadores no pueden cruzar la posición real de cada vehículo (AWS) con los pedidos prometidos a los clientes (Google Cloud): lo hacen en hojas de cálculo.</w:t>
      </w:r>
    </w:p>
    <w:p w14:paraId="65972ED5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Finanzas (Azure) factura con datos de entrega que llegan con hasta 48 horas de retraso, y las facturas no siempre coinciden con las entregas registradas.</w:t>
      </w:r>
    </w:p>
    <w:p w14:paraId="73EC8315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 xml:space="preserve">El </w:t>
      </w:r>
      <w:r>
        <w:rPr>
          <w:b/>
          <w:bCs/>
        </w:rPr>
        <w:t>22%</w:t>
      </w:r>
      <w:r>
        <w:t xml:space="preserve"> de los viajes sale con menos de la mitad de su capacidad, porque nadie ve a tiempo la demanda y la flota disponible.</w:t>
      </w:r>
    </w:p>
    <w:p w14:paraId="536DB76F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 xml:space="preserve">En 2025, las entregas fuera de ventana generaron penalizaciones por </w:t>
      </w:r>
      <w:r>
        <w:rPr>
          <w:b/>
          <w:bCs/>
        </w:rPr>
        <w:t>COP 3.600 millones</w:t>
      </w:r>
      <w:r>
        <w:t xml:space="preserve"> (1,5% de la facturación anual).</w:t>
      </w:r>
    </w:p>
    <w:p w14:paraId="33231270" w14:textId="77777777" w:rsidR="001013FD" w:rsidRDefault="00000000">
      <w:pPr>
        <w:pStyle w:val="Ttulo3"/>
        <w:keepNext/>
        <w:spacing w:before="160" w:after="70"/>
      </w:pPr>
      <w:r>
        <w:t>Qué pasa si no se hace nada</w:t>
      </w:r>
    </w:p>
    <w:p w14:paraId="638728DA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Financiero: </w:t>
      </w:r>
      <w:r>
        <w:t>se proyectan pérdidas de COP 5.000 a 7.000 millones anuales en los próximos tres años.</w:t>
      </w:r>
    </w:p>
    <w:p w14:paraId="53372F0D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lastRenderedPageBreak/>
        <w:t xml:space="preserve">Competitivo: </w:t>
      </w:r>
      <w:r>
        <w:t>la empresa perdió dos contratos con clientes corporativos que exigen seguimiento de entregas en tiempo real.</w:t>
      </w:r>
    </w:p>
    <w:p w14:paraId="0714E93B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Regulatorio: </w:t>
      </w:r>
      <w:r>
        <w:t>las facturas que no coinciden con las entregas generan glosas y reprocesos, y los datos personales de conductores y clientes deben protegerse según la Ley 1581.</w:t>
      </w:r>
    </w:p>
    <w:p w14:paraId="4844384D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rPr>
          <w:b/>
          <w:bCs/>
        </w:rPr>
        <w:t xml:space="preserve">Talento: </w:t>
      </w:r>
      <w:r>
        <w:t>el equipo de datos dedica el 60% de su tiempo a conciliar archivos a mano; dos analistas renunciaron en 12 meses. Y con Perú en 2027, cada país nuevo añadiría otros silos.</w:t>
      </w:r>
    </w:p>
    <w:p w14:paraId="7C30C0D4" w14:textId="77777777" w:rsidR="001013FD" w:rsidRDefault="00000000">
      <w:pPr>
        <w:pStyle w:val="Ttulo3"/>
        <w:keepNext/>
        <w:spacing w:before="160" w:after="70"/>
      </w:pPr>
      <w:r>
        <w:t>Restricciones que no se pueden ignorar</w:t>
      </w:r>
    </w:p>
    <w:p w14:paraId="75628391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Los sistemas fuente no se pueden rediseñar: el proveedor externo de la plataforma de pedidos no autoriza cambios ni migraciones.</w:t>
      </w:r>
    </w:p>
    <w:p w14:paraId="5F5E49EF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>Aplican la Ley 1581 y la facturación electrónica. El equipo de datos domina SQL y BI, pero no la ingeniería de datos distribuida avanzada.</w:t>
      </w:r>
    </w:p>
    <w:p w14:paraId="3F474432" w14:textId="77777777" w:rsidR="001013FD" w:rsidRDefault="00000000">
      <w:pPr>
        <w:pStyle w:val="Prrafodelista"/>
        <w:numPr>
          <w:ilvl w:val="0"/>
          <w:numId w:val="2"/>
        </w:numPr>
        <w:spacing w:after="60" w:line="270" w:lineRule="auto"/>
      </w:pPr>
      <w:r>
        <w:t xml:space="preserve">El presupuesto aprobado para implementación es de </w:t>
      </w:r>
      <w:r>
        <w:rPr>
          <w:b/>
          <w:bCs/>
        </w:rPr>
        <w:t>COP 1.500 millones</w:t>
      </w:r>
      <w:r>
        <w:t xml:space="preserve"> (dato del caso).</w:t>
      </w:r>
    </w:p>
    <w:p w14:paraId="2C0FFAFF" w14:textId="77777777" w:rsidR="001013FD" w:rsidRDefault="00000000">
      <w:pPr>
        <w:spacing w:before="100" w:line="260" w:lineRule="auto"/>
      </w:pPr>
      <w:r>
        <w:rPr>
          <w:b/>
          <w:bCs/>
        </w:rPr>
        <w:t xml:space="preserve">Pregunta de decisión: </w:t>
      </w:r>
      <w:r>
        <w:t>la junta pide una recomendación. ¿Qué arquitectura recomiendan, cuánto costaría, y qué validarían antes de comprometer el presupuesto completo?</w:t>
      </w:r>
    </w:p>
    <w:p w14:paraId="7C1CD164" w14:textId="77777777" w:rsidR="001013FD" w:rsidRDefault="00000000">
      <w:pPr>
        <w:pStyle w:val="Ttulo2"/>
        <w:keepNext/>
        <w:pageBreakBefore/>
        <w:spacing w:after="40"/>
      </w:pPr>
      <w:r>
        <w:lastRenderedPageBreak/>
        <w:t>Opciones de arquitectura y costos</w:t>
      </w:r>
    </w:p>
    <w:p w14:paraId="7899D17A" w14:textId="77777777" w:rsidR="001013FD" w:rsidRDefault="001013FD">
      <w:pPr>
        <w:keepNext/>
        <w:pBdr>
          <w:bottom w:val="single" w:sz="18" w:space="1" w:color="C7A925"/>
        </w:pBdr>
        <w:spacing w:after="140"/>
        <w:ind w:right="7660"/>
      </w:pPr>
    </w:p>
    <w:p w14:paraId="40062198" w14:textId="77777777" w:rsidR="001013FD" w:rsidRDefault="00000000">
      <w:pPr>
        <w:spacing w:after="80"/>
      </w:pPr>
      <w:r>
        <w:rPr>
          <w:b/>
          <w:bCs/>
          <w:sz w:val="17"/>
          <w:szCs w:val="17"/>
        </w:rPr>
        <w:t xml:space="preserve">Todos los valores están en pesos colombianos. </w:t>
      </w:r>
      <w:r>
        <w:rPr>
          <w:color w:val="666666"/>
          <w:sz w:val="17"/>
          <w:szCs w:val="17"/>
        </w:rPr>
        <w:t>El costo de implementación es un dato del caso; el costo anual de operación es una estimación de apoyo. Revisen con cuidado cuál es cuál.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50"/>
        <w:gridCol w:w="1950"/>
        <w:gridCol w:w="1800"/>
        <w:gridCol w:w="2200"/>
        <w:gridCol w:w="2260"/>
      </w:tblGrid>
      <w:tr w:rsidR="001013FD" w14:paraId="735FBC2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64389D4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Opción</w:t>
            </w:r>
          </w:p>
        </w:tc>
        <w:tc>
          <w:tcPr>
            <w:tcW w:w="19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0B5A0A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Descripción</w:t>
            </w:r>
          </w:p>
        </w:tc>
        <w:tc>
          <w:tcPr>
            <w:tcW w:w="18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68A0B2C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Ventajas</w:t>
            </w:r>
          </w:p>
        </w:tc>
        <w:tc>
          <w:tcPr>
            <w:tcW w:w="22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8DB7326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Riesgos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D3C50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Costo aproximado</w:t>
            </w:r>
          </w:p>
        </w:tc>
      </w:tr>
      <w:tr w:rsidR="001013FD" w14:paraId="5415E8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C1FE02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sz w:val="26"/>
                <w:szCs w:val="26"/>
              </w:rPr>
              <w:t>A</w:t>
            </w:r>
          </w:p>
          <w:p w14:paraId="3F3A6479" w14:textId="77777777" w:rsidR="001013FD" w:rsidRDefault="00000000">
            <w:pPr>
              <w:spacing w:after="50" w:line="250" w:lineRule="auto"/>
            </w:pPr>
            <w:r>
              <w:rPr>
                <w:b/>
                <w:bCs/>
                <w:sz w:val="15"/>
                <w:szCs w:val="15"/>
              </w:rPr>
              <w:t>Centralizar en Azure</w:t>
            </w:r>
          </w:p>
        </w:tc>
        <w:tc>
          <w:tcPr>
            <w:tcW w:w="19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2D5651" w14:textId="77777777" w:rsidR="001013FD" w:rsidRDefault="00000000">
            <w:pPr>
              <w:spacing w:after="50" w:line="250" w:lineRule="auto"/>
            </w:pPr>
            <w:r>
              <w:rPr>
                <w:sz w:val="18"/>
                <w:szCs w:val="18"/>
              </w:rPr>
              <w:t>Llevar todos los datos a Azure, aprovechando el ERP y el contrato vigente. Hay que mover la telemetría de AWS y los pedidos de Google Cloud.</w:t>
            </w:r>
          </w:p>
        </w:tc>
        <w:tc>
          <w:tcPr>
            <w:tcW w:w="18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552B87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Un solo contrato principal.</w:t>
            </w:r>
          </w:p>
          <w:p w14:paraId="1A73CC89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Aprovecha el ERP existente.</w:t>
            </w:r>
          </w:p>
        </w:tc>
        <w:tc>
          <w:tcPr>
            <w:tcW w:w="22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7A6C39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La plataforma de pedidos es de un proveedor externo que no autoriza migraciones.</w:t>
            </w:r>
          </w:p>
          <w:p w14:paraId="5E96B959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Mover la telemetría añade riesgo de latencia.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75161B9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F2F2F2"/>
              </w:rPr>
              <w:t xml:space="preserve"> HECHO DEL CASO </w:t>
            </w:r>
          </w:p>
          <w:p w14:paraId="681EE09A" w14:textId="77777777" w:rsidR="001013FD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Implementación: COP 1.600 millones.</w:t>
            </w:r>
          </w:p>
          <w:p w14:paraId="039B7174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C7A925"/>
              </w:rPr>
              <w:t xml:space="preserve"> ESTIMACIÓN DIDÁCTICA </w:t>
            </w:r>
          </w:p>
          <w:p w14:paraId="7D5C2C21" w14:textId="77777777" w:rsidR="001013FD" w:rsidRDefault="00000000">
            <w:pPr>
              <w:spacing w:after="50" w:line="250" w:lineRule="auto"/>
            </w:pPr>
            <w:r>
              <w:rPr>
                <w:sz w:val="18"/>
                <w:szCs w:val="18"/>
              </w:rPr>
              <w:t>Operación: COP 1.500 millones al año.</w:t>
            </w:r>
          </w:p>
        </w:tc>
      </w:tr>
      <w:tr w:rsidR="001013FD" w14:paraId="2A3EF9C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8AE91E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sz w:val="26"/>
                <w:szCs w:val="26"/>
              </w:rPr>
              <w:t>B</w:t>
            </w:r>
          </w:p>
          <w:p w14:paraId="571E024F" w14:textId="77777777" w:rsidR="001013FD" w:rsidRDefault="00000000">
            <w:pPr>
              <w:spacing w:after="50" w:line="250" w:lineRule="auto"/>
            </w:pPr>
            <w:r>
              <w:rPr>
                <w:b/>
                <w:bCs/>
                <w:sz w:val="15"/>
                <w:szCs w:val="15"/>
              </w:rPr>
              <w:t>Centralizar en Google Cloud</w:t>
            </w:r>
          </w:p>
        </w:tc>
        <w:tc>
          <w:tcPr>
            <w:tcW w:w="19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54B6572" w14:textId="77777777" w:rsidR="001013FD" w:rsidRDefault="00000000">
            <w:pPr>
              <w:spacing w:after="50" w:line="250" w:lineRule="auto"/>
            </w:pPr>
            <w:r>
              <w:rPr>
                <w:sz w:val="18"/>
                <w:szCs w:val="18"/>
              </w:rPr>
              <w:t>Usar Google Cloud como centro analítico y traer allí los datos de AWS y Azure mediante conectores.</w:t>
            </w:r>
          </w:p>
        </w:tc>
        <w:tc>
          <w:tcPr>
            <w:tcW w:w="18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87F8A9A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Muy buena capacidad analítica.</w:t>
            </w:r>
          </w:p>
          <w:p w14:paraId="3FF4F4A9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Ya aloja los datos de clientes.</w:t>
            </w:r>
          </w:p>
        </w:tc>
        <w:tc>
          <w:tcPr>
            <w:tcW w:w="22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5AD282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Menos de la mitad de las fuentes de alto volumen está allí.</w:t>
            </w:r>
          </w:p>
          <w:p w14:paraId="3E4A9A45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El equipo no tiene experiencia en esa plataforma.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F0D2920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F2F2F2"/>
              </w:rPr>
              <w:t xml:space="preserve"> HECHO DEL CASO </w:t>
            </w:r>
          </w:p>
          <w:p w14:paraId="46EF8538" w14:textId="77777777" w:rsidR="001013FD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Implementación: COP 1.450 millones.</w:t>
            </w:r>
          </w:p>
          <w:p w14:paraId="6DD691F4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C7A925"/>
              </w:rPr>
              <w:t xml:space="preserve"> ESTIMACIÓN DIDÁCTICA </w:t>
            </w:r>
          </w:p>
          <w:p w14:paraId="5BAA2AF6" w14:textId="77777777" w:rsidR="001013FD" w:rsidRDefault="00000000">
            <w:pPr>
              <w:spacing w:after="50" w:line="250" w:lineRule="auto"/>
            </w:pPr>
            <w:r>
              <w:rPr>
                <w:sz w:val="18"/>
                <w:szCs w:val="18"/>
              </w:rPr>
              <w:t>Operación: COP 1.300 millones al año.</w:t>
            </w:r>
          </w:p>
        </w:tc>
      </w:tr>
      <w:tr w:rsidR="001013FD" w14:paraId="7613466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D0236E4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sz w:val="26"/>
                <w:szCs w:val="26"/>
              </w:rPr>
              <w:t>C</w:t>
            </w:r>
          </w:p>
          <w:p w14:paraId="6900A79C" w14:textId="77777777" w:rsidR="001013FD" w:rsidRDefault="00000000">
            <w:pPr>
              <w:spacing w:after="50" w:line="250" w:lineRule="auto"/>
            </w:pPr>
            <w:r>
              <w:rPr>
                <w:b/>
                <w:bCs/>
                <w:sz w:val="15"/>
                <w:szCs w:val="15"/>
              </w:rPr>
              <w:t>Plataforma de datos de terceros</w:t>
            </w:r>
          </w:p>
        </w:tc>
        <w:tc>
          <w:tcPr>
            <w:tcW w:w="19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2B0342" w14:textId="77777777" w:rsidR="001013FD" w:rsidRDefault="00000000">
            <w:pPr>
              <w:spacing w:after="50" w:line="250" w:lineRule="auto"/>
            </w:pPr>
            <w:r>
              <w:rPr>
                <w:sz w:val="18"/>
                <w:szCs w:val="18"/>
              </w:rPr>
              <w:t xml:space="preserve">Contratar una plataforma de datos </w:t>
            </w:r>
            <w:proofErr w:type="spellStart"/>
            <w:r>
              <w:rPr>
                <w:sz w:val="18"/>
                <w:szCs w:val="18"/>
              </w:rPr>
              <w:t>multicloud</w:t>
            </w:r>
            <w:proofErr w:type="spellEnd"/>
            <w:r>
              <w:rPr>
                <w:sz w:val="18"/>
                <w:szCs w:val="18"/>
              </w:rPr>
              <w:t xml:space="preserve"> de un tercero, independiente de la nube de origen.</w:t>
            </w:r>
          </w:p>
        </w:tc>
        <w:tc>
          <w:tcPr>
            <w:tcW w:w="18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228D0EB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Implementación rápida.</w:t>
            </w:r>
          </w:p>
          <w:p w14:paraId="52E3AE52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No depende de una nube en particular.</w:t>
            </w:r>
          </w:p>
        </w:tc>
        <w:tc>
          <w:tcPr>
            <w:tcW w:w="22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3A36FA9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Licenciamiento por consumo: el costo crece con el volumen de datos.</w:t>
            </w:r>
          </w:p>
          <w:p w14:paraId="2FFF6124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Agrega un proveedor más.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3E6523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F2F2F2"/>
              </w:rPr>
              <w:t xml:space="preserve"> HECHO DEL CASO </w:t>
            </w:r>
          </w:p>
          <w:p w14:paraId="3BBADF5C" w14:textId="77777777" w:rsidR="001013FD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Implementación: COP 900 millones.</w:t>
            </w:r>
          </w:p>
          <w:p w14:paraId="0B1798A1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C7A925"/>
              </w:rPr>
              <w:t xml:space="preserve"> ESTIMACIÓN DIDÁCTICA </w:t>
            </w:r>
          </w:p>
          <w:p w14:paraId="2347018D" w14:textId="77777777" w:rsidR="001013FD" w:rsidRDefault="00000000">
            <w:pPr>
              <w:spacing w:after="50" w:line="250" w:lineRule="auto"/>
            </w:pPr>
            <w:r>
              <w:rPr>
                <w:sz w:val="18"/>
                <w:szCs w:val="18"/>
              </w:rPr>
              <w:t>Operación: COP 3.000 millones al año.</w:t>
            </w:r>
          </w:p>
        </w:tc>
      </w:tr>
      <w:tr w:rsidR="001013FD" w14:paraId="492CC6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C7FCE01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sz w:val="26"/>
                <w:szCs w:val="26"/>
              </w:rPr>
              <w:t>D</w:t>
            </w:r>
          </w:p>
          <w:p w14:paraId="2E0EE33E" w14:textId="77777777" w:rsidR="001013FD" w:rsidRDefault="00000000">
            <w:pPr>
              <w:spacing w:after="50" w:line="250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Lakehouse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en AWS sin migrar fuentes</w:t>
            </w:r>
          </w:p>
        </w:tc>
        <w:tc>
          <w:tcPr>
            <w:tcW w:w="19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308410" w14:textId="77777777" w:rsidR="001013FD" w:rsidRDefault="00000000">
            <w:pPr>
              <w:spacing w:after="50" w:line="250" w:lineRule="auto"/>
            </w:pPr>
            <w:r>
              <w:rPr>
                <w:sz w:val="18"/>
                <w:szCs w:val="18"/>
              </w:rPr>
              <w:t xml:space="preserve">Almacenar en AWS, donde nace la telemetría, con formato de tabla abierto. Ingesta por </w:t>
            </w:r>
            <w:proofErr w:type="spellStart"/>
            <w:r>
              <w:rPr>
                <w:sz w:val="18"/>
                <w:szCs w:val="18"/>
              </w:rPr>
              <w:t>streaming</w:t>
            </w:r>
            <w:proofErr w:type="spellEnd"/>
            <w:r>
              <w:rPr>
                <w:sz w:val="18"/>
                <w:szCs w:val="18"/>
              </w:rPr>
              <w:t xml:space="preserve"> desde la flota y conectores desde Azure y Google Cloud.</w:t>
            </w:r>
          </w:p>
        </w:tc>
        <w:tc>
          <w:tcPr>
            <w:tcW w:w="18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C4718AE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No requiere mover ningún sistema fuente.</w:t>
            </w:r>
          </w:p>
          <w:p w14:paraId="0E8A8DE7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Concentra el almacenamiento donde hay más eventos.</w:t>
            </w:r>
          </w:p>
        </w:tc>
        <w:tc>
          <w:tcPr>
            <w:tcW w:w="22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727D5A" w14:textId="77777777" w:rsidR="001013FD" w:rsidRDefault="00000000">
            <w:pPr>
              <w:pStyle w:val="Prrafodelista"/>
              <w:numPr>
                <w:ilvl w:val="0"/>
                <w:numId w:val="3"/>
              </w:numPr>
              <w:spacing w:after="40" w:line="246" w:lineRule="auto"/>
            </w:pPr>
            <w:r>
              <w:rPr>
                <w:sz w:val="18"/>
                <w:szCs w:val="18"/>
              </w:rPr>
              <w:t>El caso no declara riesgos. Identifíquenlos ustedes: ¿qué pasa con los datos que salen de Azure y de Google Cloud, y con la API del proveedor de pedidos?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73FECDD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F2F2F2"/>
              </w:rPr>
              <w:t xml:space="preserve"> HECHO DEL CASO </w:t>
            </w:r>
          </w:p>
          <w:p w14:paraId="1A6ECE34" w14:textId="77777777" w:rsidR="001013FD" w:rsidRDefault="00000000">
            <w:pPr>
              <w:spacing w:after="40" w:line="250" w:lineRule="auto"/>
            </w:pPr>
            <w:r>
              <w:rPr>
                <w:sz w:val="18"/>
                <w:szCs w:val="18"/>
              </w:rPr>
              <w:t>Implementación en 3 fases: COP 420 millones (meses 1-3) + COP 500 millones (meses 4-7) + COP 330 millones (meses 8-12) = COP 1.250 millones.</w:t>
            </w:r>
          </w:p>
          <w:p w14:paraId="27E9544B" w14:textId="77777777" w:rsidR="001013FD" w:rsidRDefault="00000000">
            <w:pPr>
              <w:spacing w:after="20" w:line="250" w:lineRule="auto"/>
            </w:pPr>
            <w:r>
              <w:rPr>
                <w:b/>
                <w:bCs/>
                <w:color w:val="000000"/>
                <w:sz w:val="15"/>
                <w:szCs w:val="15"/>
                <w:shd w:val="clear" w:color="auto" w:fill="C7A925"/>
              </w:rPr>
              <w:t xml:space="preserve"> ESTIMACIÓN DIDÁCTICA </w:t>
            </w:r>
          </w:p>
          <w:p w14:paraId="3D538BF3" w14:textId="77777777" w:rsidR="001013FD" w:rsidRDefault="00000000">
            <w:pPr>
              <w:spacing w:after="50" w:line="250" w:lineRule="auto"/>
            </w:pPr>
            <w:r>
              <w:rPr>
                <w:sz w:val="18"/>
                <w:szCs w:val="18"/>
              </w:rPr>
              <w:t>Operación: COP 1.200 millones al año.</w:t>
            </w:r>
          </w:p>
        </w:tc>
      </w:tr>
    </w:tbl>
    <w:p w14:paraId="55D3013B" w14:textId="77777777" w:rsidR="001013FD" w:rsidRDefault="00000000">
      <w:pPr>
        <w:pStyle w:val="Ttulo2"/>
        <w:keepNext/>
        <w:pageBreakBefore/>
        <w:spacing w:after="40"/>
      </w:pPr>
      <w:r>
        <w:lastRenderedPageBreak/>
        <w:t>Matriz de decisión</w:t>
      </w:r>
    </w:p>
    <w:p w14:paraId="1AE32A13" w14:textId="77777777" w:rsidR="001013FD" w:rsidRDefault="001013FD">
      <w:pPr>
        <w:keepNext/>
        <w:pBdr>
          <w:bottom w:val="single" w:sz="18" w:space="1" w:color="C7A925"/>
        </w:pBdr>
        <w:spacing w:after="140"/>
        <w:ind w:right="7660"/>
      </w:pPr>
    </w:p>
    <w:p w14:paraId="17D1D520" w14:textId="77777777" w:rsidR="001013FD" w:rsidRDefault="00000000">
      <w:pPr>
        <w:pStyle w:val="Ttulo3"/>
        <w:keepNext/>
        <w:spacing w:before="40" w:after="70"/>
      </w:pPr>
      <w:r>
        <w:t>Paso 1. Criterios no negociables (filtro)</w:t>
      </w:r>
    </w:p>
    <w:p w14:paraId="67E9E545" w14:textId="77777777" w:rsidR="001013FD" w:rsidRDefault="00000000">
      <w:pPr>
        <w:spacing w:after="80" w:line="276" w:lineRule="auto"/>
      </w:pPr>
      <w:r>
        <w:rPr>
          <w:sz w:val="20"/>
          <w:szCs w:val="20"/>
        </w:rPr>
        <w:t>Marquen ✔ (cumple), ✘ (no cumple) o ? (no se puede saber con los datos del caso). Una sola ✘ elimina la opción. Cada ? debe aparecer después como algo por validar.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360"/>
        <w:gridCol w:w="1250"/>
        <w:gridCol w:w="1250"/>
        <w:gridCol w:w="1250"/>
        <w:gridCol w:w="1250"/>
      </w:tblGrid>
      <w:tr w:rsidR="001013FD" w14:paraId="29D8D57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0D6E32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Criterio no negociable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493DBF" w14:textId="77777777" w:rsidR="001013FD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5D28A19" w14:textId="77777777" w:rsidR="001013FD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08C662" w14:textId="77777777" w:rsidR="001013FD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AF8D9F" w14:textId="77777777" w:rsidR="001013FD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</w:t>
            </w:r>
          </w:p>
        </w:tc>
      </w:tr>
      <w:tr w:rsidR="001013FD" w14:paraId="69D0C9E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4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1313B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 xml:space="preserve">1. Integración con AWS </w:t>
            </w:r>
            <w:proofErr w:type="spellStart"/>
            <w:r>
              <w:rPr>
                <w:sz w:val="18"/>
                <w:szCs w:val="18"/>
              </w:rPr>
              <w:t>IoT</w:t>
            </w:r>
            <w:proofErr w:type="spellEnd"/>
            <w:r>
              <w:rPr>
                <w:sz w:val="18"/>
                <w:szCs w:val="18"/>
              </w:rPr>
              <w:t xml:space="preserve"> Core, el ERP en Azure y la plataforma de pedidos en Google Cloud, sin rediseñar ni migrar los sistemas fuente.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D4A94D4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✘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exige migrar pedidos (proveedor no lo permite)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3C4E2C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✔ / 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conectores; depende de API del proveedor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8FE0ED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no se describe la integración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7B4AFFF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conectores; depende de API del proveedor</w:t>
            </w:r>
          </w:p>
        </w:tc>
      </w:tr>
      <w:tr w:rsidR="001013FD" w14:paraId="50FD2E6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4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DEEEA7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2. Cumplimiento de la Ley 1581 y soporte de las obligaciones de facturación electrónica.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762B93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sin datos; validar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727500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sin datos; validar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9FF6F98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tercero adicional; validar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768F7F4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sin datos; validar</w:t>
            </w:r>
          </w:p>
        </w:tc>
      </w:tr>
      <w:tr w:rsidR="001013FD" w14:paraId="64D25D87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4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E9C1F8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3. Disponibilidad mínima del 99,5% en el componente de consulta analítica.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1C3026F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sin datos de SLA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415721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sin datos de SLA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2B8821A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sin datos de SLA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B63F59E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?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sin datos de SLA</w:t>
            </w:r>
          </w:p>
        </w:tc>
      </w:tr>
      <w:tr w:rsidR="001013FD" w14:paraId="6DDD5E5D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4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5AE78B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4. Costo anual de operación menor al 1,0% de la facturación (COP 2.400 millones al año).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B71C817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✔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1.500 M (est.)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15F94B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✔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1.300 M (est.)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1096B0B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✘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3.000 M &gt; 2.400 M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5C52B3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✔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1.200 M (est.)</w:t>
            </w:r>
          </w:p>
        </w:tc>
      </w:tr>
      <w:tr w:rsidR="001013FD" w14:paraId="4F7D68C9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4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079FE9C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5. Costo de implementación dentro del presupuesto aprobado (COP 1.500 millones).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3298502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✘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1.600 M &gt; 1.500 M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E06B81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✔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1.450 M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88FC2A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✔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900 M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83EE253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✔</w:t>
            </w:r>
          </w:p>
          <w:p>
            <w:pPr>
              <w:jc w:val="center"/>
            </w:pPr>
            <w:r>
              <w:rPr>
                <w:color w:val="1F3864"/>
                <w:sz w:val="16"/>
              </w:rPr>
              <w:t>1.250 M</w:t>
            </w:r>
          </w:p>
        </w:tc>
      </w:tr>
      <w:tr w:rsidR="001013FD" w14:paraId="707915E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4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929D0AC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¿Pasa el filtro? (Sí / No / A validar)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370E4E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No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F2CAC89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A validar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FE3FAAE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No</w:t>
            </w:r>
          </w:p>
        </w:tc>
        <w:tc>
          <w:tcPr>
            <w:tcW w:w="1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14C93E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6"/>
              </w:rPr>
              <w:t>A validar</w:t>
            </w:r>
          </w:p>
        </w:tc>
      </w:tr>
    </w:tbl>
    <w:p w14:paraId="70494814" w14:textId="77777777" w:rsidR="001013FD" w:rsidRDefault="00000000">
      <w:pPr>
        <w:pStyle w:val="Ttulo3"/>
        <w:keepNext/>
        <w:spacing w:before="220" w:after="70"/>
      </w:pPr>
      <w:r>
        <w:t>Paso 2. Criterios de preferencia (puntaje ponderado)</w:t>
      </w:r>
    </w:p>
    <w:p w14:paraId="465F2452" w14:textId="77777777" w:rsidR="001013FD" w:rsidRDefault="00000000">
      <w:pPr>
        <w:spacing w:after="80" w:line="276" w:lineRule="auto"/>
      </w:pPr>
      <w:r>
        <w:rPr>
          <w:sz w:val="20"/>
          <w:szCs w:val="20"/>
        </w:rPr>
        <w:t>Asignen un peso a cada criterio (la suma debe ser 100%) y califiquen cada opción de 1 (muy mal) a 5 (muy bien). Puntaje ponderado = suma de (peso × calificación) ÷ 100. Solo puntúen las opciones que pasaron el filtro.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60"/>
        <w:gridCol w:w="900"/>
        <w:gridCol w:w="1125"/>
        <w:gridCol w:w="1125"/>
        <w:gridCol w:w="1125"/>
        <w:gridCol w:w="1125"/>
      </w:tblGrid>
      <w:tr w:rsidR="001013FD" w14:paraId="1B6ED3A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013DC6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8"/>
                <w:szCs w:val="18"/>
              </w:rPr>
              <w:t>Criterio de preferencia</w:t>
            </w:r>
          </w:p>
        </w:tc>
        <w:tc>
          <w:tcPr>
            <w:tcW w:w="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9ABA28F" w14:textId="77777777" w:rsidR="001013FD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Peso %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880252" w14:textId="77777777" w:rsidR="001013FD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A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CDCA5F" w14:textId="77777777" w:rsidR="001013FD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B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5D97C65" w14:textId="77777777" w:rsidR="001013FD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C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3861F63" w14:textId="77777777" w:rsidR="001013FD" w:rsidRDefault="00000000">
            <w:pPr>
              <w:spacing w:line="252" w:lineRule="auto"/>
              <w:jc w:val="center"/>
            </w:pPr>
            <w:r>
              <w:rPr>
                <w:b/>
                <w:bCs/>
                <w:color w:val="000000"/>
                <w:sz w:val="18"/>
                <w:szCs w:val="18"/>
              </w:rPr>
              <w:t>D</w:t>
            </w:r>
          </w:p>
        </w:tc>
      </w:tr>
      <w:tr w:rsidR="001013FD" w14:paraId="30C7F421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9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B9D050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Latencia menor a 10 minutos para la ubicación de la flota.</w:t>
            </w:r>
          </w:p>
        </w:tc>
        <w:tc>
          <w:tcPr>
            <w:tcW w:w="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479341A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30%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09545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—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4FB715F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2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394CB5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—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A40BE0E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5</w:t>
            </w:r>
          </w:p>
        </w:tc>
      </w:tr>
      <w:tr w:rsidR="001013FD" w14:paraId="2C41AF05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9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1ED760D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Self-service para despachadores y usuarios no técnicos.</w:t>
            </w:r>
          </w:p>
        </w:tc>
        <w:tc>
          <w:tcPr>
            <w:tcW w:w="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D67EF5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15%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D13340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—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CA82294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4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94332B4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—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1FCD9F1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4</w:t>
            </w:r>
          </w:p>
        </w:tc>
      </w:tr>
      <w:tr w:rsidR="001013FD" w14:paraId="1608DB20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9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E41CB1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Facilidad de incorporar nuevos países (Perú) sin rediseñar la base.</w:t>
            </w:r>
          </w:p>
        </w:tc>
        <w:tc>
          <w:tcPr>
            <w:tcW w:w="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02DB640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15%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4B58A25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—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3817F90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4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A079427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—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CB51AA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5</w:t>
            </w:r>
          </w:p>
        </w:tc>
      </w:tr>
      <w:tr w:rsidR="001013FD" w14:paraId="7BE5271A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9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CCB1178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Costo total (implementación + operación).</w:t>
            </w:r>
          </w:p>
          <w:p>
            <w:r>
              <w:rPr>
                <w:color w:val="1F3864"/>
                <w:sz w:val="15"/>
              </w:rPr>
              <w:t>TCO 3 años: A 6.100 · B 5.350 · C 9.900 · D 4.850 M</w:t>
            </w:r>
          </w:p>
        </w:tc>
        <w:tc>
          <w:tcPr>
            <w:tcW w:w="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56A274C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20%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726E72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—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503CB1B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3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D938D6B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—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A52E12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4</w:t>
            </w:r>
          </w:p>
        </w:tc>
      </w:tr>
      <w:tr w:rsidR="001013FD" w14:paraId="30B7183F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9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1A03FD" w14:textId="77777777" w:rsidR="001013FD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Riesgo de ejecución: talento disponible, proveedores y curva de aprendizaje.</w:t>
            </w:r>
          </w:p>
        </w:tc>
        <w:tc>
          <w:tcPr>
            <w:tcW w:w="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E17B7D4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20%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F445AF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—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24C94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2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E082F0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—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20BFB5E" w14:textId="77777777" w:rsidR="001013FD" w:rsidRDefault="001013FD">
            <w:pPr>
              <w:spacing w:line="252" w:lineRule="auto"/>
              <w:jc w:val="center"/>
            </w:pPr>
            <w:r>
              <w:rPr>
                <w:color w:val="1F3864"/>
                <w:sz w:val="18"/>
              </w:rPr>
              <w:t>3</w:t>
            </w:r>
          </w:p>
        </w:tc>
      </w:tr>
      <w:tr w:rsidR="001013FD" w14:paraId="0223D774" w14:textId="77777777">
        <w:tblPrEx>
          <w:tblCellMar>
            <w:top w:w="0" w:type="dxa"/>
            <w:bottom w:w="0" w:type="dxa"/>
          </w:tblCellMar>
        </w:tblPrEx>
        <w:trPr>
          <w:cantSplit/>
          <w:trHeight w:val="400"/>
        </w:trPr>
        <w:tc>
          <w:tcPr>
            <w:tcW w:w="39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B29ED38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Puntaje ponderado total</w:t>
            </w:r>
          </w:p>
        </w:tc>
        <w:tc>
          <w:tcPr>
            <w:tcW w:w="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E705D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8"/>
                <w:szCs w:val="18"/>
              </w:rPr>
              <w:t>100%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94C5F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8"/>
              </w:rPr>
              <w:t>Eliminada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4E38EE9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8"/>
              </w:rPr>
              <w:t>2,80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8EE558A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8"/>
              </w:rPr>
              <w:t>Eliminada</w:t>
            </w:r>
          </w:p>
        </w:tc>
        <w:tc>
          <w:tcPr>
            <w:tcW w:w="1125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546142" w14:textId="77777777" w:rsidR="001013FD" w:rsidRDefault="001013FD">
            <w:pPr>
              <w:spacing w:line="252" w:lineRule="auto"/>
              <w:jc w:val="center"/>
            </w:pPr>
            <w:r>
              <w:rPr>
                <w:b/>
                <w:color w:val="1F3864"/>
                <w:sz w:val="18"/>
              </w:rPr>
              <w:t>4,25</w:t>
            </w:r>
          </w:p>
        </w:tc>
      </w:tr>
    </w:tbl>
    <w:p w14:paraId="340D32A4" w14:textId="77777777" w:rsidR="001013FD" w:rsidRDefault="001013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3FD" w14:paraId="7F238C87" w14:textId="77777777">
        <w:tblPrEx>
          <w:tblCellMar>
            <w:top w:w="0" w:type="dxa"/>
            <w:bottom w:w="0" w:type="dxa"/>
          </w:tblCellMar>
        </w:tblPrEx>
        <w:trPr>
          <w:cantSplit/>
          <w:trHeight w:val="1100"/>
        </w:trPr>
        <w:tc>
          <w:tcPr>
            <w:tcW w:w="9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95C8B94" w14:textId="77777777" w:rsidR="001013FD" w:rsidRDefault="00000000">
            <w:r>
              <w:rPr>
                <w:b/>
                <w:bCs/>
                <w:sz w:val="18"/>
                <w:szCs w:val="18"/>
              </w:rPr>
              <w:t>Decisión del equipo y justificación (máximo 6 líneas)</w:t>
            </w:r>
          </w:p>
          <w:p w14:paraId="6E63A0FA" w14:textId="77777777" w:rsidR="001013FD" w:rsidRDefault="00000000">
            <w:pPr>
              <w:spacing w:before="20"/>
            </w:pPr>
            <w:r>
              <w:rPr>
                <w:i/>
                <w:iCs/>
                <w:color w:val="666666"/>
                <w:sz w:val="16"/>
                <w:szCs w:val="16"/>
              </w:rPr>
              <w:t>Indiquen la opción elegida, el criterio que más pesó y por qué descartaron las otras.</w:t>
            </w:r>
          </w:p>
          <w:p>
            <w:r>
              <w:rPr>
                <w:color w:val="1F3864"/>
                <w:sz w:val="18"/>
              </w:rPr>
              <w:t>Elegimos D (Lakehouse en AWS). Pesó más la latencia de la flota (30%): el GPS, la fuente de mayor volumen, nace en AWS y no tiene que viajar entre nubes. A se descarta porque excede el presupuesto (1.600 &gt; 1.500 M) y obliga a migrar pedidos; C, porque su operación (3.000 M/año) supera el límite de 2.400 M. B pasa el filtro, pero obtiene 2,80 frente a 4,25: mueve el dato más voluminoso, el equipo no conoce GCP y su TCO a 3 años es mayor (5.350 vs. 4.850 M).</w:t>
            </w:r>
          </w:p>
        </w:tc>
      </w:tr>
    </w:tbl>
    <w:p w14:paraId="11D32509" w14:textId="77777777" w:rsidR="001013FD" w:rsidRDefault="00000000">
      <w:pPr>
        <w:pStyle w:val="Ttulo2"/>
        <w:keepNext/>
        <w:pageBreakBefore/>
        <w:spacing w:after="40"/>
      </w:pPr>
      <w:r>
        <w:lastRenderedPageBreak/>
        <w:t>Diagrama de la arquitectura elegida</w:t>
      </w:r>
    </w:p>
    <w:p w14:paraId="6C4085D6" w14:textId="77777777" w:rsidR="001013FD" w:rsidRDefault="001013FD">
      <w:pPr>
        <w:keepNext/>
        <w:pBdr>
          <w:bottom w:val="single" w:sz="18" w:space="1" w:color="C7A925"/>
        </w:pBdr>
        <w:spacing w:after="140"/>
        <w:ind w:right="7660"/>
      </w:pPr>
    </w:p>
    <w:p w14:paraId="025B4C18" w14:textId="77777777" w:rsidR="001013FD" w:rsidRDefault="00000000">
      <w:pPr>
        <w:spacing w:after="90" w:line="276" w:lineRule="auto"/>
      </w:pPr>
      <w:r>
        <w:t>Dibujen la arquitectura de la opción que eligieron, de izquierda a derecha, sobre la plantilla siguiente o en una herramienta digital (PowerPoint, draw.io, etc.). Después pueden pegar el resultado en este documento.</w:t>
      </w:r>
    </w:p>
    <w:p w14:paraId="0382F709" w14:textId="77777777" w:rsidR="001013FD" w:rsidRDefault="00000000">
      <w:pPr>
        <w:pStyle w:val="Ttulo3"/>
        <w:keepNext/>
        <w:spacing w:before="60" w:after="70"/>
      </w:pPr>
      <w:r>
        <w:t>Elementos mínimos que debe contener</w:t>
      </w:r>
    </w:p>
    <w:p w14:paraId="524BBE3B" w14:textId="77777777" w:rsidR="001013FD" w:rsidRDefault="00000000">
      <w:pPr>
        <w:pStyle w:val="Prrafodelista"/>
        <w:numPr>
          <w:ilvl w:val="0"/>
          <w:numId w:val="2"/>
        </w:numPr>
        <w:spacing w:after="40" w:line="270" w:lineRule="auto"/>
      </w:pPr>
      <w:r>
        <w:t>Las tres fuentes de datos (AWS, Azure, Google Cloud) y el sentido de cada flujo con flechas.</w:t>
      </w:r>
    </w:p>
    <w:p w14:paraId="3ECDC37B" w14:textId="77777777" w:rsidR="001013FD" w:rsidRDefault="00000000">
      <w:pPr>
        <w:pStyle w:val="Prrafodelista"/>
        <w:numPr>
          <w:ilvl w:val="0"/>
          <w:numId w:val="2"/>
        </w:numPr>
        <w:spacing w:after="40" w:line="270" w:lineRule="auto"/>
      </w:pPr>
      <w:r>
        <w:t>El mecanismo de ingesta de cada fuente y la latencia o frecuencia esperada.</w:t>
      </w:r>
    </w:p>
    <w:p w14:paraId="76D12703" w14:textId="77777777" w:rsidR="001013FD" w:rsidRDefault="00000000">
      <w:pPr>
        <w:pStyle w:val="Prrafodelista"/>
        <w:numPr>
          <w:ilvl w:val="0"/>
          <w:numId w:val="2"/>
        </w:numPr>
        <w:spacing w:after="40" w:line="270" w:lineRule="auto"/>
      </w:pPr>
      <w:r>
        <w:t>El almacenamiento con sus zonas (crudo, limpio, listo para consumo) y el formato de tabla elegido.</w:t>
      </w:r>
    </w:p>
    <w:p w14:paraId="50D29C6B" w14:textId="77777777" w:rsidR="001013FD" w:rsidRDefault="00000000">
      <w:pPr>
        <w:pStyle w:val="Prrafodelista"/>
        <w:numPr>
          <w:ilvl w:val="0"/>
          <w:numId w:val="2"/>
        </w:numPr>
        <w:spacing w:after="40" w:line="270" w:lineRule="auto"/>
      </w:pPr>
      <w:r>
        <w:t xml:space="preserve">El procesamiento: dónde se limpian, </w:t>
      </w:r>
      <w:proofErr w:type="spellStart"/>
      <w:r>
        <w:t>deduplican</w:t>
      </w:r>
      <w:proofErr w:type="spellEnd"/>
      <w:r>
        <w:t xml:space="preserve"> y validan los datos.</w:t>
      </w:r>
    </w:p>
    <w:p w14:paraId="3AC79827" w14:textId="77777777" w:rsidR="001013FD" w:rsidRDefault="00000000">
      <w:pPr>
        <w:pStyle w:val="Prrafodelista"/>
        <w:numPr>
          <w:ilvl w:val="0"/>
          <w:numId w:val="2"/>
        </w:numPr>
        <w:spacing w:after="40" w:line="270" w:lineRule="auto"/>
      </w:pPr>
      <w:r>
        <w:t>El consumo, diferenciando al menos tres tipos de usuario: directivos, despachadores y equipo de datos.</w:t>
      </w:r>
    </w:p>
    <w:p w14:paraId="1624DD7F" w14:textId="77777777" w:rsidR="001013FD" w:rsidRDefault="00000000">
      <w:pPr>
        <w:pStyle w:val="Prrafodelista"/>
        <w:numPr>
          <w:ilvl w:val="0"/>
          <w:numId w:val="2"/>
        </w:numPr>
        <w:spacing w:after="40" w:line="270" w:lineRule="auto"/>
      </w:pPr>
      <w:r>
        <w:t>La gobernanza: catálogo de datos, calidad, control de acceso a datos personales y retención.</w:t>
      </w:r>
    </w:p>
    <w:p w14:paraId="1F521600" w14:textId="77777777" w:rsidR="001013FD" w:rsidRDefault="00000000">
      <w:pPr>
        <w:pStyle w:val="Prrafodelista"/>
        <w:numPr>
          <w:ilvl w:val="0"/>
          <w:numId w:val="2"/>
        </w:numPr>
        <w:spacing w:after="40" w:line="270" w:lineRule="auto"/>
      </w:pPr>
      <w:r>
        <w:t>Un título y una leyenda que expliquen colores o símbolos.</w:t>
      </w:r>
    </w:p>
    <w:p w14:paraId="2B22AEB4" w14:textId="77777777" w:rsidR="001013FD" w:rsidRDefault="001013FD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30"/>
        <w:gridCol w:w="7430"/>
      </w:tblGrid>
      <w:tr w:rsidR="001013FD" w14:paraId="4E086B7B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950BC6" w14:textId="77777777" w:rsidR="001013FD" w:rsidRDefault="00000000">
            <w:pPr>
              <w:spacing w:after="50" w:line="250" w:lineRule="auto"/>
            </w:pPr>
            <w:r>
              <w:rPr>
                <w:b/>
                <w:bCs/>
                <w:sz w:val="18"/>
                <w:szCs w:val="18"/>
              </w:rPr>
              <w:t>FUENTES</w:t>
            </w:r>
          </w:p>
        </w:tc>
        <w:tc>
          <w:tcPr>
            <w:tcW w:w="74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F1A9B6" w14:textId="77777777" w:rsidR="001013FD" w:rsidRDefault="00000000">
            <w:pPr>
              <w:spacing w:after="50" w:line="250" w:lineRule="auto"/>
            </w:pPr>
            <w:r>
              <w:rPr>
                <w:i/>
                <w:iCs/>
                <w:color w:val="666666"/>
                <w:sz w:val="15"/>
                <w:szCs w:val="15"/>
              </w:rPr>
              <w:t>Sistemas de origen y su nube.</w:t>
            </w:r>
          </w:p>
          <w:p>
            <w:r>
              <w:rPr>
                <w:color w:val="1F3864"/>
                <w:sz w:val="18"/>
              </w:rPr>
              <w:t>AWS IoT Core (GPS, rutas, mantenimiento) · Azure (ERP, facturación electrónica, nómina) · Google Cloud (pedidos y CRM del proveedor). Ninguna se migra.</w:t>
            </w:r>
          </w:p>
        </w:tc>
      </w:tr>
      <w:tr w:rsidR="001013FD" w14:paraId="34CBB772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1028A6" w14:textId="77777777" w:rsidR="001013FD" w:rsidRDefault="00000000">
            <w:pPr>
              <w:spacing w:after="50" w:line="250" w:lineRule="auto"/>
            </w:pPr>
            <w:r>
              <w:rPr>
                <w:b/>
                <w:bCs/>
                <w:sz w:val="18"/>
                <w:szCs w:val="18"/>
              </w:rPr>
              <w:t>INGESTA</w:t>
            </w:r>
          </w:p>
        </w:tc>
        <w:tc>
          <w:tcPr>
            <w:tcW w:w="74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42F69" w14:textId="77777777" w:rsidR="001013FD" w:rsidRDefault="00000000">
            <w:pPr>
              <w:spacing w:after="50" w:line="250" w:lineRule="auto"/>
            </w:pPr>
            <w:r>
              <w:rPr>
                <w:i/>
                <w:iCs/>
                <w:color w:val="666666"/>
                <w:sz w:val="15"/>
                <w:szCs w:val="15"/>
              </w:rPr>
              <w:t>Cómo llega el dato desde cada fuente, con qué herramienta y con qué latencia.</w:t>
            </w:r>
          </w:p>
          <w:p>
            <w:r>
              <w:rPr>
                <w:color w:val="1F3864"/>
                <w:sz w:val="18"/>
              </w:rPr>
              <w:t>GPS: Amazon Kinesis por streaming (&lt; 1 min) · ERP: AWS DMS por CDC (cada 15 min) · Pedidos/CRM: AppFlow/Glue vía API de solo lectura (cada 15 min).</w:t>
            </w:r>
          </w:p>
        </w:tc>
      </w:tr>
      <w:tr w:rsidR="001013FD" w14:paraId="0E68DFA9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496443" w14:textId="77777777" w:rsidR="001013FD" w:rsidRDefault="00000000">
            <w:pPr>
              <w:spacing w:after="50" w:line="250" w:lineRule="auto"/>
            </w:pPr>
            <w:r>
              <w:rPr>
                <w:b/>
                <w:bCs/>
                <w:sz w:val="18"/>
                <w:szCs w:val="18"/>
              </w:rPr>
              <w:t>ALMACENAMIENTO</w:t>
            </w:r>
          </w:p>
        </w:tc>
        <w:tc>
          <w:tcPr>
            <w:tcW w:w="74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8981BA2" w14:textId="77777777" w:rsidR="001013FD" w:rsidRDefault="00000000">
            <w:pPr>
              <w:spacing w:after="50" w:line="250" w:lineRule="auto"/>
            </w:pPr>
            <w:r>
              <w:rPr>
                <w:i/>
                <w:iCs/>
                <w:color w:val="666666"/>
                <w:sz w:val="15"/>
                <w:szCs w:val="15"/>
              </w:rPr>
              <w:t>Dónde queda el dato, en qué zonas y con qué formato.</w:t>
            </w:r>
          </w:p>
          <w:p>
            <w:r>
              <w:rPr>
                <w:color w:val="1F3864"/>
                <w:sz w:val="18"/>
              </w:rPr>
              <w:t>Amazon S3 con Apache Iceberg en tres zonas: bronce (crudo), plata (limpio) y oro (consumo).</w:t>
            </w:r>
          </w:p>
        </w:tc>
      </w:tr>
      <w:tr w:rsidR="001013FD" w14:paraId="329426AB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5906A5" w14:textId="77777777" w:rsidR="001013FD" w:rsidRDefault="00000000">
            <w:pPr>
              <w:spacing w:after="50" w:line="250" w:lineRule="auto"/>
            </w:pPr>
            <w:r>
              <w:rPr>
                <w:b/>
                <w:bCs/>
                <w:sz w:val="18"/>
                <w:szCs w:val="18"/>
              </w:rPr>
              <w:t>PROCESAMIENTO</w:t>
            </w:r>
          </w:p>
        </w:tc>
        <w:tc>
          <w:tcPr>
            <w:tcW w:w="74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A60E73F" w14:textId="77777777" w:rsidR="001013FD" w:rsidRDefault="00000000">
            <w:pPr>
              <w:spacing w:after="50" w:line="250" w:lineRule="auto"/>
            </w:pPr>
            <w:r>
              <w:rPr>
                <w:i/>
                <w:iCs/>
                <w:color w:val="666666"/>
                <w:sz w:val="15"/>
                <w:szCs w:val="15"/>
              </w:rPr>
              <w:t xml:space="preserve">Quién transforma, limpia y </w:t>
            </w:r>
            <w:proofErr w:type="spellStart"/>
            <w:r>
              <w:rPr>
                <w:i/>
                <w:iCs/>
                <w:color w:val="666666"/>
                <w:sz w:val="15"/>
                <w:szCs w:val="15"/>
              </w:rPr>
              <w:t>deduplica</w:t>
            </w:r>
            <w:proofErr w:type="spellEnd"/>
            <w:r>
              <w:rPr>
                <w:i/>
                <w:iCs/>
                <w:color w:val="666666"/>
                <w:sz w:val="15"/>
                <w:szCs w:val="15"/>
              </w:rPr>
              <w:t xml:space="preserve"> el dato.</w:t>
            </w:r>
          </w:p>
          <w:p>
            <w:r>
              <w:rPr>
                <w:color w:val="1F3864"/>
                <w:sz w:val="18"/>
              </w:rPr>
              <w:t>AWS Glue + dbt sobre Athena (SQL) en micro-lotes de 5 min: limpian, deduplican, validan y concilian entrega–factura.</w:t>
            </w:r>
          </w:p>
        </w:tc>
      </w:tr>
      <w:tr w:rsidR="001013FD" w14:paraId="066E9F7B" w14:textId="77777777">
        <w:tblPrEx>
          <w:tblCellMar>
            <w:top w:w="0" w:type="dxa"/>
            <w:bottom w:w="0" w:type="dxa"/>
          </w:tblCellMar>
        </w:tblPrEx>
        <w:trPr>
          <w:cantSplit/>
          <w:trHeight w:val="900"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9C2C3C" w14:textId="77777777" w:rsidR="001013FD" w:rsidRDefault="00000000">
            <w:pPr>
              <w:spacing w:after="50" w:line="250" w:lineRule="auto"/>
            </w:pPr>
            <w:r>
              <w:rPr>
                <w:b/>
                <w:bCs/>
                <w:sz w:val="18"/>
                <w:szCs w:val="18"/>
              </w:rPr>
              <w:t>CONSUMO</w:t>
            </w:r>
          </w:p>
        </w:tc>
        <w:tc>
          <w:tcPr>
            <w:tcW w:w="74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A59E9E4" w14:textId="77777777" w:rsidR="001013FD" w:rsidRDefault="00000000">
            <w:pPr>
              <w:spacing w:after="50" w:line="250" w:lineRule="auto"/>
            </w:pPr>
            <w:r>
              <w:rPr>
                <w:i/>
                <w:iCs/>
                <w:color w:val="666666"/>
                <w:sz w:val="15"/>
                <w:szCs w:val="15"/>
              </w:rPr>
              <w:t>Quién usa el dato y con qué herramienta.</w:t>
            </w:r>
          </w:p>
          <w:p>
            <w:r>
              <w:rPr>
                <w:color w:val="1F3864"/>
                <w:sz w:val="18"/>
              </w:rPr>
              <w:t>Directivos: QuickSight, KPIs diarios · Despachadores: QuickSight, flota vs. pedidos (&lt; 10 min) · Equipo de datos: Athena SQL.</w:t>
            </w:r>
          </w:p>
        </w:tc>
      </w:tr>
      <w:tr w:rsidR="001013FD" w14:paraId="064A885E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E8E861" w14:textId="77777777" w:rsidR="001013FD" w:rsidRDefault="00000000">
            <w:pPr>
              <w:spacing w:after="50" w:line="250" w:lineRule="auto"/>
            </w:pPr>
            <w:r>
              <w:rPr>
                <w:b/>
                <w:bCs/>
                <w:sz w:val="18"/>
                <w:szCs w:val="18"/>
              </w:rPr>
              <w:t>GOBERNANZA</w:t>
            </w:r>
          </w:p>
        </w:tc>
        <w:tc>
          <w:tcPr>
            <w:tcW w:w="74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E27C201" w14:textId="77777777" w:rsidR="001013FD" w:rsidRDefault="00000000">
            <w:pPr>
              <w:spacing w:after="50" w:line="250" w:lineRule="auto"/>
            </w:pPr>
            <w:r>
              <w:rPr>
                <w:i/>
                <w:iCs/>
                <w:color w:val="666666"/>
                <w:sz w:val="15"/>
                <w:szCs w:val="15"/>
              </w:rPr>
              <w:t>Catálogo, calidad, acceso, retención y cumplimiento (capa transversal).</w:t>
            </w:r>
          </w:p>
          <w:p>
            <w:r>
              <w:rPr>
                <w:color w:val="1F3864"/>
                <w:sz w:val="18"/>
              </w:rPr>
              <w:t>Glue Data Catalog · Glue Data Quality · Lake Formation con enmascaramiento de datos personales (Ley 1581) · cifrado KMS · CloudTrail · retención: crudo 13 meses, soportes de facturación 5 años.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08744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8744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45E361E" w14:textId="77777777" w:rsidR="001013FD" w:rsidRDefault="001013FD">
      <w:pPr>
        <w:spacing w:after="60"/>
      </w:pPr>
    </w:p>
    <w:p w14:paraId="5D4F1109" w14:textId="77777777" w:rsidR="001013FD" w:rsidRDefault="00000000">
      <w:pPr>
        <w:spacing w:line="276" w:lineRule="auto"/>
      </w:pPr>
      <w:r>
        <w:rPr>
          <w:color w:val="666666"/>
          <w:sz w:val="17"/>
          <w:szCs w:val="17"/>
        </w:rPr>
        <w:t>Recuerden rotular las flechas con el sentido del flujo y, donde puedan, con la latencia.</w:t>
      </w:r>
    </w:p>
    <w:p w14:paraId="3D4D74F0" w14:textId="77777777" w:rsidR="001013FD" w:rsidRDefault="00000000">
      <w:pPr>
        <w:pStyle w:val="Ttulo2"/>
        <w:keepNext/>
        <w:spacing w:before="260" w:after="40"/>
      </w:pPr>
      <w:r>
        <w:lastRenderedPageBreak/>
        <w:t>Conclusión del equipo</w:t>
      </w:r>
    </w:p>
    <w:p w14:paraId="5F8BFFE4" w14:textId="77777777" w:rsidR="001013FD" w:rsidRDefault="001013FD">
      <w:pPr>
        <w:keepNext/>
        <w:pBdr>
          <w:bottom w:val="single" w:sz="18" w:space="1" w:color="C7A925"/>
        </w:pBdr>
        <w:spacing w:after="140"/>
        <w:ind w:right="7660"/>
      </w:pPr>
    </w:p>
    <w:p w14:paraId="18E4AC77" w14:textId="77777777" w:rsidR="001013FD" w:rsidRDefault="00000000">
      <w:pPr>
        <w:spacing w:after="100" w:line="276" w:lineRule="auto"/>
      </w:pPr>
      <w:r>
        <w:t>Respondan con argumentos y datos del caso. Una respuesta sin cifras o sin criterio no cuenta como sustentada.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3FD" w14:paraId="3254EA24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9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B91485" w14:textId="77777777" w:rsidR="001013FD" w:rsidRDefault="00000000">
            <w:r>
              <w:rPr>
                <w:b/>
                <w:bCs/>
                <w:sz w:val="18"/>
                <w:szCs w:val="18"/>
              </w:rPr>
              <w:t>1. ¿Qué criterio pesó más en la decisión y por qué?</w:t>
            </w:r>
          </w:p>
          <w:p>
            <w:r>
              <w:rPr>
                <w:color w:val="1F3864"/>
                <w:sz w:val="18"/>
              </w:rPr>
              <w:t>La latencia de la flota (30%). Es la causa directa de las penalizaciones (COP 3.600 M en 2025) y del 22% de viajes a media carga, y fue lo que exigieron los dos clientes perdidos. En D el GPS ya está en AWS y no cruza nubes.</w:t>
            </w:r>
          </w:p>
        </w:tc>
      </w:tr>
    </w:tbl>
    <w:p w14:paraId="7EA726EA" w14:textId="77777777" w:rsidR="001013FD" w:rsidRDefault="001013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3FD" w14:paraId="4EF77C66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9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D8CD5EB" w14:textId="77777777" w:rsidR="001013FD" w:rsidRDefault="00000000">
            <w:r>
              <w:rPr>
                <w:b/>
                <w:bCs/>
                <w:sz w:val="18"/>
                <w:szCs w:val="18"/>
              </w:rPr>
              <w:t>2. ¿Qué riesgo asumen al elegir esta opción y cómo lo mitigarían?</w:t>
            </w:r>
          </w:p>
          <w:p>
            <w:r>
              <w:rPr>
                <w:color w:val="1F3864"/>
                <w:sz w:val="18"/>
              </w:rPr>
              <w:t>Riesgo: depender de la API del proveedor de pedidos y de costos de egress desde Azure y GCP (la operación de 1.200 M/año es solo una estimación), más la curva del equipo en ingeniería distribuida. Mitigación: lectura solo por API, cada 15 min; medir el egress real en la PoC; usar servicios administrados basados en SQL e incluir capacitación en la fase 1.</w:t>
            </w:r>
          </w:p>
        </w:tc>
      </w:tr>
    </w:tbl>
    <w:p w14:paraId="076C41C8" w14:textId="77777777" w:rsidR="001013FD" w:rsidRDefault="001013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3FD" w14:paraId="21CB012C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9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F243846" w14:textId="77777777" w:rsidR="001013FD" w:rsidRDefault="00000000">
            <w:r>
              <w:rPr>
                <w:b/>
                <w:bCs/>
                <w:sz w:val="18"/>
                <w:szCs w:val="18"/>
              </w:rPr>
              <w:t>3. ¿Qué validarían con una prueba de concepto antes de comprometer el presupuesto completo?</w:t>
            </w:r>
          </w:p>
          <w:p w14:paraId="0B8FAC20" w14:textId="77777777" w:rsidR="001013FD" w:rsidRDefault="00000000">
            <w:pPr>
              <w:spacing w:before="20"/>
            </w:pPr>
            <w:r>
              <w:rPr>
                <w:i/>
                <w:iCs/>
                <w:color w:val="666666"/>
                <w:sz w:val="16"/>
                <w:szCs w:val="16"/>
              </w:rPr>
              <w:t>Definan qué probarían, cuánto tiempo tomaría y qué resultado la daría por exitosa.</w:t>
            </w:r>
          </w:p>
          <w:p>
            <w:r>
              <w:rPr>
                <w:color w:val="1F3864"/>
                <w:sz w:val="18"/>
              </w:rPr>
              <w:t>PoC = Fase 1 (COP 420 M, meses 1–3) en Bogotá: GPS cruzado con pedidos, extracción por la API del proveedor sin violar el contrato, conciliación entrega–factura y costo real de operación. Éxito: latencia &lt; 10 min en el 95% de los eventos, conciliación ≥ 98%, disponibilidad ≥ 99,5%, costo proyectado ≤ 1.200 M/año y visto bueno jurídico sobre la Ley 1581. Si falla, solo se arriesga el 28% del presupuesto.</w:t>
            </w:r>
          </w:p>
        </w:tc>
      </w:tr>
    </w:tbl>
    <w:p w14:paraId="03F8BBA5" w14:textId="77777777" w:rsidR="001013FD" w:rsidRDefault="001013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3FD" w14:paraId="4CE3D388" w14:textId="77777777">
        <w:tblPrEx>
          <w:tblCellMar>
            <w:top w:w="0" w:type="dxa"/>
            <w:bottom w:w="0" w:type="dxa"/>
          </w:tblCellMar>
        </w:tblPrEx>
        <w:trPr>
          <w:cantSplit/>
          <w:trHeight w:val="1000"/>
        </w:trPr>
        <w:tc>
          <w:tcPr>
            <w:tcW w:w="9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843676E" w14:textId="77777777" w:rsidR="001013FD" w:rsidRDefault="00000000">
            <w:r>
              <w:rPr>
                <w:b/>
                <w:bCs/>
                <w:sz w:val="18"/>
                <w:szCs w:val="18"/>
              </w:rPr>
              <w:t>4. ¿Qué pasa si la empresa no hace nada? Cuantifiquen con datos del caso.</w:t>
            </w:r>
          </w:p>
          <w:p>
            <w:r>
              <w:rPr>
                <w:color w:val="1F3864"/>
                <w:sz w:val="18"/>
              </w:rPr>
              <w:t>Pérdidas de COP 5.000–7.000 M/año, es decir, 15.000–21.000 M en 3 años: entre 3 y 4 veces el TCO de D (4.850 M). A eso se suman penalizaciones (3.600 M en 2025), más contratos perdidos (ya van 2), glosas en facturación, el 60% del tiempo del equipo en conciliación manual y nuevos silos al abrir Perú en 2027.</w:t>
            </w:r>
          </w:p>
        </w:tc>
      </w:tr>
    </w:tbl>
    <w:p w14:paraId="5B36E9E3" w14:textId="77777777" w:rsidR="001013FD" w:rsidRDefault="001013FD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013FD" w14:paraId="7103E42F" w14:textId="77777777">
        <w:tblPrEx>
          <w:tblCellMar>
            <w:top w:w="0" w:type="dxa"/>
            <w:bottom w:w="0" w:type="dxa"/>
          </w:tblCellMar>
        </w:tblPrEx>
        <w:trPr>
          <w:cantSplit/>
          <w:trHeight w:val="1300"/>
        </w:trPr>
        <w:tc>
          <w:tcPr>
            <w:tcW w:w="93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B78F5E" w14:textId="77777777" w:rsidR="001013FD" w:rsidRDefault="00000000">
            <w:r>
              <w:rPr>
                <w:b/>
                <w:bCs/>
                <w:sz w:val="18"/>
                <w:szCs w:val="18"/>
              </w:rPr>
              <w:t>5. Recomendación final a la junta directiva (máximo 5 líneas)</w:t>
            </w:r>
          </w:p>
          <w:p>
            <w:r>
              <w:rPr>
                <w:color w:val="1F3864"/>
                <w:sz w:val="18"/>
              </w:rPr>
              <w:t>Recomendamos la opción D: Lakehouse en AWS con Iceberg, sin migrar fuentes. Implementación de COP 1.250 M (dentro de los 1.500 M) y operación estimada de 1.200 M/año (0,5% de la facturación). Se libera solo la fase 1 (420 M) como PoC de 3 meses, y las fases 2 y 3 se aprueban si cumple los criterios de éxito. Evitar la mitad de las pérdidas proyectadas paga la implementación y el primer año de operación.</w:t>
            </w:r>
          </w:p>
        </w:tc>
      </w:tr>
    </w:tbl>
    <w:p w14:paraId="3D55D383" w14:textId="77777777" w:rsidR="001013FD" w:rsidRDefault="00000000">
      <w:pPr>
        <w:pStyle w:val="Ttulo2"/>
        <w:keepNext/>
        <w:pageBreakBefore/>
        <w:spacing w:after="40"/>
      </w:pPr>
      <w:r>
        <w:lastRenderedPageBreak/>
        <w:t>Rúbrica de evaluación</w:t>
      </w:r>
    </w:p>
    <w:p w14:paraId="20A02CC5" w14:textId="77777777" w:rsidR="001013FD" w:rsidRDefault="001013FD">
      <w:pPr>
        <w:keepNext/>
        <w:pBdr>
          <w:bottom w:val="single" w:sz="18" w:space="1" w:color="C7A925"/>
        </w:pBdr>
        <w:spacing w:after="140"/>
        <w:ind w:right="7660"/>
      </w:pPr>
    </w:p>
    <w:p w14:paraId="3BE255C9" w14:textId="77777777" w:rsidR="001013FD" w:rsidRDefault="00000000">
      <w:pPr>
        <w:spacing w:after="90" w:line="276" w:lineRule="auto"/>
      </w:pPr>
      <w:r>
        <w:t>Escala de 0,0 a 5,0. Cada criterio se califica según su descriptor y se pondera.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00"/>
        <w:gridCol w:w="2250"/>
        <w:gridCol w:w="2250"/>
        <w:gridCol w:w="2260"/>
      </w:tblGrid>
      <w:tr w:rsidR="001013FD" w14:paraId="3D2629D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501E026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Criterio</w:t>
            </w:r>
          </w:p>
        </w:tc>
        <w:tc>
          <w:tcPr>
            <w:tcW w:w="7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40113BA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Peso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85EC56D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Superior (4,5 a 5,0)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6C8ADEF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Adecuado (3,5 a 4,4)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C7A925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BC55A4D" w14:textId="77777777" w:rsidR="001013FD" w:rsidRDefault="00000000">
            <w:pPr>
              <w:spacing w:line="252" w:lineRule="auto"/>
            </w:pPr>
            <w:r>
              <w:rPr>
                <w:b/>
                <w:bCs/>
                <w:color w:val="000000"/>
                <w:sz w:val="17"/>
                <w:szCs w:val="17"/>
              </w:rPr>
              <w:t>Por mejorar (menos de 3,5)</w:t>
            </w:r>
          </w:p>
        </w:tc>
      </w:tr>
      <w:tr w:rsidR="001013FD" w14:paraId="09F892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C1F1BB3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Decisión argumentada con criterios</w:t>
            </w:r>
          </w:p>
        </w:tc>
        <w:tc>
          <w:tcPr>
            <w:tcW w:w="7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076ADFE" w14:textId="77777777" w:rsidR="001013FD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30%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3FDCECC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Usa el filtro y el puntaje ponderado de forma coherente; descarta cada opción con una razón del caso.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AF36D08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Aplica los criterios, pero alguna opción descartada queda con una justificación débil o genérica.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7AAAE97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Elige por preferencia tecnológica o intuición, sin conectar con los criterios.</w:t>
            </w:r>
          </w:p>
        </w:tc>
      </w:tr>
      <w:tr w:rsidR="001013FD" w14:paraId="7EE42C2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02761CF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Análisis de costos</w:t>
            </w:r>
          </w:p>
        </w:tc>
        <w:tc>
          <w:tcPr>
            <w:tcW w:w="7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1E01226" w14:textId="77777777" w:rsidR="001013FD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20%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C250E61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Compara implementación y operación, contrasta con el presupuesto y el límite del 1,0%, y distingue hechos de estimaciones.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4A55929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Compara costos, pero omite la operación o no contrasta con los límites del caso.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65A3D07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Ignora los costos o los cita sin compararlos.</w:t>
            </w:r>
          </w:p>
        </w:tc>
      </w:tr>
      <w:tr w:rsidR="001013FD" w14:paraId="60A97E6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27EC2B1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Diagrama de arquitectura</w:t>
            </w:r>
          </w:p>
        </w:tc>
        <w:tc>
          <w:tcPr>
            <w:tcW w:w="7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FFB0C8" w14:textId="77777777" w:rsidR="001013FD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25%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32DB024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Incluye todas las capas y los elementos mínimos, con flujos, latencias y gobernanza claros y consistentes con la decisión.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CB137F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Incluye la mayoría de las capas; faltan flujos, latencias o gobernanza.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4BB7AE60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Es una lista de herramientas sin flujos ni capas, o no corresponde a la opción elegida.</w:t>
            </w:r>
          </w:p>
        </w:tc>
      </w:tr>
      <w:tr w:rsidR="001013FD" w14:paraId="374C043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616313FA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Conclusión y gestión del riesgo</w:t>
            </w:r>
          </w:p>
        </w:tc>
        <w:tc>
          <w:tcPr>
            <w:tcW w:w="7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1024081" w14:textId="77777777" w:rsidR="001013FD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15%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3E7150CE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Identifica el riesgo asumido, propone una prueba de concepto con criterio de éxito y cuantifica el costo de no actuar.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C35D4AA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Identifica riesgos y propone validar, pero sin criterio de éxito o sin cuantificar.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shd w:val="clear" w:color="auto" w:fill="F2F2F2"/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582C51D4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Conclusión genérica; no menciona riesgos ni validación.</w:t>
            </w:r>
          </w:p>
        </w:tc>
      </w:tr>
      <w:tr w:rsidR="001013FD" w14:paraId="01B0E11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7A4A6F6B" w14:textId="77777777" w:rsidR="001013FD" w:rsidRDefault="00000000">
            <w:pPr>
              <w:spacing w:line="252" w:lineRule="auto"/>
            </w:pPr>
            <w:r>
              <w:rPr>
                <w:b/>
                <w:bCs/>
                <w:sz w:val="16"/>
                <w:szCs w:val="16"/>
              </w:rPr>
              <w:t>Claridad y trabajo en equipo</w:t>
            </w:r>
          </w:p>
        </w:tc>
        <w:tc>
          <w:tcPr>
            <w:tcW w:w="70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14A159FA" w14:textId="77777777" w:rsidR="001013FD" w:rsidRDefault="00000000">
            <w:pPr>
              <w:spacing w:line="252" w:lineRule="auto"/>
              <w:jc w:val="center"/>
            </w:pPr>
            <w:r>
              <w:rPr>
                <w:sz w:val="16"/>
                <w:szCs w:val="16"/>
              </w:rPr>
              <w:t>10%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0D059A46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Documento claro y completo; evidencia de que todos los integrantes participaron.</w:t>
            </w:r>
          </w:p>
        </w:tc>
        <w:tc>
          <w:tcPr>
            <w:tcW w:w="225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AFC29BA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Documento comprensible con omisiones menores.</w:t>
            </w:r>
          </w:p>
        </w:tc>
        <w:tc>
          <w:tcPr>
            <w:tcW w:w="2260" w:type="dxa"/>
            <w:tcBorders>
              <w:top w:val="single" w:sz="4" w:space="0" w:color="E6E6E6"/>
              <w:left w:val="single" w:sz="4" w:space="0" w:color="E6E6E6"/>
              <w:bottom w:val="single" w:sz="4" w:space="0" w:color="E6E6E6"/>
              <w:right w:val="single" w:sz="4" w:space="0" w:color="E6E6E6"/>
            </w:tcBorders>
            <w:tcMar>
              <w:top w:w="70" w:type="dxa"/>
              <w:left w:w="100" w:type="dxa"/>
              <w:bottom w:w="70" w:type="dxa"/>
              <w:right w:w="100" w:type="dxa"/>
            </w:tcMar>
          </w:tcPr>
          <w:p w14:paraId="26D98430" w14:textId="77777777" w:rsidR="001013FD" w:rsidRDefault="00000000">
            <w:pPr>
              <w:spacing w:line="252" w:lineRule="auto"/>
            </w:pPr>
            <w:r>
              <w:rPr>
                <w:sz w:val="16"/>
                <w:szCs w:val="16"/>
              </w:rPr>
              <w:t>Documento incompleto o difícil de seguir.</w:t>
            </w:r>
          </w:p>
        </w:tc>
      </w:tr>
    </w:tbl>
    <w:p w14:paraId="3649B524" w14:textId="77777777" w:rsidR="008A2F5A" w:rsidRDefault="008A2F5A" w:rsidP="00EC6EEF">
      <w:pPr>
        <w:pStyle w:val="Ttulo2"/>
        <w:keepNext/>
        <w:pageBreakBefore/>
        <w:spacing w:after="40"/>
      </w:pPr>
    </w:p>
    <w:sectPr w:rsidR="008A2F5A">
      <w:headerReference w:type="default" r:id="rId8"/>
      <w:footerReference w:type="default" r:id="rId9"/>
      <w:footerReference w:type="first" r:id="rId10"/>
      <w:pgSz w:w="12240" w:h="15840"/>
      <w:pgMar w:top="1350" w:right="1440" w:bottom="1200" w:left="1440" w:header="500" w:footer="5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79D49C" w14:textId="77777777" w:rsidR="008A2F5A" w:rsidRDefault="008A2F5A">
      <w:r>
        <w:separator/>
      </w:r>
    </w:p>
  </w:endnote>
  <w:endnote w:type="continuationSeparator" w:id="0">
    <w:p w14:paraId="5E433324" w14:textId="77777777" w:rsidR="008A2F5A" w:rsidRDefault="008A2F5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92F36C" w14:textId="3098D85D" w:rsidR="001013FD" w:rsidRDefault="00000000">
    <w:pPr>
      <w:pBdr>
        <w:top w:val="single" w:sz="12" w:space="6" w:color="C7A925"/>
      </w:pBdr>
      <w:tabs>
        <w:tab w:val="right" w:pos="9360"/>
      </w:tabs>
    </w:pPr>
    <w:r>
      <w:rPr>
        <w:color w:val="666666"/>
        <w:sz w:val="16"/>
        <w:szCs w:val="16"/>
      </w:rPr>
      <w:t>Universidad de La Sabana · Integración de Datos</w:t>
    </w:r>
    <w:r>
      <w:rPr>
        <w:color w:val="666666"/>
        <w:sz w:val="16"/>
        <w:szCs w:val="16"/>
      </w:rPr>
      <w:tab/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C6EEF">
      <w:rPr>
        <w:noProof/>
        <w:color w:val="666666"/>
        <w:sz w:val="16"/>
        <w:szCs w:val="16"/>
      </w:rPr>
      <w:t>2</w:t>
    </w:r>
    <w:r>
      <w:rPr>
        <w:color w:val="666666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8AADB4" w14:textId="77777777" w:rsidR="001013FD" w:rsidRDefault="00000000">
    <w:pPr>
      <w:pBdr>
        <w:top w:val="single" w:sz="12" w:space="6" w:color="C7A925"/>
      </w:pBdr>
      <w:tabs>
        <w:tab w:val="right" w:pos="9360"/>
      </w:tabs>
    </w:pPr>
    <w:r>
      <w:rPr>
        <w:color w:val="666666"/>
        <w:sz w:val="16"/>
        <w:szCs w:val="16"/>
      </w:rPr>
      <w:t>Universidad de La Sabana · Integración de Datos</w:t>
    </w:r>
    <w:r>
      <w:rPr>
        <w:color w:val="666666"/>
        <w:sz w:val="16"/>
        <w:szCs w:val="16"/>
      </w:rPr>
      <w:tab/>
      <w:t xml:space="preserve">Página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EC6EE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460CB9" w14:textId="77777777" w:rsidR="008A2F5A" w:rsidRDefault="008A2F5A">
      <w:r>
        <w:separator/>
      </w:r>
    </w:p>
  </w:footnote>
  <w:footnote w:type="continuationSeparator" w:id="0">
    <w:p w14:paraId="4259D274" w14:textId="77777777" w:rsidR="008A2F5A" w:rsidRDefault="008A2F5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0B4EE" w14:textId="77777777" w:rsidR="001013FD" w:rsidRDefault="00000000">
    <w:pPr>
      <w:pBdr>
        <w:bottom w:val="single" w:sz="6" w:space="4" w:color="E6E6E6"/>
      </w:pBdr>
      <w:tabs>
        <w:tab w:val="right" w:pos="9360"/>
      </w:tabs>
      <w:spacing w:after="80"/>
    </w:pPr>
    <w:r>
      <w:rPr>
        <w:noProof/>
      </w:rPr>
      <w:drawing>
        <wp:inline distT="0" distB="0" distL="0" distR="0" wp14:anchorId="3DD65184" wp14:editId="62020846">
          <wp:extent cx="352425" cy="466725"/>
          <wp:effectExtent l="0" t="0" r="0" b="0"/>
          <wp:docPr id="1044928465" name="escudo-h" descr="Escudo Universidad de La Sabana" title="Escud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2425" cy="4667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666666"/>
        <w:sz w:val="17"/>
        <w:szCs w:val="17"/>
      </w:rPr>
      <w:tab/>
      <w:t xml:space="preserve">Taller de arquitectura de datos · </w:t>
    </w:r>
    <w:proofErr w:type="spellStart"/>
    <w:r>
      <w:rPr>
        <w:color w:val="666666"/>
        <w:sz w:val="17"/>
        <w:szCs w:val="17"/>
      </w:rPr>
      <w:t>TransAndina</w:t>
    </w:r>
    <w:proofErr w:type="spellEnd"/>
    <w:r>
      <w:rPr>
        <w:color w:val="666666"/>
        <w:sz w:val="17"/>
        <w:szCs w:val="17"/>
      </w:rPr>
      <w:t xml:space="preserve"> Logística (caso ficticio)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55B9"/>
    <w:multiLevelType w:val="hybridMultilevel"/>
    <w:tmpl w:val="B63EF378"/>
    <w:lvl w:ilvl="0" w:tplc="D918E7B8">
      <w:start w:val="1"/>
      <w:numFmt w:val="bullet"/>
      <w:lvlText w:val="•"/>
      <w:lvlJc w:val="left"/>
      <w:pPr>
        <w:ind w:left="400" w:hanging="240"/>
      </w:pPr>
      <w:rPr>
        <w:b/>
        <w:bCs/>
        <w:color w:val="C7A925"/>
      </w:rPr>
    </w:lvl>
    <w:lvl w:ilvl="1" w:tplc="1FAA4488">
      <w:numFmt w:val="decimal"/>
      <w:lvlText w:val=""/>
      <w:lvlJc w:val="left"/>
    </w:lvl>
    <w:lvl w:ilvl="2" w:tplc="853A98C8">
      <w:numFmt w:val="decimal"/>
      <w:lvlText w:val=""/>
      <w:lvlJc w:val="left"/>
    </w:lvl>
    <w:lvl w:ilvl="3" w:tplc="ACA60FA4">
      <w:numFmt w:val="decimal"/>
      <w:lvlText w:val=""/>
      <w:lvlJc w:val="left"/>
    </w:lvl>
    <w:lvl w:ilvl="4" w:tplc="82FC9966">
      <w:numFmt w:val="decimal"/>
      <w:lvlText w:val=""/>
      <w:lvlJc w:val="left"/>
    </w:lvl>
    <w:lvl w:ilvl="5" w:tplc="4B2AFAD6">
      <w:numFmt w:val="decimal"/>
      <w:lvlText w:val=""/>
      <w:lvlJc w:val="left"/>
    </w:lvl>
    <w:lvl w:ilvl="6" w:tplc="AE9E4E86">
      <w:numFmt w:val="decimal"/>
      <w:lvlText w:val=""/>
      <w:lvlJc w:val="left"/>
    </w:lvl>
    <w:lvl w:ilvl="7" w:tplc="C0B67AB0">
      <w:numFmt w:val="decimal"/>
      <w:lvlText w:val=""/>
      <w:lvlJc w:val="left"/>
    </w:lvl>
    <w:lvl w:ilvl="8" w:tplc="3020B946">
      <w:numFmt w:val="decimal"/>
      <w:lvlText w:val=""/>
      <w:lvlJc w:val="left"/>
    </w:lvl>
  </w:abstractNum>
  <w:abstractNum w:abstractNumId="1" w15:restartNumberingAfterBreak="0">
    <w:nsid w:val="40E66C2F"/>
    <w:multiLevelType w:val="hybridMultilevel"/>
    <w:tmpl w:val="1F185EAE"/>
    <w:lvl w:ilvl="0" w:tplc="B33A272E">
      <w:start w:val="1"/>
      <w:numFmt w:val="bullet"/>
      <w:lvlText w:val="•"/>
      <w:lvlJc w:val="left"/>
      <w:pPr>
        <w:ind w:left="220" w:hanging="170"/>
      </w:pPr>
      <w:rPr>
        <w:b/>
        <w:bCs/>
        <w:color w:val="C7A925"/>
      </w:rPr>
    </w:lvl>
    <w:lvl w:ilvl="1" w:tplc="892CF3B8">
      <w:numFmt w:val="decimal"/>
      <w:lvlText w:val=""/>
      <w:lvlJc w:val="left"/>
    </w:lvl>
    <w:lvl w:ilvl="2" w:tplc="72523B7E">
      <w:numFmt w:val="decimal"/>
      <w:lvlText w:val=""/>
      <w:lvlJc w:val="left"/>
    </w:lvl>
    <w:lvl w:ilvl="3" w:tplc="E08E69A4">
      <w:numFmt w:val="decimal"/>
      <w:lvlText w:val=""/>
      <w:lvlJc w:val="left"/>
    </w:lvl>
    <w:lvl w:ilvl="4" w:tplc="1FB85AF2">
      <w:numFmt w:val="decimal"/>
      <w:lvlText w:val=""/>
      <w:lvlJc w:val="left"/>
    </w:lvl>
    <w:lvl w:ilvl="5" w:tplc="8CE8399E">
      <w:numFmt w:val="decimal"/>
      <w:lvlText w:val=""/>
      <w:lvlJc w:val="left"/>
    </w:lvl>
    <w:lvl w:ilvl="6" w:tplc="D8ACE3F2">
      <w:numFmt w:val="decimal"/>
      <w:lvlText w:val=""/>
      <w:lvlJc w:val="left"/>
    </w:lvl>
    <w:lvl w:ilvl="7" w:tplc="79BC96B0">
      <w:numFmt w:val="decimal"/>
      <w:lvlText w:val=""/>
      <w:lvlJc w:val="left"/>
    </w:lvl>
    <w:lvl w:ilvl="8" w:tplc="62640ABE">
      <w:numFmt w:val="decimal"/>
      <w:lvlText w:val=""/>
      <w:lvlJc w:val="left"/>
    </w:lvl>
  </w:abstractNum>
  <w:abstractNum w:abstractNumId="2" w15:restartNumberingAfterBreak="0">
    <w:nsid w:val="4A101697"/>
    <w:multiLevelType w:val="hybridMultilevel"/>
    <w:tmpl w:val="AF668690"/>
    <w:lvl w:ilvl="0" w:tplc="B7EC804A">
      <w:start w:val="1"/>
      <w:numFmt w:val="bullet"/>
      <w:lvlText w:val="●"/>
      <w:lvlJc w:val="left"/>
      <w:pPr>
        <w:ind w:left="720" w:hanging="360"/>
      </w:pPr>
    </w:lvl>
    <w:lvl w:ilvl="1" w:tplc="28A2535E">
      <w:start w:val="1"/>
      <w:numFmt w:val="bullet"/>
      <w:lvlText w:val="○"/>
      <w:lvlJc w:val="left"/>
      <w:pPr>
        <w:ind w:left="1440" w:hanging="360"/>
      </w:pPr>
    </w:lvl>
    <w:lvl w:ilvl="2" w:tplc="A8C86DE2">
      <w:start w:val="1"/>
      <w:numFmt w:val="bullet"/>
      <w:lvlText w:val="■"/>
      <w:lvlJc w:val="left"/>
      <w:pPr>
        <w:ind w:left="2160" w:hanging="360"/>
      </w:pPr>
    </w:lvl>
    <w:lvl w:ilvl="3" w:tplc="01CEBBB6">
      <w:start w:val="1"/>
      <w:numFmt w:val="bullet"/>
      <w:lvlText w:val="●"/>
      <w:lvlJc w:val="left"/>
      <w:pPr>
        <w:ind w:left="2880" w:hanging="360"/>
      </w:pPr>
    </w:lvl>
    <w:lvl w:ilvl="4" w:tplc="C36E09EC">
      <w:start w:val="1"/>
      <w:numFmt w:val="bullet"/>
      <w:lvlText w:val="○"/>
      <w:lvlJc w:val="left"/>
      <w:pPr>
        <w:ind w:left="3600" w:hanging="360"/>
      </w:pPr>
    </w:lvl>
    <w:lvl w:ilvl="5" w:tplc="EF845A0E">
      <w:start w:val="1"/>
      <w:numFmt w:val="bullet"/>
      <w:lvlText w:val="■"/>
      <w:lvlJc w:val="left"/>
      <w:pPr>
        <w:ind w:left="4320" w:hanging="360"/>
      </w:pPr>
    </w:lvl>
    <w:lvl w:ilvl="6" w:tplc="41BEA10C">
      <w:start w:val="1"/>
      <w:numFmt w:val="bullet"/>
      <w:lvlText w:val="●"/>
      <w:lvlJc w:val="left"/>
      <w:pPr>
        <w:ind w:left="5040" w:hanging="360"/>
      </w:pPr>
    </w:lvl>
    <w:lvl w:ilvl="7" w:tplc="E36E6FA2">
      <w:start w:val="1"/>
      <w:numFmt w:val="bullet"/>
      <w:lvlText w:val="●"/>
      <w:lvlJc w:val="left"/>
      <w:pPr>
        <w:ind w:left="5760" w:hanging="360"/>
      </w:pPr>
    </w:lvl>
    <w:lvl w:ilvl="8" w:tplc="F1A4E1DC">
      <w:start w:val="1"/>
      <w:numFmt w:val="bullet"/>
      <w:lvlText w:val="●"/>
      <w:lvlJc w:val="left"/>
      <w:pPr>
        <w:ind w:left="6480" w:hanging="360"/>
      </w:pPr>
    </w:lvl>
  </w:abstractNum>
  <w:num w:numId="1" w16cid:durableId="1611429681">
    <w:abstractNumId w:val="2"/>
    <w:lvlOverride w:ilvl="0">
      <w:startOverride w:val="1"/>
    </w:lvlOverride>
  </w:num>
  <w:num w:numId="2" w16cid:durableId="1251739913">
    <w:abstractNumId w:val="0"/>
    <w:lvlOverride w:ilvl="0">
      <w:startOverride w:val="1"/>
    </w:lvlOverride>
  </w:num>
  <w:num w:numId="3" w16cid:durableId="73270267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13FD"/>
    <w:rsid w:val="001013FD"/>
    <w:rsid w:val="00543C4B"/>
    <w:rsid w:val="008A2F5A"/>
    <w:rsid w:val="00EC6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8578512"/>
  <w15:docId w15:val="{E063947A-4A53-934D-B31E-BFBE71F356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222222"/>
        <w:sz w:val="21"/>
        <w:szCs w:val="21"/>
        <w:lang w:val="es-CO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b/>
      <w:bCs/>
      <w:sz w:val="32"/>
      <w:szCs w:val="32"/>
    </w:rPr>
  </w:style>
  <w:style w:type="paragraph" w:styleId="Ttulo3">
    <w:name w:val="heading 3"/>
    <w:uiPriority w:val="9"/>
    <w:unhideWhenUsed/>
    <w:qFormat/>
    <w:pPr>
      <w:outlineLvl w:val="2"/>
    </w:pPr>
    <w:rPr>
      <w:b/>
      <w:bCs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C6EE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EC6EEF"/>
  </w:style>
  <w:style w:type="paragraph" w:styleId="Piedepgina">
    <w:name w:val="footer"/>
    <w:basedOn w:val="Normal"/>
    <w:link w:val="PiedepginaCar"/>
    <w:uiPriority w:val="99"/>
    <w:unhideWhenUsed/>
    <w:rsid w:val="00EC6EE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EC6EE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customXml" Target="../customXml/item3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customXml" Target="../customXml/item2.xml"/><Relationship Id="rId16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BA08103E845E547BB57C48029A8BD56" ma:contentTypeVersion="4" ma:contentTypeDescription="Crear nuevo documento." ma:contentTypeScope="" ma:versionID="a2c09faa2d6d22bb7a2fc38c6af5289c">
  <xsd:schema xmlns:xsd="http://www.w3.org/2001/XMLSchema" xmlns:xs="http://www.w3.org/2001/XMLSchema" xmlns:p="http://schemas.microsoft.com/office/2006/metadata/properties" xmlns:ns2="c5806b2f-45c4-424d-97bb-8af35d9ce1c3" targetNamespace="http://schemas.microsoft.com/office/2006/metadata/properties" ma:root="true" ma:fieldsID="87ae7717a4eb60819f60864fc8cfa440" ns2:_="">
    <xsd:import namespace="c5806b2f-45c4-424d-97bb-8af35d9ce1c3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806b2f-45c4-424d-97bb-8af35d9ce1c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5806b2f-45c4-424d-97bb-8af35d9ce1c3" xsi:nil="true"/>
  </documentManagement>
</p:properties>
</file>

<file path=customXml/itemProps1.xml><?xml version="1.0" encoding="utf-8"?>
<ds:datastoreItem xmlns:ds="http://schemas.openxmlformats.org/officeDocument/2006/customXml" ds:itemID="{AC590313-A4F8-498F-A3FE-E7B3A8F1F158}"/>
</file>

<file path=customXml/itemProps2.xml><?xml version="1.0" encoding="utf-8"?>
<ds:datastoreItem xmlns:ds="http://schemas.openxmlformats.org/officeDocument/2006/customXml" ds:itemID="{B5065625-9F7E-457B-A24B-0FB84D4159A6}"/>
</file>

<file path=customXml/itemProps3.xml><?xml version="1.0" encoding="utf-8"?>
<ds:datastoreItem xmlns:ds="http://schemas.openxmlformats.org/officeDocument/2006/customXml" ds:itemID="{02203FCC-34B5-4D5C-97CD-131983902DB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1631</Words>
  <Characters>8976</Characters>
  <Application>Microsoft Office Word</Application>
  <DocSecurity>0</DocSecurity>
  <Lines>74</Lines>
  <Paragraphs>21</Paragraphs>
  <ScaleCrop>false</ScaleCrop>
  <Company/>
  <LinksUpToDate>false</LinksUpToDate>
  <CharactersWithSpaces>10586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decisión de arquitectura de datos: TransAndina Logística S.A.S. (caso ficticio)</dc:title>
  <dc:creator>Julian Obando Scarpetta</dc:creator>
  <cp:lastModifiedBy>Julian Obando Scarpetta</cp:lastModifiedBy>
  <cp:revision>2</cp:revision>
  <dcterms:created xsi:type="dcterms:W3CDTF">2026-10-01T11:23:00Z</dcterms:created>
  <dcterms:modified xsi:type="dcterms:W3CDTF">2026-10-01T11:25:00Z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0x0101007BA08103E845E547BB57C48029A8BD56</vt:lpwstr>
  </property>
</Properties>
</file>