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Taller:</w:t>
      </w:r>
      <w:r>
        <w:t xml:space="preserve"> </w:t>
      </w:r>
      <w:r>
        <w:t xml:space="preserve">Crisis</w:t>
      </w:r>
      <w:r>
        <w:t xml:space="preserve"> </w:t>
      </w:r>
      <w:r>
        <w:t xml:space="preserve">Organizacional</w:t>
      </w:r>
      <w:r>
        <w:t xml:space="preserve"> </w:t>
      </w:r>
      <w:r>
        <w:t xml:space="preserve">y</w:t>
      </w:r>
      <w:r>
        <w:t xml:space="preserve"> </w:t>
      </w:r>
      <w:r>
        <w:t xml:space="preserve">cómo</w:t>
      </w:r>
      <w:r>
        <w:t xml:space="preserve"> </w:t>
      </w:r>
      <w:r>
        <w:t xml:space="preserve">la</w:t>
      </w:r>
      <w:r>
        <w:t xml:space="preserve"> </w:t>
      </w:r>
      <w:r>
        <w:t xml:space="preserve">IA</w:t>
      </w:r>
      <w:r>
        <w:t xml:space="preserve"> </w:t>
      </w:r>
      <w:r>
        <w:t xml:space="preserve">ayuda</w:t>
      </w:r>
    </w:p>
    <w:p>
      <w:pPr>
        <w:pStyle w:val="Subtitle"/>
      </w:pPr>
      <w:r>
        <w:t xml:space="preserve">Caso</w:t>
      </w:r>
      <w:r>
        <w:t xml:space="preserve"> </w:t>
      </w:r>
      <w:r>
        <w:t xml:space="preserve">Alimenta</w:t>
      </w:r>
      <w:r>
        <w:t xml:space="preserve"> </w:t>
      </w:r>
      <w:r>
        <w:t xml:space="preserve">Familia</w:t>
      </w:r>
      <w:r>
        <w:t xml:space="preserve"> </w:t>
      </w:r>
      <w:r>
        <w:t xml:space="preserve">S.A.S.</w:t>
      </w:r>
      <w:r>
        <w:t xml:space="preserve"> </w:t>
      </w:r>
      <w:r>
        <w:t xml:space="preserve">·</w:t>
      </w:r>
      <w:r>
        <w:t xml:space="preserve"> </w:t>
      </w:r>
      <w:r>
        <w:t xml:space="preserve">Universidad</w:t>
      </w:r>
      <w:r>
        <w:t xml:space="preserve"> </w:t>
      </w:r>
      <w:r>
        <w:t xml:space="preserve">de</w:t>
      </w:r>
      <w:r>
        <w:t xml:space="preserve"> </w:t>
      </w:r>
      <w:r>
        <w:t xml:space="preserve">La</w:t>
      </w:r>
      <w:r>
        <w:t xml:space="preserve"> </w:t>
      </w:r>
      <w:r>
        <w:t xml:space="preserve">Sabana</w:t>
      </w:r>
    </w:p>
    <w:p>
      <w:pPr>
        <w:pStyle w:val="Author"/>
      </w:pPr>
      <w:r>
        <w:t xml:space="preserve">Daniel</w:t>
      </w:r>
      <w:r>
        <w:t xml:space="preserve"> </w:t>
      </w:r>
      <w:r>
        <w:t xml:space="preserve">·</w:t>
      </w:r>
      <w:r>
        <w:t xml:space="preserve"> </w:t>
      </w:r>
      <w:r>
        <w:t xml:space="preserve">Laura</w:t>
      </w:r>
      <w:r>
        <w:t xml:space="preserve"> </w:t>
      </w:r>
      <w:r>
        <w:t xml:space="preserve">·</w:t>
      </w:r>
      <w:r>
        <w:t xml:space="preserve"> </w:t>
      </w:r>
      <w:r>
        <w:t xml:space="preserve">Mateo</w:t>
      </w:r>
      <w:r>
        <w:t xml:space="preserve"> </w:t>
      </w:r>
      <w:r>
        <w:t xml:space="preserve">·</w:t>
      </w:r>
      <w:r>
        <w:t xml:space="preserve"> </w:t>
      </w:r>
      <w:r>
        <w:t xml:space="preserve">Camilo</w:t>
      </w:r>
      <w:r>
        <w:t xml:space="preserve"> </w:t>
      </w:r>
      <w:r>
        <w:t xml:space="preserve">·</w:t>
      </w:r>
      <w:r>
        <w:t xml:space="preserve"> </w:t>
      </w:r>
      <w:r>
        <w:t xml:space="preserve">Valerie</w:t>
      </w:r>
    </w:p>
    <w:p>
      <w:pPr>
        <w:pStyle w:val="Date"/>
      </w:pPr>
      <w:r>
        <w:t xml:space="preserve">Octubre</w:t>
      </w:r>
      <w:r>
        <w:t xml:space="preserve"> </w:t>
      </w:r>
      <w:r>
        <w:t xml:space="preserve">de</w:t>
      </w:r>
      <w:r>
        <w:t xml:space="preserve"> </w:t>
      </w:r>
      <w:r>
        <w:t xml:space="preserve">2026</w:t>
      </w:r>
    </w:p>
    <w:sdt>
      <w:sdtPr>
        <w:docPartObj>
          <w:docPartGallery w:val="Table of Contents"/>
          <w:docPartUnique/>
        </w:docPartObj>
      </w:sdtPr>
      <w:sdtContent>
        <w:p>
          <w:pPr>
            <w:pStyle w:val="TOCHeading"/>
          </w:pPr>
          <w:r>
            <w:t xml:space="preserve">Contenido</w:t>
          </w:r>
        </w:p>
        <w:p>
          <w:r>
            <w:fldChar w:fldCharType="begin" w:dirty="true"/>
            <w:instrText xml:space="preserve">TOC \o "1-3" \h \z \u</w:instrText>
            <w:fldChar w:fldCharType="separate"/>
            <w:fldChar w:fldCharType="end"/>
          </w:r>
        </w:p>
      </w:sdtContent>
    </w:sdt>
    <w:bookmarkStart w:id="20" w:name="introducción-y-alcance"/>
    <w:p>
      <w:pPr>
        <w:pStyle w:val="Heading1"/>
      </w:pPr>
      <w:r>
        <w:t xml:space="preserve">Introducción y alcance</w:t>
      </w:r>
    </w:p>
    <w:p>
      <w:pPr>
        <w:pStyle w:val="FirstParagraph"/>
      </w:pPr>
      <w:r>
        <w:t xml:space="preserve">Alimenta Familia no enfrenta un problema de producto sino de credibilidad: un solo lote sin controles (VEG-BP-2026-047) bastó para que el público dudara de toda la organización. Este taller define la crisis, simula con IA los datos que la evidencian, los analiza, describe cómo interviene la IA en cada fase de la gestión y muestra cómo cambiaron los OKR y KPI.</w:t>
      </w:r>
    </w:p>
    <w:p>
      <w:pPr>
        <w:pStyle w:val="BodyText"/>
      </w:pPr>
      <w:r>
        <w:rPr>
          <w:bCs/>
          <w:b/>
        </w:rPr>
        <w:t xml:space="preserve">Advertencia:</w:t>
      </w:r>
      <w:r>
        <w:t xml:space="preserve"> </w:t>
      </w:r>
      <w:r>
        <w:t xml:space="preserve">todos los datos numéricos de este documento son</w:t>
      </w:r>
      <w:r>
        <w:t xml:space="preserve"> </w:t>
      </w:r>
      <w:r>
        <w:rPr>
          <w:bCs/>
          <w:b/>
        </w:rPr>
        <w:t xml:space="preserve">DATOS SIMULADOS con fines académicos</w:t>
      </w:r>
      <w:r>
        <w:t xml:space="preserve">, generados con IA a partir de las cifras ancla del caso (1.025 PQR, 216 lotes, 1.307 controles, 64 reportes del lote 047). No describen un incidente real verificado. Lo que el caso no informa se marca como «No consta».</w:t>
      </w:r>
    </w:p>
    <w:p>
      <w:pPr>
        <w:pStyle w:val="BodyText"/>
      </w:pPr>
      <w:r>
        <w:rPr>
          <w:bCs/>
          <w:b/>
        </w:rPr>
        <w:t xml:space="preserve">Archivos complementarios:</w:t>
      </w:r>
      <w:r>
        <w:t xml:space="preserve"> </w:t>
      </w:r>
      <w:r>
        <w:t xml:space="preserve">carpeta</w:t>
      </w:r>
      <w:r>
        <w:t xml:space="preserve"> </w:t>
      </w:r>
      <w:r>
        <w:rPr>
          <w:rStyle w:val="VerbatimChar"/>
        </w:rPr>
        <w:t xml:space="preserve">datos/</w:t>
      </w:r>
      <w:r>
        <w:t xml:space="preserve"> </w:t>
      </w:r>
      <w:r>
        <w:t xml:space="preserve">(3 libros Excel),</w:t>
      </w:r>
      <w:r>
        <w:t xml:space="preserve"> </w:t>
      </w:r>
      <w:r>
        <w:rPr>
          <w:rStyle w:val="VerbatimChar"/>
        </w:rPr>
        <w:t xml:space="preserve">src/gen_datos.py</w:t>
      </w:r>
      <w:r>
        <w:t xml:space="preserve">,</w:t>
      </w:r>
      <w:r>
        <w:t xml:space="preserve"> </w:t>
      </w:r>
      <w:r>
        <w:rPr>
          <w:rStyle w:val="VerbatimChar"/>
        </w:rPr>
        <w:t xml:space="preserve">src/aed_alimenta_familia.py</w:t>
      </w:r>
      <w:r>
        <w:t xml:space="preserve"> </w:t>
      </w:r>
      <w:r>
        <w:t xml:space="preserve">y</w:t>
      </w:r>
      <w:r>
        <w:t xml:space="preserve"> </w:t>
      </w:r>
      <w:r>
        <w:rPr>
          <w:rStyle w:val="VerbatimChar"/>
        </w:rPr>
        <w:t xml:space="preserve">resultados/figuras/</w:t>
      </w:r>
      <w:r>
        <w:t xml:space="preserve">.</w:t>
      </w:r>
    </w:p>
    <w:bookmarkEnd w:id="20"/>
    <w:bookmarkStart w:id="24" w:name="definición-de-crisis-institucional"/>
    <w:p>
      <w:pPr>
        <w:pStyle w:val="Heading1"/>
      </w:pPr>
      <w:r>
        <w:t xml:space="preserve">1. Definición de crisis institucional</w:t>
      </w:r>
    </w:p>
    <w:p>
      <w:pPr>
        <w:pStyle w:val="FirstParagraph"/>
      </w:pPr>
      <w:r>
        <w:t xml:space="preserve">Una</w:t>
      </w:r>
      <w:r>
        <w:t xml:space="preserve"> </w:t>
      </w:r>
      <w:r>
        <w:rPr>
          <w:bCs/>
          <w:b/>
        </w:rPr>
        <w:t xml:space="preserve">crisis institucional</w:t>
      </w:r>
      <w:r>
        <w:t xml:space="preserve"> </w:t>
      </w:r>
      <w:r>
        <w:t xml:space="preserve">es un evento inesperado que amenaza las expectativas de los grupos de interés sobre la organización, afecta seriamente su desempeño y genera consecuencias negativas que ponen en duda su legitimidad y su capacidad de cumplir lo que promete (Coombs, 2007; Coombs, 2019). No es solo un daño operativo: es una ruptura de la confianza en la institución como fuente de información y de conducta.</w:t>
      </w:r>
    </w:p>
    <w:bookmarkStart w:id="21" w:name="qué-la-diferencia-de-otros-conceptos"/>
    <w:p>
      <w:pPr>
        <w:pStyle w:val="Heading2"/>
      </w:pPr>
      <w:r>
        <w:t xml:space="preserve">Qué la diferencia de otros conceptos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Concepto</w:t>
            </w:r>
          </w:p>
        </w:tc>
        <w:tc>
          <w:tcPr/>
          <w:p>
            <w:pPr>
              <w:pStyle w:val="Compact"/>
              <w:jc w:val="left"/>
            </w:pPr>
            <w:r>
              <w:t xml:space="preserve">Qué afecta</w:t>
            </w:r>
          </w:p>
        </w:tc>
        <w:tc>
          <w:tcPr/>
          <w:p>
            <w:pPr>
              <w:pStyle w:val="Compact"/>
              <w:jc w:val="left"/>
            </w:pPr>
            <w:r>
              <w:t xml:space="preserve">Ejemplo en el caso</w:t>
            </w:r>
          </w:p>
        </w:tc>
      </w:tr>
      <w:tr>
        <w:tc>
          <w:tcPr/>
          <w:p>
            <w:pPr>
              <w:pStyle w:val="Compact"/>
              <w:jc w:val="left"/>
            </w:pPr>
            <w:r>
              <w:t xml:space="preserve">Incidente</w:t>
            </w:r>
          </w:p>
        </w:tc>
        <w:tc>
          <w:tcPr/>
          <w:p>
            <w:pPr>
              <w:pStyle w:val="Compact"/>
              <w:jc w:val="left"/>
            </w:pPr>
            <w:r>
              <w:t xml:space="preserve">Una operación puntual, contenible por procedimiento</w:t>
            </w:r>
          </w:p>
        </w:tc>
        <w:tc>
          <w:tcPr/>
          <w:p>
            <w:pPr>
              <w:pStyle w:val="Compact"/>
              <w:jc w:val="left"/>
            </w:pPr>
            <w:r>
              <w:t xml:space="preserve">El lote VEG-BP-2026-047 sale sin dos controles</w:t>
            </w:r>
          </w:p>
        </w:tc>
      </w:tr>
      <w:tr>
        <w:tc>
          <w:tcPr/>
          <w:p>
            <w:pPr>
              <w:pStyle w:val="Compact"/>
              <w:jc w:val="left"/>
            </w:pPr>
            <w:r>
              <w:t xml:space="preserve">Problema</w:t>
            </w:r>
          </w:p>
        </w:tc>
        <w:tc>
          <w:tcPr/>
          <w:p>
            <w:pPr>
              <w:pStyle w:val="Compact"/>
              <w:jc w:val="left"/>
            </w:pPr>
            <w:r>
              <w:t xml:space="preserve">Un proceso que falla de forma repetible</w:t>
            </w:r>
          </w:p>
        </w:tc>
        <w:tc>
          <w:tcPr/>
          <w:p>
            <w:pPr>
              <w:pStyle w:val="Compact"/>
              <w:jc w:val="left"/>
            </w:pPr>
            <w:r>
              <w:t xml:space="preserve">Controles omitidos en un turno de la Planta Chía</w:t>
            </w:r>
          </w:p>
        </w:tc>
      </w:tr>
      <w:tr>
        <w:tc>
          <w:tcPr/>
          <w:p>
            <w:pPr>
              <w:pStyle w:val="Compact"/>
              <w:jc w:val="left"/>
            </w:pPr>
            <w:r>
              <w:t xml:space="preserve">Crisis de comunicación</w:t>
            </w:r>
          </w:p>
        </w:tc>
        <w:tc>
          <w:tcPr/>
          <w:p>
            <w:pPr>
              <w:pStyle w:val="Compact"/>
              <w:jc w:val="left"/>
            </w:pPr>
            <w:r>
              <w:t xml:space="preserve">La forma de informar sobre el hecho</w:t>
            </w:r>
          </w:p>
        </w:tc>
        <w:tc>
          <w:tcPr/>
          <w:p>
            <w:pPr>
              <w:pStyle w:val="Compact"/>
              <w:jc w:val="left"/>
            </w:pPr>
            <w:r>
              <w:t xml:space="preserve">Una frase inventada: «el resto de productos es completamente seguro»</w:t>
            </w:r>
          </w:p>
        </w:tc>
      </w:tr>
      <w:tr>
        <w:tc>
          <w:tcPr/>
          <w:p>
            <w:pPr>
              <w:pStyle w:val="Compact"/>
              <w:jc w:val="left"/>
            </w:pPr>
            <w:r>
              <w:rPr>
                <w:bCs/>
                <w:b/>
              </w:rPr>
              <w:t xml:space="preserve">Crisis institucional</w:t>
            </w:r>
          </w:p>
        </w:tc>
        <w:tc>
          <w:tcPr/>
          <w:p>
            <w:pPr>
              <w:pStyle w:val="Compact"/>
              <w:jc w:val="left"/>
            </w:pPr>
            <w:r>
              <w:t xml:space="preserve">La credibilidad de la organización entera</w:t>
            </w:r>
          </w:p>
        </w:tc>
        <w:tc>
          <w:tcPr/>
          <w:p>
            <w:pPr>
              <w:pStyle w:val="Compact"/>
              <w:jc w:val="left"/>
            </w:pPr>
            <w:r>
              <w:t xml:space="preserve">«¿Podemos confiar en la información que comunica Alimenta?»</w:t>
            </w:r>
          </w:p>
        </w:tc>
      </w:tr>
    </w:tbl>
    <w:bookmarkEnd w:id="21"/>
    <w:bookmarkStart w:id="22" w:name="aplicación-al-caso-alimenta-familia"/>
    <w:p>
      <w:pPr>
        <w:pStyle w:val="Heading2"/>
      </w:pPr>
      <w:r>
        <w:t xml:space="preserve">Aplicación al caso Alimenta Familia</w:t>
      </w:r>
    </w:p>
    <w:p>
      <w:pPr>
        <w:numPr>
          <w:ilvl w:val="0"/>
          <w:numId w:val="1001"/>
        </w:numPr>
        <w:pStyle w:val="Compact"/>
      </w:pPr>
      <w:r>
        <w:rPr>
          <w:bCs/>
          <w:b/>
        </w:rPr>
        <w:t xml:space="preserve">Tipo (Teoría Situacional de Comunicación de Crisis, SCCT):</w:t>
      </w:r>
      <w:r>
        <w:t xml:space="preserve"> </w:t>
      </w:r>
      <w:r>
        <w:t xml:space="preserve">clúster</w:t>
      </w:r>
      <w:r>
        <w:t xml:space="preserve"> </w:t>
      </w:r>
      <w:r>
        <w:rPr>
          <w:iCs/>
          <w:i/>
        </w:rPr>
        <w:t xml:space="preserve">prevenible</w:t>
      </w:r>
      <w:r>
        <w:t xml:space="preserve">, daño de producto por error humano u organizacional. La responsabilidad atribuida es alta porque la falla fue un control omitido, no un evento externo. La SCCT recomienda en este clúster estrategias de reconstrucción: reconocer, reparar y demostrar cambios.</w:t>
      </w:r>
    </w:p>
    <w:p>
      <w:pPr>
        <w:numPr>
          <w:ilvl w:val="0"/>
          <w:numId w:val="1001"/>
        </w:numPr>
        <w:pStyle w:val="Compact"/>
      </w:pPr>
      <w:r>
        <w:rPr>
          <w:bCs/>
          <w:b/>
        </w:rPr>
        <w:t xml:space="preserve">Fase:</w:t>
      </w:r>
      <w:r>
        <w:t xml:space="preserve"> </w:t>
      </w:r>
      <w:r>
        <w:t xml:space="preserve">aguda al inicio (casos de intoxicación y discrepancias de etiquetado), crónica durante el rumor y la salida de distribuidores, y de resolución con la verificación universitaria (Fink, 1986).</w:t>
      </w:r>
    </w:p>
    <w:p>
      <w:pPr>
        <w:numPr>
          <w:ilvl w:val="0"/>
          <w:numId w:val="1001"/>
        </w:numPr>
        <w:pStyle w:val="Compact"/>
      </w:pPr>
      <w:r>
        <w:rPr>
          <w:bCs/>
          <w:b/>
        </w:rPr>
        <w:t xml:space="preserve">Cuatro capas:</w:t>
      </w:r>
      <w:r>
        <w:t xml:space="preserve"> </w:t>
      </w:r>
      <w:r>
        <w:t xml:space="preserve">sanitaria (casos reportados), operativa (lote sin controles), informacional (cantidades declaradas ≠ halladas) y reputacional (duda sobre la transparencia). La salud del consumidor tiene prioridad sobre la reputación.</w:t>
      </w:r>
    </w:p>
    <w:p>
      <w:pPr>
        <w:numPr>
          <w:ilvl w:val="0"/>
          <w:numId w:val="1001"/>
        </w:numPr>
        <w:pStyle w:val="Compact"/>
      </w:pPr>
      <w:r>
        <w:rPr>
          <w:bCs/>
          <w:b/>
        </w:rPr>
        <w:t xml:space="preserve">Escalamiento de la desconfianza:</w:t>
      </w:r>
      <w:r>
        <w:t xml:space="preserve"> </w:t>
      </w:r>
      <w:r>
        <w:t xml:space="preserve">Lote → Producto → Línea vegana → Marca → Organización. La paradoja: el problema técnico está localizado, la crisis no.</w:t>
      </w:r>
    </w:p>
    <w:p>
      <w:pPr>
        <w:numPr>
          <w:ilvl w:val="0"/>
          <w:numId w:val="1001"/>
        </w:numPr>
        <w:pStyle w:val="Compact"/>
      </w:pPr>
      <w:r>
        <w:rPr>
          <w:bCs/>
          <w:b/>
        </w:rPr>
        <w:t xml:space="preserve">Por qué es institucional:</w:t>
      </w:r>
      <w:r>
        <w:t xml:space="preserve"> </w:t>
      </w:r>
      <w:r>
        <w:t xml:space="preserve">la propuesta de valor de Alimenta (Familia, Campo, Ciencia, Innovación) descansa en la confianza. La falla contradice la promesa, y por eso el público deja de preguntar qué pasó con el producto y empieza a preguntar si la empresa dice la verdad.</w:t>
      </w:r>
    </w:p>
    <w:bookmarkEnd w:id="22"/>
    <w:bookmarkStart w:id="23" w:name="X38d4a2ce9f0d1aac978fee1637a7fa93cc89c9a"/>
    <w:p>
      <w:pPr>
        <w:pStyle w:val="Heading2"/>
      </w:pPr>
      <w:r>
        <w:t xml:space="preserve">Mapa de públicos y su necesidad principal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Público</w:t>
            </w:r>
          </w:p>
        </w:tc>
        <w:tc>
          <w:tcPr/>
          <w:p>
            <w:pPr>
              <w:pStyle w:val="Compact"/>
              <w:jc w:val="left"/>
            </w:pPr>
            <w:r>
              <w:t xml:space="preserve">Necesidad principal</w:t>
            </w:r>
          </w:p>
        </w:tc>
        <w:tc>
          <w:tcPr/>
          <w:p>
            <w:pPr>
              <w:pStyle w:val="Compact"/>
              <w:jc w:val="left"/>
            </w:pPr>
            <w:r>
              <w:t xml:space="preserve">Responsable de la respuesta</w:t>
            </w:r>
          </w:p>
        </w:tc>
      </w:tr>
      <w:tr>
        <w:tc>
          <w:tcPr/>
          <w:p>
            <w:pPr>
              <w:pStyle w:val="Compact"/>
              <w:jc w:val="left"/>
            </w:pPr>
            <w:r>
              <w:t xml:space="preserve">Consumidores afectados</w:t>
            </w:r>
          </w:p>
        </w:tc>
        <w:tc>
          <w:tcPr/>
          <w:p>
            <w:pPr>
              <w:pStyle w:val="Compact"/>
              <w:jc w:val="left"/>
            </w:pPr>
            <w:r>
              <w:t xml:space="preserve">Salud, atención y reparación</w:t>
            </w:r>
          </w:p>
        </w:tc>
        <w:tc>
          <w:tcPr/>
          <w:p>
            <w:pPr>
              <w:pStyle w:val="Compact"/>
              <w:jc w:val="left"/>
            </w:pPr>
            <w:r>
              <w:t xml:space="preserve">Atención al Consumidor</w:t>
            </w:r>
          </w:p>
        </w:tc>
      </w:tr>
      <w:tr>
        <w:tc>
          <w:tcPr/>
          <w:p>
            <w:pPr>
              <w:pStyle w:val="Compact"/>
              <w:jc w:val="left"/>
            </w:pPr>
            <w:r>
              <w:t xml:space="preserve">Consumidores de todas las líneas</w:t>
            </w:r>
          </w:p>
        </w:tc>
        <w:tc>
          <w:tcPr/>
          <w:p>
            <w:pPr>
              <w:pStyle w:val="Compact"/>
              <w:jc w:val="left"/>
            </w:pPr>
            <w:r>
              <w:t xml:space="preserve">Seguridad, etiquetado y confianza</w:t>
            </w:r>
          </w:p>
        </w:tc>
        <w:tc>
          <w:tcPr/>
          <w:p>
            <w:pPr>
              <w:pStyle w:val="Compact"/>
              <w:jc w:val="left"/>
            </w:pPr>
            <w:r>
              <w:t xml:space="preserve">Comunicación</w:t>
            </w:r>
          </w:p>
        </w:tc>
      </w:tr>
      <w:tr>
        <w:tc>
          <w:tcPr/>
          <w:p>
            <w:pPr>
              <w:pStyle w:val="Compact"/>
              <w:jc w:val="left"/>
            </w:pPr>
            <w:r>
              <w:t xml:space="preserve">Autoridades sanitarias (INVIMA)</w:t>
            </w:r>
          </w:p>
        </w:tc>
        <w:tc>
          <w:tcPr/>
          <w:p>
            <w:pPr>
              <w:pStyle w:val="Compact"/>
              <w:jc w:val="left"/>
            </w:pPr>
            <w:r>
              <w:t xml:space="preserve">Evidencia técnica y trazabilidad</w:t>
            </w:r>
          </w:p>
        </w:tc>
        <w:tc>
          <w:tcPr/>
          <w:p>
            <w:pPr>
              <w:pStyle w:val="Compact"/>
              <w:jc w:val="left"/>
            </w:pPr>
            <w:r>
              <w:t xml:space="preserve">Calidad + Legal/Regulatorio</w:t>
            </w:r>
          </w:p>
        </w:tc>
      </w:tr>
      <w:tr>
        <w:tc>
          <w:tcPr/>
          <w:p>
            <w:pPr>
              <w:pStyle w:val="Compact"/>
              <w:jc w:val="left"/>
            </w:pPr>
            <w:r>
              <w:t xml:space="preserve">Distribuidores y comercios</w:t>
            </w:r>
          </w:p>
        </w:tc>
        <w:tc>
          <w:tcPr/>
          <w:p>
            <w:pPr>
              <w:pStyle w:val="Compact"/>
              <w:jc w:val="left"/>
            </w:pPr>
            <w:r>
              <w:t xml:space="preserve">Instrucciones de retiro y actualizaciones</w:t>
            </w:r>
          </w:p>
        </w:tc>
        <w:tc>
          <w:tcPr/>
          <w:p>
            <w:pPr>
              <w:pStyle w:val="Compact"/>
              <w:jc w:val="left"/>
            </w:pPr>
            <w:r>
              <w:t xml:space="preserve">Operaciones</w:t>
            </w:r>
          </w:p>
        </w:tc>
      </w:tr>
      <w:tr>
        <w:tc>
          <w:tcPr/>
          <w:p>
            <w:pPr>
              <w:pStyle w:val="Compact"/>
              <w:jc w:val="left"/>
            </w:pPr>
            <w:r>
              <w:t xml:space="preserve">Colaboradores</w:t>
            </w:r>
          </w:p>
        </w:tc>
        <w:tc>
          <w:tcPr/>
          <w:p>
            <w:pPr>
              <w:pStyle w:val="Compact"/>
              <w:jc w:val="left"/>
            </w:pPr>
            <w:r>
              <w:t xml:space="preserve">Protocolos y mensajes consistentes</w:t>
            </w:r>
          </w:p>
        </w:tc>
        <w:tc>
          <w:tcPr/>
          <w:p>
            <w:pPr>
              <w:pStyle w:val="Compact"/>
              <w:jc w:val="left"/>
            </w:pPr>
            <w:r>
              <w:t xml:space="preserve">Dirección + Comunicación</w:t>
            </w:r>
          </w:p>
        </w:tc>
      </w:tr>
      <w:tr>
        <w:tc>
          <w:tcPr/>
          <w:p>
            <w:pPr>
              <w:pStyle w:val="Compact"/>
              <w:jc w:val="left"/>
            </w:pPr>
            <w:r>
              <w:t xml:space="preserve">Productores y proveedores</w:t>
            </w:r>
          </w:p>
        </w:tc>
        <w:tc>
          <w:tcPr/>
          <w:p>
            <w:pPr>
              <w:pStyle w:val="Compact"/>
              <w:jc w:val="left"/>
            </w:pPr>
            <w:r>
              <w:t xml:space="preserve">Responsabilidades y continuidad</w:t>
            </w:r>
          </w:p>
        </w:tc>
        <w:tc>
          <w:tcPr/>
          <w:p>
            <w:pPr>
              <w:pStyle w:val="Compact"/>
              <w:jc w:val="left"/>
            </w:pPr>
            <w:r>
              <w:t xml:space="preserve">Operaciones</w:t>
            </w:r>
          </w:p>
        </w:tc>
      </w:tr>
      <w:tr>
        <w:tc>
          <w:tcPr/>
          <w:p>
            <w:pPr>
              <w:pStyle w:val="Compact"/>
              <w:jc w:val="left"/>
            </w:pPr>
            <w:r>
              <w:t xml:space="preserve">Universidades y aliados científicos</w:t>
            </w:r>
          </w:p>
        </w:tc>
        <w:tc>
          <w:tcPr/>
          <w:p>
            <w:pPr>
              <w:pStyle w:val="Compact"/>
              <w:jc w:val="left"/>
            </w:pPr>
            <w:r>
              <w:t xml:space="preserve">Evidencia y credibilidad</w:t>
            </w:r>
          </w:p>
        </w:tc>
        <w:tc>
          <w:tcPr/>
          <w:p>
            <w:pPr>
              <w:pStyle w:val="Compact"/>
              <w:jc w:val="left"/>
            </w:pPr>
            <w:r>
              <w:t xml:space="preserve">Calidad</w:t>
            </w:r>
          </w:p>
        </w:tc>
      </w:tr>
      <w:tr>
        <w:tc>
          <w:tcPr/>
          <w:p>
            <w:pPr>
              <w:pStyle w:val="Compact"/>
              <w:jc w:val="left"/>
            </w:pPr>
            <w:r>
              <w:t xml:space="preserve">Medios y comunidades digitales</w:t>
            </w:r>
          </w:p>
        </w:tc>
        <w:tc>
          <w:tcPr/>
          <w:p>
            <w:pPr>
              <w:pStyle w:val="Compact"/>
              <w:jc w:val="left"/>
            </w:pPr>
            <w:r>
              <w:t xml:space="preserve">Verificación, escucha y respuesta</w:t>
            </w:r>
          </w:p>
        </w:tc>
        <w:tc>
          <w:tcPr/>
          <w:p>
            <w:pPr>
              <w:pStyle w:val="Compact"/>
              <w:jc w:val="left"/>
            </w:pPr>
            <w:r>
              <w:t xml:space="preserve">Comunicación (vocería)</w:t>
            </w:r>
          </w:p>
        </w:tc>
      </w:tr>
    </w:tbl>
    <w:bookmarkEnd w:id="23"/>
    <w:bookmarkEnd w:id="24"/>
    <w:bookmarkStart w:id="27" w:name="datos-ficticios-generados-con-ia"/>
    <w:p>
      <w:pPr>
        <w:pStyle w:val="Heading1"/>
      </w:pPr>
      <w:r>
        <w:t xml:space="preserve">2. Datos ficticios generados con IA</w:t>
      </w:r>
    </w:p>
    <w:p>
      <w:pPr>
        <w:pStyle w:val="FirstParagraph"/>
      </w:pPr>
      <w:r>
        <w:t xml:space="preserve">La IA generó tres datasets coherentes con las cifras ancla del caso. Llevan errores intencionales para que el análisis tenga algo que depurar, igual que los datos reales de una crisis. Todo está marcado como</w:t>
      </w:r>
      <w:r>
        <w:t xml:space="preserve"> </w:t>
      </w:r>
      <w:r>
        <w:rPr>
          <w:bCs/>
          <w:b/>
        </w:rPr>
        <w:t xml:space="preserve">DATO SIMULADO</w:t>
      </w:r>
      <w:r>
        <w:t xml:space="preserve"> </w:t>
      </w:r>
      <w:r>
        <w:t xml:space="preserve">y la hoja</w:t>
      </w:r>
      <w:r>
        <w:t xml:space="preserve"> </w:t>
      </w:r>
      <w:r>
        <w:rPr>
          <w:rStyle w:val="VerbatimChar"/>
        </w:rPr>
        <w:t xml:space="preserve">LEEME</w:t>
      </w:r>
      <w:r>
        <w:t xml:space="preserve"> </w:t>
      </w:r>
      <w:r>
        <w:t xml:space="preserve">de cada libro documenta el prompt usado y los errores sembrados.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Dataset</w:t>
            </w:r>
          </w:p>
        </w:tc>
        <w:tc>
          <w:tcPr/>
          <w:p>
            <w:pPr>
              <w:pStyle w:val="Compact"/>
              <w:jc w:val="left"/>
            </w:pPr>
            <w:r>
              <w:t xml:space="preserve">Registros brutos</w:t>
            </w:r>
          </w:p>
        </w:tc>
        <w:tc>
          <w:tcPr/>
          <w:p>
            <w:pPr>
              <w:pStyle w:val="Compact"/>
              <w:jc w:val="left"/>
            </w:pPr>
            <w:r>
              <w:t xml:space="preserve">Contenido</w:t>
            </w:r>
          </w:p>
        </w:tc>
        <w:tc>
          <w:tcPr/>
          <w:p>
            <w:pPr>
              <w:pStyle w:val="Compact"/>
              <w:jc w:val="left"/>
            </w:pPr>
            <w:r>
              <w:t xml:space="preserve">Errores intencionales</w:t>
            </w:r>
          </w:p>
        </w:tc>
      </w:tr>
      <w:tr>
        <w:tc>
          <w:tcPr/>
          <w:p>
            <w:pPr>
              <w:pStyle w:val="Compact"/>
              <w:jc w:val="left"/>
            </w:pPr>
            <w:r>
              <w:t xml:space="preserve">01 Registro de PQR y reclamos</w:t>
            </w:r>
          </w:p>
        </w:tc>
        <w:tc>
          <w:tcPr/>
          <w:p>
            <w:pPr>
              <w:pStyle w:val="Compact"/>
              <w:jc w:val="left"/>
            </w:pPr>
            <w:r>
              <w:t xml:space="preserve">1.025 PQR (ene–sep 2026)</w:t>
            </w:r>
          </w:p>
        </w:tc>
        <w:tc>
          <w:tcPr/>
          <w:p>
            <w:pPr>
              <w:pStyle w:val="Compact"/>
              <w:jc w:val="left"/>
            </w:pPr>
            <w:r>
              <w:t xml:space="preserve">id, fecha, canal, ciudad, producto, línea, lote, tipo, severidad 1–5, descripción, estado, tiempo de respuesta (h), sentimiento (−1 a 1)</w:t>
            </w:r>
          </w:p>
        </w:tc>
        <w:tc>
          <w:tcPr/>
          <w:p>
            <w:pPr>
              <w:pStyle w:val="Compact"/>
              <w:jc w:val="left"/>
            </w:pPr>
            <w:r>
              <w:t xml:space="preserve">25 duplicados; 20 ciudades o canales vacíos; 10 lotes «N/D»; 6 fechas imposibles; 7 tiempos negativos; 5 severidades = 9</w:t>
            </w:r>
          </w:p>
        </w:tc>
      </w:tr>
      <w:tr>
        <w:tc>
          <w:tcPr/>
          <w:p>
            <w:pPr>
              <w:pStyle w:val="Compact"/>
              <w:jc w:val="left"/>
            </w:pPr>
            <w:r>
              <w:t xml:space="preserve">02 Trazabilidad de lotes y controles</w:t>
            </w:r>
          </w:p>
        </w:tc>
        <w:tc>
          <w:tcPr/>
          <w:p>
            <w:pPr>
              <w:pStyle w:val="Compact"/>
              <w:jc w:val="left"/>
            </w:pPr>
            <w:r>
              <w:t xml:space="preserve">216 lotes y 1.307 controles</w:t>
            </w:r>
          </w:p>
        </w:tc>
        <w:tc>
          <w:tcPr/>
          <w:p>
            <w:pPr>
              <w:pStyle w:val="Compact"/>
              <w:jc w:val="left"/>
            </w:pPr>
            <w:r>
              <w:t xml:space="preserve">Lote, producto, fecha de producción, planta, turno, proveedor, CEDI, distribuidor; 6 controles por lote</w:t>
            </w:r>
          </w:p>
        </w:tc>
        <w:tc>
          <w:tcPr/>
          <w:p>
            <w:pPr>
              <w:pStyle w:val="Compact"/>
              <w:jc w:val="left"/>
            </w:pPr>
            <w:r>
              <w:t xml:space="preserve">11 duplicados; 9 resultados vacíos; 5 fechas de control anteriores a la producción; 4 valores fuera de rango</w:t>
            </w:r>
          </w:p>
        </w:tc>
      </w:tr>
      <w:tr>
        <w:tc>
          <w:tcPr/>
          <w:p>
            <w:pPr>
              <w:pStyle w:val="Compact"/>
              <w:jc w:val="left"/>
            </w:pPr>
            <w:r>
              <w:t xml:space="preserve">03 Serie de KPI</w:t>
            </w:r>
          </w:p>
        </w:tc>
        <w:tc>
          <w:tcPr/>
          <w:p>
            <w:pPr>
              <w:pStyle w:val="Compact"/>
              <w:jc w:val="left"/>
            </w:pPr>
            <w:r>
              <w:t xml:space="preserve">18 meses (oct-2025 a mar-2027)</w:t>
            </w:r>
          </w:p>
        </w:tc>
        <w:tc>
          <w:tcPr/>
          <w:p>
            <w:pPr>
              <w:pStyle w:val="Compact"/>
              <w:jc w:val="left"/>
            </w:pPr>
            <w:r>
              <w:t xml:space="preserve">11 indicadores de confianza, operación y comercial</w:t>
            </w:r>
          </w:p>
        </w:tc>
        <w:tc>
          <w:tcPr/>
          <w:p>
            <w:pPr>
              <w:pStyle w:val="Compact"/>
              <w:jc w:val="left"/>
            </w:pPr>
            <w:r>
              <w:t xml:space="preserve">Ninguno; oct-2026 a mar-2027 es proyección</w:t>
            </w:r>
          </w:p>
        </w:tc>
      </w:tr>
    </w:tbl>
    <w:bookmarkStart w:id="25" w:name="cómo-los-datos-evidencian-el-problema"/>
    <w:p>
      <w:pPr>
        <w:pStyle w:val="Heading2"/>
      </w:pPr>
      <w:r>
        <w:t xml:space="preserve">Cómo los datos evidencian el problema</w:t>
      </w:r>
    </w:p>
    <w:p>
      <w:pPr>
        <w:numPr>
          <w:ilvl w:val="0"/>
          <w:numId w:val="1002"/>
        </w:numPr>
        <w:pStyle w:val="Compact"/>
      </w:pPr>
      <w:r>
        <w:t xml:space="preserve">El lote</w:t>
      </w:r>
      <w:r>
        <w:t xml:space="preserve"> </w:t>
      </w:r>
      <w:r>
        <w:rPr>
          <w:bCs/>
          <w:b/>
        </w:rPr>
        <w:t xml:space="preserve">VEG-BP-2026-047</w:t>
      </w:r>
      <w:r>
        <w:t xml:space="preserve"> </w:t>
      </w:r>
      <w:r>
        <w:t xml:space="preserve">(bebida proteica vegana, Planta Chía, turno noche, 2 de abril de 2026) concentra</w:t>
      </w:r>
      <w:r>
        <w:t xml:space="preserve"> </w:t>
      </w:r>
      <w:r>
        <w:rPr>
          <w:bCs/>
          <w:b/>
        </w:rPr>
        <w:t xml:space="preserve">64 reportes únicos de salud</w:t>
      </w:r>
      <w:r>
        <w:t xml:space="preserve">.</w:t>
      </w:r>
    </w:p>
    <w:p>
      <w:pPr>
        <w:numPr>
          <w:ilvl w:val="0"/>
          <w:numId w:val="1002"/>
        </w:numPr>
        <w:pStyle w:val="Compact"/>
      </w:pPr>
      <w:r>
        <w:t xml:space="preserve">En ese lote, los controles de</w:t>
      </w:r>
      <w:r>
        <w:t xml:space="preserve"> </w:t>
      </w:r>
      <w:r>
        <w:rPr>
          <w:iCs/>
          <w:i/>
        </w:rPr>
        <w:t xml:space="preserve">Bacillus cereus</w:t>
      </w:r>
      <w:r>
        <w:t xml:space="preserve"> </w:t>
      </w:r>
      <w:r>
        <w:t xml:space="preserve">y alérgenos figuran como «No realizado», y la proteína medida (14,2 g/100 g) no coincide con la declarada (20 g/100 g): ahí están las capas sanitaria, operativa e informacional.</w:t>
      </w:r>
    </w:p>
    <w:p>
      <w:pPr>
        <w:numPr>
          <w:ilvl w:val="0"/>
          <w:numId w:val="1002"/>
        </w:numPr>
        <w:pStyle w:val="Compact"/>
      </w:pPr>
      <w:r>
        <w:rPr>
          <w:bCs/>
          <w:b/>
        </w:rPr>
        <w:t xml:space="preserve">23 reportes de salud</w:t>
      </w:r>
      <w:r>
        <w:t xml:space="preserve"> </w:t>
      </w:r>
      <w:r>
        <w:t xml:space="preserve">mencionan otros lotes sin respaldo de laboratorio. Los lotes 046 y 048 tienen sus 6 controles conformes.</w:t>
      </w:r>
    </w:p>
    <w:p>
      <w:pPr>
        <w:numPr>
          <w:ilvl w:val="0"/>
          <w:numId w:val="1002"/>
        </w:numPr>
        <w:pStyle w:val="Compact"/>
      </w:pPr>
      <w:r>
        <w:t xml:space="preserve">Las consultas de seguridad, el etiquetado y el rumor del documento falso suben después del 14 de abril también en lácteos, panadería y cereales: es la capa reputacional.</w:t>
      </w:r>
    </w:p>
    <w:bookmarkEnd w:id="25"/>
    <w:bookmarkStart w:id="26" w:name="prompts-usados-para-generar-los-datos"/>
    <w:p>
      <w:pPr>
        <w:pStyle w:val="Heading2"/>
      </w:pPr>
      <w:r>
        <w:t xml:space="preserve">Prompts usados para generar los datos</w:t>
      </w:r>
    </w:p>
    <w:p>
      <w:pPr>
        <w:pStyle w:val="BlockText"/>
      </w:pPr>
      <w:r>
        <w:rPr>
          <w:bCs/>
          <w:b/>
        </w:rPr>
        <w:t xml:space="preserve">PQR:</w:t>
      </w:r>
      <w:r>
        <w:t xml:space="preserve"> </w:t>
      </w:r>
      <w:r>
        <w:t xml:space="preserve">«Genera un dataset simulado de 1.025 PQR de Alimenta Familia (ene–sep 2026) con las columnas indicadas; incluye 64 reportes únicos de salud del lote VEG-BP-2026-047 concentrados tras el 14-abr-2026, 23 reportes de salud que mencionan otros lotes sin respaldo de laboratorio y errores intencionales documentados.»</w:t>
      </w:r>
    </w:p>
    <w:p>
      <w:pPr>
        <w:pStyle w:val="BlockText"/>
      </w:pPr>
      <w:r>
        <w:rPr>
          <w:bCs/>
          <w:b/>
        </w:rPr>
        <w:t xml:space="preserve">Trazabilidad:</w:t>
      </w:r>
      <w:r>
        <w:t xml:space="preserve"> </w:t>
      </w:r>
      <w:r>
        <w:t xml:space="preserve">«Genera la trazabilidad simulada de 216 lotes y 1.307 registros de control (6 por lote + 11 duplicados). El lote VEG-BP-2026-047 (Planta Chía, turno noche) tiene</w:t>
      </w:r>
      <w:r>
        <w:t xml:space="preserve"> </w:t>
      </w:r>
      <w:r>
        <w:rPr>
          <w:iCs/>
          <w:i/>
        </w:rPr>
        <w:t xml:space="preserve">Bacillus cereus</w:t>
      </w:r>
      <w:r>
        <w:t xml:space="preserve"> </w:t>
      </w:r>
      <w:r>
        <w:t xml:space="preserve">y alérgenos</w:t>
      </w:r>
      <w:r>
        <w:t xml:space="preserve"> </w:t>
      </w:r>
      <w:r>
        <w:t xml:space="preserve">‘</w:t>
      </w:r>
      <w:r>
        <w:t xml:space="preserve">No realizado</w:t>
      </w:r>
      <w:r>
        <w:t xml:space="preserve">’</w:t>
      </w:r>
      <w:r>
        <w:t xml:space="preserve"> </w:t>
      </w:r>
      <w:r>
        <w:t xml:space="preserve">y proteína declarada de 20 g frente a 14,2 g medidos. Los lotes 046 y 048 son conformes.»</w:t>
      </w:r>
    </w:p>
    <w:p>
      <w:pPr>
        <w:pStyle w:val="BlockText"/>
      </w:pPr>
      <w:r>
        <w:rPr>
          <w:bCs/>
          <w:b/>
        </w:rPr>
        <w:t xml:space="preserve">KPI:</w:t>
      </w:r>
      <w:r>
        <w:t xml:space="preserve"> </w:t>
      </w:r>
      <w:r>
        <w:t xml:space="preserve">«Genera una serie mensual simulada de 18 meses con los KPI de confianza, operación y comercial, marcando las fases Antes, Crisis (abr–jun 2026) y Recuperación.»</w:t>
      </w:r>
    </w:p>
    <w:p>
      <w:pPr>
        <w:pStyle w:val="FirstParagraph"/>
      </w:pPr>
      <w:r>
        <w:t xml:space="preserve">El código que los reproduce (</w:t>
      </w:r>
      <w:r>
        <w:rPr>
          <w:rStyle w:val="VerbatimChar"/>
        </w:rPr>
        <w:t xml:space="preserve">src/gen_datos.py</w:t>
      </w:r>
      <w:r>
        <w:t xml:space="preserve">, semilla 2026) permite regenerar exactamente los mismos datos.</w:t>
      </w:r>
    </w:p>
    <w:bookmarkEnd w:id="26"/>
    <w:bookmarkEnd w:id="27"/>
    <w:bookmarkStart w:id="52" w:name="análisis-exploratorio-de-datos"/>
    <w:p>
      <w:pPr>
        <w:pStyle w:val="Heading1"/>
      </w:pPr>
      <w:r>
        <w:t xml:space="preserve">3. Análisis exploratorio de datos</w:t>
      </w:r>
    </w:p>
    <w:p>
      <w:pPr>
        <w:pStyle w:val="FirstParagraph"/>
      </w:pPr>
      <w:r>
        <w:t xml:space="preserve">El AED confirma que el problema técnico está en un solo lote y la desconfianza en todo el portafolio. El lote VEG-BP-2026-047 concentra 64 de los 102 reportes de salud (63 %), sus dos controles críticos no se hicieron, y aun así las consultas de seguridad llegaron desde las cuatro líneas de producto.</w:t>
      </w:r>
    </w:p>
    <w:bookmarkStart w:id="28" w:name="preguntas-correctas"/>
    <w:p>
      <w:pPr>
        <w:pStyle w:val="Heading2"/>
      </w:pPr>
      <w:r>
        <w:t xml:space="preserve">3.1 Preguntas correctas</w:t>
      </w:r>
    </w:p>
    <w:p>
      <w:pPr>
        <w:numPr>
          <w:ilvl w:val="0"/>
          <w:numId w:val="1003"/>
        </w:numPr>
        <w:pStyle w:val="Compact"/>
      </w:pPr>
      <w:r>
        <w:rPr>
          <w:bCs/>
          <w:b/>
        </w:rPr>
        <w:t xml:space="preserve">P1.</w:t>
      </w:r>
      <w:r>
        <w:t xml:space="preserve"> </w:t>
      </w:r>
      <w:r>
        <w:t xml:space="preserve">¿Los reportes de salud se concentran en un lote o se distribuyen en el portafolio?</w:t>
      </w:r>
    </w:p>
    <w:p>
      <w:pPr>
        <w:numPr>
          <w:ilvl w:val="0"/>
          <w:numId w:val="1003"/>
        </w:numPr>
        <w:pStyle w:val="Compact"/>
      </w:pPr>
      <w:r>
        <w:rPr>
          <w:bCs/>
          <w:b/>
        </w:rPr>
        <w:t xml:space="preserve">P2.</w:t>
      </w:r>
      <w:r>
        <w:t xml:space="preserve"> </w:t>
      </w:r>
      <w:r>
        <w:t xml:space="preserve">¿Qué controles se omitieron y en qué planta y turno ocurre con más frecuencia?</w:t>
      </w:r>
    </w:p>
    <w:p>
      <w:pPr>
        <w:numPr>
          <w:ilvl w:val="0"/>
          <w:numId w:val="1003"/>
        </w:numPr>
        <w:pStyle w:val="Compact"/>
      </w:pPr>
      <w:r>
        <w:rPr>
          <w:bCs/>
          <w:b/>
        </w:rPr>
        <w:t xml:space="preserve">P3.</w:t>
      </w:r>
      <w:r>
        <w:t xml:space="preserve"> </w:t>
      </w:r>
      <w:r>
        <w:t xml:space="preserve">¿Hay evidencia de laboratorio para los reportes que mencionan otros lotes?</w:t>
      </w:r>
    </w:p>
    <w:p>
      <w:pPr>
        <w:numPr>
          <w:ilvl w:val="0"/>
          <w:numId w:val="1003"/>
        </w:numPr>
        <w:pStyle w:val="Compact"/>
      </w:pPr>
      <w:r>
        <w:rPr>
          <w:bCs/>
          <w:b/>
        </w:rPr>
        <w:t xml:space="preserve">P4.</w:t>
      </w:r>
      <w:r>
        <w:t xml:space="preserve"> </w:t>
      </w:r>
      <w:r>
        <w:t xml:space="preserve">¿Cómo cambiaron el volumen, el tiempo de respuesta y el sentimiento de las PQR tras la crisis?</w:t>
      </w:r>
    </w:p>
    <w:p>
      <w:pPr>
        <w:numPr>
          <w:ilvl w:val="0"/>
          <w:numId w:val="1003"/>
        </w:numPr>
        <w:pStyle w:val="Compact"/>
      </w:pPr>
      <w:r>
        <w:rPr>
          <w:bCs/>
          <w:b/>
        </w:rPr>
        <w:t xml:space="preserve">P5.</w:t>
      </w:r>
      <w:r>
        <w:t xml:space="preserve"> </w:t>
      </w:r>
      <w:r>
        <w:t xml:space="preserve">¿La desconfianza se extendió a productos y líneas no afectados técnicamente?</w:t>
      </w:r>
    </w:p>
    <w:bookmarkEnd w:id="28"/>
    <w:bookmarkStart w:id="29" w:name="caracterización-de-los-datos"/>
    <w:p>
      <w:pPr>
        <w:pStyle w:val="Heading2"/>
      </w:pPr>
      <w:r>
        <w:t xml:space="preserve">3.2 Caracterización de los datos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Fuente</w:t>
            </w:r>
          </w:p>
        </w:tc>
        <w:tc>
          <w:tcPr/>
          <w:p>
            <w:pPr>
              <w:pStyle w:val="Compact"/>
              <w:jc w:val="left"/>
            </w:pPr>
            <w:r>
              <w:t xml:space="preserve">Origen y responsable</w:t>
            </w:r>
          </w:p>
        </w:tc>
        <w:tc>
          <w:tcPr/>
          <w:p>
            <w:pPr>
              <w:pStyle w:val="Compact"/>
              <w:jc w:val="left"/>
            </w:pPr>
            <w:r>
              <w:t xml:space="preserve">Periodo</w:t>
            </w:r>
          </w:p>
        </w:tc>
        <w:tc>
          <w:tcPr/>
          <w:p>
            <w:pPr>
              <w:pStyle w:val="Compact"/>
              <w:jc w:val="left"/>
            </w:pPr>
            <w:r>
              <w:t xml:space="preserve">Unidad de análisis</w:t>
            </w:r>
          </w:p>
        </w:tc>
        <w:tc>
          <w:tcPr/>
          <w:p>
            <w:pPr>
              <w:pStyle w:val="Compact"/>
              <w:jc w:val="left"/>
            </w:pPr>
            <w:r>
              <w:t xml:space="preserve">Variables clave</w:t>
            </w:r>
          </w:p>
        </w:tc>
      </w:tr>
      <w:tr>
        <w:tc>
          <w:tcPr/>
          <w:p>
            <w:pPr>
              <w:pStyle w:val="Compact"/>
              <w:jc w:val="left"/>
            </w:pPr>
            <w:r>
              <w:t xml:space="preserve">Registro de PQR</w:t>
            </w:r>
          </w:p>
        </w:tc>
        <w:tc>
          <w:tcPr/>
          <w:p>
            <w:pPr>
              <w:pStyle w:val="Compact"/>
              <w:jc w:val="left"/>
            </w:pPr>
            <w:r>
              <w:t xml:space="preserve">Atención al Consumidor</w:t>
            </w:r>
          </w:p>
        </w:tc>
        <w:tc>
          <w:tcPr/>
          <w:p>
            <w:pPr>
              <w:pStyle w:val="Compact"/>
              <w:jc w:val="left"/>
            </w:pPr>
            <w:r>
              <w:t xml:space="preserve">2-ene a 30-sep-2026</w:t>
            </w:r>
          </w:p>
        </w:tc>
        <w:tc>
          <w:tcPr/>
          <w:p>
            <w:pPr>
              <w:pStyle w:val="Compact"/>
              <w:jc w:val="left"/>
            </w:pPr>
            <w:r>
              <w:t xml:space="preserve">Una PQR</w:t>
            </w:r>
          </w:p>
        </w:tc>
        <w:tc>
          <w:tcPr/>
          <w:p>
            <w:pPr>
              <w:pStyle w:val="Compact"/>
              <w:jc w:val="left"/>
            </w:pPr>
            <w:r>
              <w:t xml:space="preserve">fecha, canal, lote, tipo, severidad, tiempo de respuesta, sentimiento</w:t>
            </w:r>
          </w:p>
        </w:tc>
      </w:tr>
      <w:tr>
        <w:tc>
          <w:tcPr/>
          <w:p>
            <w:pPr>
              <w:pStyle w:val="Compact"/>
              <w:jc w:val="left"/>
            </w:pPr>
            <w:r>
              <w:t xml:space="preserve">Trazabilidad: Lotes</w:t>
            </w:r>
          </w:p>
        </w:tc>
        <w:tc>
          <w:tcPr/>
          <w:p>
            <w:pPr>
              <w:pStyle w:val="Compact"/>
              <w:jc w:val="left"/>
            </w:pPr>
            <w:r>
              <w:t xml:space="preserve">Operaciones</w:t>
            </w:r>
          </w:p>
        </w:tc>
        <w:tc>
          <w:tcPr/>
          <w:p>
            <w:pPr>
              <w:pStyle w:val="Compact"/>
              <w:jc w:val="left"/>
            </w:pPr>
            <w:r>
              <w:t xml:space="preserve">Producción ene–jun 2026</w:t>
            </w:r>
          </w:p>
        </w:tc>
        <w:tc>
          <w:tcPr/>
          <w:p>
            <w:pPr>
              <w:pStyle w:val="Compact"/>
              <w:jc w:val="left"/>
            </w:pPr>
            <w:r>
              <w:t xml:space="preserve">Un lote</w:t>
            </w:r>
          </w:p>
        </w:tc>
        <w:tc>
          <w:tcPr/>
          <w:p>
            <w:pPr>
              <w:pStyle w:val="Compact"/>
              <w:jc w:val="left"/>
            </w:pPr>
            <w:r>
              <w:t xml:space="preserve">planta, turno, proveedor, CEDI, distribuidor, fechas</w:t>
            </w:r>
          </w:p>
        </w:tc>
      </w:tr>
      <w:tr>
        <w:tc>
          <w:tcPr/>
          <w:p>
            <w:pPr>
              <w:pStyle w:val="Compact"/>
              <w:jc w:val="left"/>
            </w:pPr>
            <w:r>
              <w:t xml:space="preserve">Trazabilidad: Controles</w:t>
            </w:r>
          </w:p>
        </w:tc>
        <w:tc>
          <w:tcPr/>
          <w:p>
            <w:pPr>
              <w:pStyle w:val="Compact"/>
              <w:jc w:val="left"/>
            </w:pPr>
            <w:r>
              <w:t xml:space="preserve">Calidad</w:t>
            </w:r>
          </w:p>
        </w:tc>
        <w:tc>
          <w:tcPr/>
          <w:p>
            <w:pPr>
              <w:pStyle w:val="Compact"/>
              <w:jc w:val="left"/>
            </w:pPr>
            <w:r>
              <w:t xml:space="preserve">Ene–jun 2026</w:t>
            </w:r>
          </w:p>
        </w:tc>
        <w:tc>
          <w:tcPr/>
          <w:p>
            <w:pPr>
              <w:pStyle w:val="Compact"/>
              <w:jc w:val="left"/>
            </w:pPr>
            <w:r>
              <w:t xml:space="preserve">Un control por lote</w:t>
            </w:r>
          </w:p>
        </w:tc>
        <w:tc>
          <w:tcPr/>
          <w:p>
            <w:pPr>
              <w:pStyle w:val="Compact"/>
              <w:jc w:val="left"/>
            </w:pPr>
            <w:r>
              <w:t xml:space="preserve">tipo de control, valor medido, resultado</w:t>
            </w:r>
          </w:p>
        </w:tc>
      </w:tr>
      <w:tr>
        <w:tc>
          <w:tcPr/>
          <w:p>
            <w:pPr>
              <w:pStyle w:val="Compact"/>
              <w:jc w:val="left"/>
            </w:pPr>
            <w:r>
              <w:t xml:space="preserve">Serie de KPI</w:t>
            </w:r>
          </w:p>
        </w:tc>
        <w:tc>
          <w:tcPr/>
          <w:p>
            <w:pPr>
              <w:pStyle w:val="Compact"/>
              <w:jc w:val="left"/>
            </w:pPr>
            <w:r>
              <w:t xml:space="preserve">Dirección y Comunicación</w:t>
            </w:r>
          </w:p>
        </w:tc>
        <w:tc>
          <w:tcPr/>
          <w:p>
            <w:pPr>
              <w:pStyle w:val="Compact"/>
              <w:jc w:val="left"/>
            </w:pPr>
            <w:r>
              <w:t xml:space="preserve">Oct-2025 a mar-2027</w:t>
            </w:r>
          </w:p>
        </w:tc>
        <w:tc>
          <w:tcPr/>
          <w:p>
            <w:pPr>
              <w:pStyle w:val="Compact"/>
              <w:jc w:val="left"/>
            </w:pPr>
            <w:r>
              <w:t xml:space="preserve">Un mes</w:t>
            </w:r>
          </w:p>
        </w:tc>
        <w:tc>
          <w:tcPr/>
          <w:p>
            <w:pPr>
              <w:pStyle w:val="Compact"/>
              <w:jc w:val="left"/>
            </w:pPr>
            <w:r>
              <w:t xml:space="preserve">11 indicadores</w:t>
            </w:r>
          </w:p>
        </w:tc>
      </w:tr>
    </w:tbl>
    <w:p>
      <w:pPr>
        <w:pStyle w:val="BodyText"/>
      </w:pPr>
      <w:r>
        <w:t xml:space="preserve">La llave común entre PQR y trazabilidad es el</w:t>
      </w:r>
      <w:r>
        <w:t xml:space="preserve"> </w:t>
      </w:r>
      <w:r>
        <w:rPr>
          <w:bCs/>
          <w:b/>
        </w:rPr>
        <w:t xml:space="preserve">lote</w:t>
      </w:r>
      <w:r>
        <w:t xml:space="preserve">. El 42 % de las PQR no trae lote (sobre todo consultas y felicitaciones), así que el cruce por lote solo cubre las PQR que lo informan.</w:t>
      </w:r>
    </w:p>
    <w:bookmarkEnd w:id="29"/>
    <w:bookmarkStart w:id="30" w:name="detección-de-datos-atípicos"/>
    <w:p>
      <w:pPr>
        <w:pStyle w:val="Heading2"/>
      </w:pPr>
      <w:r>
        <w:t xml:space="preserve">3.3 Detección de datos atípicos</w:t>
      </w:r>
    </w:p>
    <w:p>
      <w:pPr>
        <w:numPr>
          <w:ilvl w:val="0"/>
          <w:numId w:val="1004"/>
        </w:numPr>
        <w:pStyle w:val="Compact"/>
      </w:pPr>
      <w:r>
        <w:rPr>
          <w:bCs/>
          <w:b/>
        </w:rPr>
        <w:t xml:space="preserve">Errores de validez (reglas de negocio):</w:t>
      </w:r>
      <w:r>
        <w:t xml:space="preserve"> </w:t>
      </w:r>
      <w:r>
        <w:t xml:space="preserve">6 fechas imposibles (por ejemplo 2062-04-15 o el mes 13), 7 tiempos de respuesta negativos, 5 severidades fuera de la escala 1–5, 5 controles fechados antes de producir el lote y 4 valores medidos imposibles (−3,5 o 999).</w:t>
      </w:r>
    </w:p>
    <w:p>
      <w:pPr>
        <w:numPr>
          <w:ilvl w:val="0"/>
          <w:numId w:val="1004"/>
        </w:numPr>
        <w:pStyle w:val="Compact"/>
      </w:pPr>
      <w:r>
        <w:rPr>
          <w:bCs/>
          <w:b/>
        </w:rPr>
        <w:t xml:space="preserve">Atípicos estadísticos (método IQR):</w:t>
      </w:r>
      <w:r>
        <w:t xml:space="preserve"> </w:t>
      </w:r>
      <w:r>
        <w:t xml:space="preserve">en el tiempo de respuesta, Q1 = 18,6 h, Q3 = 65,7 h y límite superior = Q3 + 1,5 × IQR = 136,4 h. 20 PQR lo superan; todas caen en la ventana de crisis.</w:t>
      </w:r>
      <w:r>
        <w:t xml:space="preserve"> </w:t>
      </w:r>
      <w:r>
        <w:rPr>
          <w:bCs/>
          <w:b/>
        </w:rPr>
        <w:t xml:space="preserve">No se eliminan</w:t>
      </w:r>
      <w:r>
        <w:t xml:space="preserve">: son la señal del colapso del canal de atención, no ruido. Se usa IQR y no z-score porque la distribución es asimétrica (gamma).</w:t>
      </w:r>
    </w:p>
    <w:bookmarkEnd w:id="30"/>
    <w:bookmarkStart w:id="31" w:name="limpieza-de-los-datos"/>
    <w:p>
      <w:pPr>
        <w:pStyle w:val="Heading2"/>
      </w:pPr>
      <w:r>
        <w:t xml:space="preserve">3.4 Limpieza de los datos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Base</w:t>
            </w:r>
          </w:p>
        </w:tc>
        <w:tc>
          <w:tcPr/>
          <w:p>
            <w:pPr>
              <w:pStyle w:val="Compact"/>
              <w:jc w:val="left"/>
            </w:pPr>
            <w:r>
              <w:t xml:space="preserve">Hallazgo</w:t>
            </w:r>
          </w:p>
        </w:tc>
        <w:tc>
          <w:tcPr/>
          <w:p>
            <w:pPr>
              <w:pStyle w:val="Compact"/>
              <w:jc w:val="left"/>
            </w:pPr>
            <w:r>
              <w:t xml:space="preserve">Registros</w:t>
            </w:r>
          </w:p>
        </w:tc>
        <w:tc>
          <w:tcPr/>
          <w:p>
            <w:pPr>
              <w:pStyle w:val="Compact"/>
              <w:jc w:val="left"/>
            </w:pPr>
            <w:r>
              <w:t xml:space="preserve">Tratamiento</w:t>
            </w:r>
          </w:p>
        </w:tc>
      </w:tr>
      <w:tr>
        <w:tc>
          <w:tcPr/>
          <w:p>
            <w:pPr>
              <w:pStyle w:val="Compact"/>
              <w:jc w:val="left"/>
            </w:pPr>
            <w:r>
              <w:t xml:space="preserve">PQR</w:t>
            </w:r>
          </w:p>
        </w:tc>
        <w:tc>
          <w:tcPr/>
          <w:p>
            <w:pPr>
              <w:pStyle w:val="Compact"/>
              <w:jc w:val="left"/>
            </w:pPr>
            <w:r>
              <w:t xml:space="preserve">Duplicados exactos</w:t>
            </w:r>
          </w:p>
        </w:tc>
        <w:tc>
          <w:tcPr/>
          <w:p>
            <w:pPr>
              <w:pStyle w:val="Compact"/>
              <w:jc w:val="left"/>
            </w:pPr>
            <w:r>
              <w:t xml:space="preserve">25</w:t>
            </w:r>
          </w:p>
        </w:tc>
        <w:tc>
          <w:tcPr/>
          <w:p>
            <w:pPr>
              <w:pStyle w:val="Compact"/>
              <w:jc w:val="left"/>
            </w:pPr>
            <w:r>
              <w:t xml:space="preserve">Se eliminan</w:t>
            </w:r>
          </w:p>
        </w:tc>
      </w:tr>
      <w:tr>
        <w:tc>
          <w:tcPr/>
          <w:p>
            <w:pPr>
              <w:pStyle w:val="Compact"/>
              <w:jc w:val="left"/>
            </w:pPr>
            <w:r>
              <w:t xml:space="preserve">PQR</w:t>
            </w:r>
          </w:p>
        </w:tc>
        <w:tc>
          <w:tcPr/>
          <w:p>
            <w:pPr>
              <w:pStyle w:val="Compact"/>
              <w:jc w:val="left"/>
            </w:pPr>
            <w:r>
              <w:t xml:space="preserve">Fechas imposibles</w:t>
            </w:r>
          </w:p>
        </w:tc>
        <w:tc>
          <w:tcPr/>
          <w:p>
            <w:pPr>
              <w:pStyle w:val="Compact"/>
              <w:jc w:val="left"/>
            </w:pPr>
            <w:r>
              <w:t xml:space="preserve">6</w:t>
            </w:r>
          </w:p>
        </w:tc>
        <w:tc>
          <w:tcPr/>
          <w:p>
            <w:pPr>
              <w:pStyle w:val="Compact"/>
              <w:jc w:val="left"/>
            </w:pPr>
            <w:r>
              <w:t xml:space="preserve">Se excluyen del análisis temporal</w:t>
            </w:r>
          </w:p>
        </w:tc>
      </w:tr>
      <w:tr>
        <w:tc>
          <w:tcPr/>
          <w:p>
            <w:pPr>
              <w:pStyle w:val="Compact"/>
              <w:jc w:val="left"/>
            </w:pPr>
            <w:r>
              <w:t xml:space="preserve">PQR</w:t>
            </w:r>
          </w:p>
        </w:tc>
        <w:tc>
          <w:tcPr/>
          <w:p>
            <w:pPr>
              <w:pStyle w:val="Compact"/>
              <w:jc w:val="left"/>
            </w:pPr>
            <w:r>
              <w:t xml:space="preserve">Tiempo de respuesta negativo</w:t>
            </w:r>
          </w:p>
        </w:tc>
        <w:tc>
          <w:tcPr/>
          <w:p>
            <w:pPr>
              <w:pStyle w:val="Compact"/>
              <w:jc w:val="left"/>
            </w:pPr>
            <w:r>
              <w:t xml:space="preserve">7</w:t>
            </w:r>
          </w:p>
        </w:tc>
        <w:tc>
          <w:tcPr/>
          <w:p>
            <w:pPr>
              <w:pStyle w:val="Compact"/>
              <w:jc w:val="left"/>
            </w:pPr>
            <w:r>
              <w:t xml:space="preserve">Valor absoluto (error de signo)</w:t>
            </w:r>
          </w:p>
        </w:tc>
      </w:tr>
      <w:tr>
        <w:tc>
          <w:tcPr/>
          <w:p>
            <w:pPr>
              <w:pStyle w:val="Compact"/>
              <w:jc w:val="left"/>
            </w:pPr>
            <w:r>
              <w:t xml:space="preserve">PQR</w:t>
            </w:r>
          </w:p>
        </w:tc>
        <w:tc>
          <w:tcPr/>
          <w:p>
            <w:pPr>
              <w:pStyle w:val="Compact"/>
              <w:jc w:val="left"/>
            </w:pPr>
            <w:r>
              <w:t xml:space="preserve">Severidad = 9</w:t>
            </w:r>
          </w:p>
        </w:tc>
        <w:tc>
          <w:tcPr/>
          <w:p>
            <w:pPr>
              <w:pStyle w:val="Compact"/>
              <w:jc w:val="left"/>
            </w:pPr>
            <w:r>
              <w:t xml:space="preserve">5</w:t>
            </w:r>
          </w:p>
        </w:tc>
        <w:tc>
          <w:tcPr/>
          <w:p>
            <w:pPr>
              <w:pStyle w:val="Compact"/>
              <w:jc w:val="left"/>
            </w:pPr>
            <w:r>
              <w:t xml:space="preserve">Se anula</w:t>
            </w:r>
          </w:p>
        </w:tc>
      </w:tr>
      <w:tr>
        <w:tc>
          <w:tcPr/>
          <w:p>
            <w:pPr>
              <w:pStyle w:val="Compact"/>
              <w:jc w:val="left"/>
            </w:pPr>
            <w:r>
              <w:t xml:space="preserve">PQR</w:t>
            </w:r>
          </w:p>
        </w:tc>
        <w:tc>
          <w:tcPr/>
          <w:p>
            <w:pPr>
              <w:pStyle w:val="Compact"/>
              <w:jc w:val="left"/>
            </w:pPr>
            <w:r>
              <w:t xml:space="preserve">Lote «N/D»</w:t>
            </w:r>
          </w:p>
        </w:tc>
        <w:tc>
          <w:tcPr/>
          <w:p>
            <w:pPr>
              <w:pStyle w:val="Compact"/>
              <w:jc w:val="left"/>
            </w:pPr>
            <w:r>
              <w:t xml:space="preserve">10</w:t>
            </w:r>
          </w:p>
        </w:tc>
        <w:tc>
          <w:tcPr/>
          <w:p>
            <w:pPr>
              <w:pStyle w:val="Compact"/>
              <w:jc w:val="left"/>
            </w:pPr>
            <w:r>
              <w:t xml:space="preserve">Se convierte a nulo</w:t>
            </w:r>
          </w:p>
        </w:tc>
      </w:tr>
      <w:tr>
        <w:tc>
          <w:tcPr/>
          <w:p>
            <w:pPr>
              <w:pStyle w:val="Compact"/>
              <w:jc w:val="left"/>
            </w:pPr>
            <w:r>
              <w:t xml:space="preserve">PQR</w:t>
            </w:r>
          </w:p>
        </w:tc>
        <w:tc>
          <w:tcPr/>
          <w:p>
            <w:pPr>
              <w:pStyle w:val="Compact"/>
              <w:jc w:val="left"/>
            </w:pPr>
            <w:r>
              <w:t xml:space="preserve">Ciudad o canal vacíos</w:t>
            </w:r>
          </w:p>
        </w:tc>
        <w:tc>
          <w:tcPr/>
          <w:p>
            <w:pPr>
              <w:pStyle w:val="Compact"/>
              <w:jc w:val="left"/>
            </w:pPr>
            <w:r>
              <w:t xml:space="preserve">20</w:t>
            </w:r>
          </w:p>
        </w:tc>
        <w:tc>
          <w:tcPr/>
          <w:p>
            <w:pPr>
              <w:pStyle w:val="Compact"/>
              <w:jc w:val="left"/>
            </w:pPr>
            <w:r>
              <w:t xml:space="preserve">Se conservan como «Sin dato»</w:t>
            </w:r>
          </w:p>
        </w:tc>
      </w:tr>
      <w:tr>
        <w:tc>
          <w:tcPr/>
          <w:p>
            <w:pPr>
              <w:pStyle w:val="Compact"/>
              <w:jc w:val="left"/>
            </w:pPr>
            <w:r>
              <w:t xml:space="preserve">Controles</w:t>
            </w:r>
          </w:p>
        </w:tc>
        <w:tc>
          <w:tcPr/>
          <w:p>
            <w:pPr>
              <w:pStyle w:val="Compact"/>
              <w:jc w:val="left"/>
            </w:pPr>
            <w:r>
              <w:t xml:space="preserve">Duplicados exactos</w:t>
            </w:r>
          </w:p>
        </w:tc>
        <w:tc>
          <w:tcPr/>
          <w:p>
            <w:pPr>
              <w:pStyle w:val="Compact"/>
              <w:jc w:val="left"/>
            </w:pPr>
            <w:r>
              <w:t xml:space="preserve">11</w:t>
            </w:r>
          </w:p>
        </w:tc>
        <w:tc>
          <w:tcPr/>
          <w:p>
            <w:pPr>
              <w:pStyle w:val="Compact"/>
              <w:jc w:val="left"/>
            </w:pPr>
            <w:r>
              <w:t xml:space="preserve">Se eliminan</w:t>
            </w:r>
          </w:p>
        </w:tc>
      </w:tr>
      <w:tr>
        <w:tc>
          <w:tcPr/>
          <w:p>
            <w:pPr>
              <w:pStyle w:val="Compact"/>
              <w:jc w:val="left"/>
            </w:pPr>
            <w:r>
              <w:t xml:space="preserve">Controles</w:t>
            </w:r>
          </w:p>
        </w:tc>
        <w:tc>
          <w:tcPr/>
          <w:p>
            <w:pPr>
              <w:pStyle w:val="Compact"/>
              <w:jc w:val="left"/>
            </w:pPr>
            <w:r>
              <w:t xml:space="preserve">Resultado vacío</w:t>
            </w:r>
          </w:p>
        </w:tc>
        <w:tc>
          <w:tcPr/>
          <w:p>
            <w:pPr>
              <w:pStyle w:val="Compact"/>
              <w:jc w:val="left"/>
            </w:pPr>
            <w:r>
              <w:t xml:space="preserve">9</w:t>
            </w:r>
          </w:p>
        </w:tc>
        <w:tc>
          <w:tcPr/>
          <w:p>
            <w:pPr>
              <w:pStyle w:val="Compact"/>
              <w:jc w:val="left"/>
            </w:pPr>
            <w:r>
              <w:t xml:space="preserve">«Sin registro»; nunca se asume conforme</w:t>
            </w:r>
          </w:p>
        </w:tc>
      </w:tr>
      <w:tr>
        <w:tc>
          <w:tcPr/>
          <w:p>
            <w:pPr>
              <w:pStyle w:val="Compact"/>
              <w:jc w:val="left"/>
            </w:pPr>
            <w:r>
              <w:t xml:space="preserve">Controles</w:t>
            </w:r>
          </w:p>
        </w:tc>
        <w:tc>
          <w:tcPr/>
          <w:p>
            <w:pPr>
              <w:pStyle w:val="Compact"/>
              <w:jc w:val="left"/>
            </w:pPr>
            <w:r>
              <w:t xml:space="preserve">Fecha de control previa a la producción</w:t>
            </w:r>
          </w:p>
        </w:tc>
        <w:tc>
          <w:tcPr/>
          <w:p>
            <w:pPr>
              <w:pStyle w:val="Compact"/>
              <w:jc w:val="left"/>
            </w:pPr>
            <w:r>
              <w:t xml:space="preserve">5</w:t>
            </w:r>
          </w:p>
        </w:tc>
        <w:tc>
          <w:tcPr/>
          <w:p>
            <w:pPr>
              <w:pStyle w:val="Compact"/>
              <w:jc w:val="left"/>
            </w:pPr>
            <w:r>
              <w:t xml:space="preserve">Se marca para verificar con Calidad</w:t>
            </w:r>
          </w:p>
        </w:tc>
      </w:tr>
      <w:tr>
        <w:tc>
          <w:tcPr/>
          <w:p>
            <w:pPr>
              <w:pStyle w:val="Compact"/>
              <w:jc w:val="left"/>
            </w:pPr>
            <w:r>
              <w:t xml:space="preserve">Controles</w:t>
            </w:r>
          </w:p>
        </w:tc>
        <w:tc>
          <w:tcPr/>
          <w:p>
            <w:pPr>
              <w:pStyle w:val="Compact"/>
              <w:jc w:val="left"/>
            </w:pPr>
            <w:r>
              <w:t xml:space="preserve">Valor fuera de rango</w:t>
            </w:r>
          </w:p>
        </w:tc>
        <w:tc>
          <w:tcPr/>
          <w:p>
            <w:pPr>
              <w:pStyle w:val="Compact"/>
              <w:jc w:val="left"/>
            </w:pPr>
            <w:r>
              <w:t xml:space="preserve">4</w:t>
            </w:r>
          </w:p>
        </w:tc>
        <w:tc>
          <w:tcPr/>
          <w:p>
            <w:pPr>
              <w:pStyle w:val="Compact"/>
              <w:jc w:val="left"/>
            </w:pPr>
            <w:r>
              <w:t xml:space="preserve">Se anula el valor</w:t>
            </w:r>
          </w:p>
        </w:tc>
      </w:tr>
    </w:tbl>
    <w:p>
      <w:pPr>
        <w:pStyle w:val="BodyText"/>
      </w:pPr>
      <w:r>
        <w:t xml:space="preserve">Resultado: 1.025 →</w:t>
      </w:r>
      <w:r>
        <w:t xml:space="preserve"> </w:t>
      </w:r>
      <w:r>
        <w:rPr>
          <w:bCs/>
          <w:b/>
        </w:rPr>
        <w:t xml:space="preserve">994 PQR válidas</w:t>
      </w:r>
      <w:r>
        <w:t xml:space="preserve"> </w:t>
      </w:r>
      <w:r>
        <w:t xml:space="preserve">y 1.307 →</w:t>
      </w:r>
      <w:r>
        <w:t xml:space="preserve"> </w:t>
      </w:r>
      <w:r>
        <w:rPr>
          <w:bCs/>
          <w:b/>
        </w:rPr>
        <w:t xml:space="preserve">1.296 controles</w:t>
      </w:r>
      <w:r>
        <w:t xml:space="preserve"> </w:t>
      </w:r>
      <w:r>
        <w:t xml:space="preserve">(216 lotes × 6). La IA reporta cada corrección en vez de ocultarla, que es lo que exige la fase Escuchar.</w:t>
      </w:r>
    </w:p>
    <w:bookmarkEnd w:id="31"/>
    <w:bookmarkStart w:id="50" w:name="patrones"/>
    <w:p>
      <w:pPr>
        <w:pStyle w:val="Heading2"/>
      </w:pPr>
      <w:r>
        <w:t xml:space="preserve">3.5 Patrones</w:t>
      </w:r>
    </w:p>
    <w:p>
      <w:pPr>
        <w:pStyle w:val="CaptionedFigure"/>
      </w:pPr>
      <w:r>
        <w:drawing>
          <wp:inline>
            <wp:extent cx="5334000" cy="2667000"/>
            <wp:effectExtent b="0" l="0" r="0" t="0"/>
            <wp:docPr descr="PQR semanales: total y reportes de salud" title="" id="33" name="Picture"/>
            <a:graphic>
              <a:graphicData uri="http://schemas.openxmlformats.org/drawingml/2006/picture">
                <pic:pic>
                  <pic:nvPicPr>
                    <pic:cNvPr descr="../resultados/figuras/fig1_pqr_semanales.png" id="34" name="Picture"/>
                    <pic:cNvPicPr>
                      <a:picLocks noChangeArrowheads="1" noChangeAspect="1"/>
                    </pic:cNvPicPr>
                  </pic:nvPicPr>
                  <pic:blipFill>
                    <a:blip r:embed="rId3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PQR semanales: total y reportes de salud</w:t>
      </w:r>
    </w:p>
    <w:p>
      <w:pPr>
        <w:numPr>
          <w:ilvl w:val="0"/>
          <w:numId w:val="1005"/>
        </w:numPr>
        <w:pStyle w:val="Compact"/>
      </w:pPr>
      <w:r>
        <w:rPr>
          <w:bCs/>
          <w:b/>
        </w:rPr>
        <w:t xml:space="preserve">P1. Concentración:</w:t>
      </w:r>
      <w:r>
        <w:t xml:space="preserve"> </w:t>
      </w:r>
      <w:r>
        <w:t xml:space="preserve">de 102 reportes de salud, 64 corresponden al lote 047, 23 mencionan otros 11 lotes (ninguno con más de 4 reportes), 1 es la consulta de agosto sobre el lote VEG-GA-2026-063 y 14 no informan lote.</w:t>
      </w:r>
    </w:p>
    <w:p>
      <w:pPr>
        <w:numPr>
          <w:ilvl w:val="0"/>
          <w:numId w:val="1005"/>
        </w:numPr>
        <w:pStyle w:val="Compact"/>
      </w:pPr>
      <w:r>
        <w:rPr>
          <w:bCs/>
          <w:b/>
        </w:rPr>
        <w:t xml:space="preserve">P2. Omisiones:</w:t>
      </w:r>
      <w:r>
        <w:t xml:space="preserve"> </w:t>
      </w:r>
      <w:r>
        <w:t xml:space="preserve">antes de la crisis, la Planta Chía en turno noche omitió el</w:t>
      </w:r>
      <w:r>
        <w:t xml:space="preserve"> </w:t>
      </w:r>
      <w:r>
        <w:rPr>
          <w:bCs/>
          <w:b/>
        </w:rPr>
        <w:t xml:space="preserve">15,2 %</w:t>
      </w:r>
      <w:r>
        <w:t xml:space="preserve"> </w:t>
      </w:r>
      <w:r>
        <w:t xml:space="preserve">de sus controles, frente a un rango de 0 % a 5,6 % en las otras ocho combinaciones de planta y turno. Después del 14 de abril, las omisiones bajan a</w:t>
      </w:r>
      <w:r>
        <w:t xml:space="preserve"> </w:t>
      </w:r>
      <w:r>
        <w:rPr>
          <w:bCs/>
          <w:b/>
        </w:rPr>
        <w:t xml:space="preserve">0 %</w:t>
      </w:r>
      <w:r>
        <w:t xml:space="preserve">. El problema es de proceso en un turno, no de toda la planta.</w:t>
      </w:r>
    </w:p>
    <w:p>
      <w:pPr>
        <w:numPr>
          <w:ilvl w:val="0"/>
          <w:numId w:val="1005"/>
        </w:numPr>
        <w:pStyle w:val="Compact"/>
      </w:pPr>
      <w:r>
        <w:rPr>
          <w:bCs/>
          <w:b/>
        </w:rPr>
        <w:t xml:space="preserve">P3. Evidencia:</w:t>
      </w:r>
      <w:r>
        <w:t xml:space="preserve"> </w:t>
      </w:r>
      <w:r>
        <w:t xml:space="preserve">los 11 lotes mencionados en los 23 reportes tienen todos sus controles conformes, incluidos el 046 y el 048 (6 de 6). Esos reportes quedan como «Por confirmar», no como confirmados.</w:t>
      </w:r>
    </w:p>
    <w:p>
      <w:pPr>
        <w:numPr>
          <w:ilvl w:val="0"/>
          <w:numId w:val="1005"/>
        </w:numPr>
        <w:pStyle w:val="Compact"/>
      </w:pPr>
      <w:r>
        <w:rPr>
          <w:bCs/>
          <w:b/>
        </w:rPr>
        <w:t xml:space="preserve">P4. Atención:</w:t>
      </w:r>
      <w:r>
        <w:t xml:space="preserve"> </w:t>
      </w:r>
      <w:r>
        <w:t xml:space="preserve">las PQR pasan de 2,2 por día antes de la crisis a 8,5 por día en los 60 días siguientes. La mediana de respuesta sube de 25 h a 64 h y el sentimiento medio cae de −0,10 a −0,69. Después se recupera: 14,9 h de mediana y sentimiento de −0,28.</w:t>
      </w:r>
    </w:p>
    <w:p>
      <w:pPr>
        <w:numPr>
          <w:ilvl w:val="0"/>
          <w:numId w:val="1005"/>
        </w:numPr>
        <w:pStyle w:val="Compact"/>
      </w:pPr>
      <w:r>
        <w:rPr>
          <w:bCs/>
          <w:b/>
        </w:rPr>
        <w:t xml:space="preserve">P5. Contagio:</w:t>
      </w:r>
      <w:r>
        <w:t xml:space="preserve"> </w:t>
      </w:r>
      <w:r>
        <w:t xml:space="preserve">de 373 consultas de seguridad, reclamos de etiquetado y rumores, 164 (44 %) son de líneas sin ningún problema técnico: cereales (80), lácteos (49) y panadería (35).</w:t>
      </w:r>
    </w:p>
    <w:p>
      <w:pPr>
        <w:pStyle w:val="CaptionedFigure"/>
      </w:pPr>
      <w:r>
        <w:drawing>
          <wp:inline>
            <wp:extent cx="5334000" cy="2667000"/>
            <wp:effectExtent b="0" l="0" r="0" t="0"/>
            <wp:docPr descr="Reportes de salud por lote" title="" id="36" name="Picture"/>
            <a:graphic>
              <a:graphicData uri="http://schemas.openxmlformats.org/drawingml/2006/picture">
                <pic:pic>
                  <pic:nvPicPr>
                    <pic:cNvPr descr="../resultados/figuras/fig2_salud_por_lote.png" id="37" name="Picture"/>
                    <pic:cNvPicPr>
                      <a:picLocks noChangeArrowheads="1" noChangeAspect="1"/>
                    </pic:cNvPicPr>
                  </pic:nvPicPr>
                  <pic:blipFill>
                    <a:blip r:embed="rId3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Reportes de salud por lote</w:t>
      </w:r>
    </w:p>
    <w:p>
      <w:pPr>
        <w:pStyle w:val="CaptionedFigure"/>
      </w:pPr>
      <w:r>
        <w:drawing>
          <wp:inline>
            <wp:extent cx="5334000" cy="2667000"/>
            <wp:effectExtent b="0" l="0" r="0" t="0"/>
            <wp:docPr descr="Controles omitidos antes de la crisis por planta y turno" title="" id="39" name="Picture"/>
            <a:graphic>
              <a:graphicData uri="http://schemas.openxmlformats.org/drawingml/2006/picture">
                <pic:pic>
                  <pic:nvPicPr>
                    <pic:cNvPr descr="../resultados/figuras/fig3_omision_planta_turno.png" id="40" name="Picture"/>
                    <pic:cNvPicPr>
                      <a:picLocks noChangeArrowheads="1" noChangeAspect="1"/>
                    </pic:cNvPicPr>
                  </pic:nvPicPr>
                  <pic:blipFill>
                    <a:blip r:embed="rId3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Controles omitidos antes de la crisis por planta y turno</w:t>
      </w:r>
    </w:p>
    <w:p>
      <w:pPr>
        <w:pStyle w:val="CaptionedFigure"/>
      </w:pPr>
      <w:r>
        <w:drawing>
          <wp:inline>
            <wp:extent cx="5334000" cy="2667000"/>
            <wp:effectExtent b="0" l="0" r="0" t="0"/>
            <wp:docPr descr="Tiempo de respuesta por periodo" title="" id="42" name="Picture"/>
            <a:graphic>
              <a:graphicData uri="http://schemas.openxmlformats.org/drawingml/2006/picture">
                <pic:pic>
                  <pic:nvPicPr>
                    <pic:cNvPr descr="../resultados/figuras/fig4_tiempo_respuesta.png" id="43" name="Picture"/>
                    <pic:cNvPicPr>
                      <a:picLocks noChangeArrowheads="1" noChangeAspect="1"/>
                    </pic:cNvPicPr>
                  </pic:nvPicPr>
                  <pic:blipFill>
                    <a:blip r:embed="rId4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Tiempo de respuesta por periodo</w:t>
      </w:r>
    </w:p>
    <w:p>
      <w:pPr>
        <w:pStyle w:val="CaptionedFigure"/>
      </w:pPr>
      <w:r>
        <w:drawing>
          <wp:inline>
            <wp:extent cx="5334000" cy="2667000"/>
            <wp:effectExtent b="0" l="0" r="0" t="0"/>
            <wp:docPr descr="Sentimiento medio mensual" title="" id="45" name="Picture"/>
            <a:graphic>
              <a:graphicData uri="http://schemas.openxmlformats.org/drawingml/2006/picture">
                <pic:pic>
                  <pic:nvPicPr>
                    <pic:cNvPr descr="../resultados/figuras/fig5_sentimiento.png" id="46" name="Picture"/>
                    <pic:cNvPicPr>
                      <a:picLocks noChangeArrowheads="1" noChangeAspect="1"/>
                    </pic:cNvPicPr>
                  </pic:nvPicPr>
                  <pic:blipFill>
                    <a:blip r:embed="rId4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Sentimiento medio mensual</w:t>
      </w:r>
    </w:p>
    <w:p>
      <w:pPr>
        <w:pStyle w:val="CaptionedFigure"/>
      </w:pPr>
      <w:r>
        <w:drawing>
          <wp:inline>
            <wp:extent cx="5334000" cy="2667000"/>
            <wp:effectExtent b="0" l="0" r="0" t="0"/>
            <wp:docPr descr="Consultas de seguridad, rumores y etiquetado por línea" title="" id="48" name="Picture"/>
            <a:graphic>
              <a:graphicData uri="http://schemas.openxmlformats.org/drawingml/2006/picture">
                <pic:pic>
                  <pic:nvPicPr>
                    <pic:cNvPr descr="../resultados/figuras/fig6_contagio_lineas.png" id="49" name="Picture"/>
                    <pic:cNvPicPr>
                      <a:picLocks noChangeArrowheads="1" noChangeAspect="1"/>
                    </pic:cNvPicPr>
                  </pic:nvPicPr>
                  <pic:blipFill>
                    <a:blip r:embed="rId4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Consultas de seguridad, rumores y etiquetado por línea</w:t>
      </w:r>
    </w:p>
    <w:bookmarkEnd w:id="50"/>
    <w:bookmarkStart w:id="51" w:name="ficha-única-de-hechos-resultado-del-aed"/>
    <w:p>
      <w:pPr>
        <w:pStyle w:val="Heading2"/>
      </w:pPr>
      <w:r>
        <w:t xml:space="preserve">3.6 Ficha única de hechos (resultado del AED)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Dato</w:t>
            </w:r>
          </w:p>
        </w:tc>
        <w:tc>
          <w:tcPr/>
          <w:p>
            <w:pPr>
              <w:pStyle w:val="Compact"/>
              <w:jc w:val="left"/>
            </w:pPr>
            <w:r>
              <w:t xml:space="preserve">Estado</w:t>
            </w:r>
          </w:p>
        </w:tc>
        <w:tc>
          <w:tcPr/>
          <w:p>
            <w:pPr>
              <w:pStyle w:val="Compact"/>
              <w:jc w:val="left"/>
            </w:pPr>
            <w:r>
              <w:t xml:space="preserve">Fuente</w:t>
            </w:r>
          </w:p>
        </w:tc>
      </w:tr>
      <w:tr>
        <w:tc>
          <w:tcPr/>
          <w:p>
            <w:pPr>
              <w:pStyle w:val="Compact"/>
              <w:jc w:val="left"/>
            </w:pPr>
            <w:r>
              <w:t xml:space="preserve">El lote VEG-BP-2026-047 se produjo el 2-abr-2026 en la Planta Chía, turno noche</w:t>
            </w:r>
          </w:p>
        </w:tc>
        <w:tc>
          <w:tcPr/>
          <w:p>
            <w:pPr>
              <w:pStyle w:val="Compact"/>
              <w:jc w:val="left"/>
            </w:pPr>
            <w:r>
              <w:t xml:space="preserve">Confirmado</w:t>
            </w:r>
          </w:p>
        </w:tc>
        <w:tc>
          <w:tcPr/>
          <w:p>
            <w:pPr>
              <w:pStyle w:val="Compact"/>
              <w:jc w:val="left"/>
            </w:pPr>
            <w:r>
              <w:t xml:space="preserve">Trazabilidad: Lotes</w:t>
            </w:r>
          </w:p>
        </w:tc>
      </w:tr>
      <w:tr>
        <w:tc>
          <w:tcPr/>
          <w:p>
            <w:pPr>
              <w:pStyle w:val="Compact"/>
              <w:jc w:val="left"/>
            </w:pPr>
            <w:r>
              <w:t xml:space="preserve">Sus controles de</w:t>
            </w:r>
            <w:r>
              <w:t xml:space="preserve"> </w:t>
            </w:r>
            <w:r>
              <w:rPr>
                <w:iCs/>
                <w:i/>
              </w:rPr>
              <w:t xml:space="preserve">Bacillus cereus</w:t>
            </w:r>
            <w:r>
              <w:t xml:space="preserve"> </w:t>
            </w:r>
            <w:r>
              <w:t xml:space="preserve">y alérgenos no se realizaron</w:t>
            </w:r>
          </w:p>
        </w:tc>
        <w:tc>
          <w:tcPr/>
          <w:p>
            <w:pPr>
              <w:pStyle w:val="Compact"/>
              <w:jc w:val="left"/>
            </w:pPr>
            <w:r>
              <w:t xml:space="preserve">Confirmado</w:t>
            </w:r>
          </w:p>
        </w:tc>
        <w:tc>
          <w:tcPr/>
          <w:p>
            <w:pPr>
              <w:pStyle w:val="Compact"/>
              <w:jc w:val="left"/>
            </w:pPr>
            <w:r>
              <w:t xml:space="preserve">Trazabilidad: Controles</w:t>
            </w:r>
          </w:p>
        </w:tc>
      </w:tr>
      <w:tr>
        <w:tc>
          <w:tcPr/>
          <w:p>
            <w:pPr>
              <w:pStyle w:val="Compact"/>
              <w:jc w:val="left"/>
            </w:pPr>
            <w:r>
              <w:t xml:space="preserve">Proteína medida 14,2 g/100 g frente a 20 g declarados</w:t>
            </w:r>
          </w:p>
        </w:tc>
        <w:tc>
          <w:tcPr/>
          <w:p>
            <w:pPr>
              <w:pStyle w:val="Compact"/>
              <w:jc w:val="left"/>
            </w:pPr>
            <w:r>
              <w:t xml:space="preserve">Confirmado</w:t>
            </w:r>
          </w:p>
        </w:tc>
        <w:tc>
          <w:tcPr/>
          <w:p>
            <w:pPr>
              <w:pStyle w:val="Compact"/>
              <w:jc w:val="left"/>
            </w:pPr>
            <w:r>
              <w:t xml:space="preserve">Trazabilidad: Controles</w:t>
            </w:r>
          </w:p>
        </w:tc>
      </w:tr>
      <w:tr>
        <w:tc>
          <w:tcPr/>
          <w:p>
            <w:pPr>
              <w:pStyle w:val="Compact"/>
              <w:jc w:val="left"/>
            </w:pPr>
            <w:r>
              <w:t xml:space="preserve">64 reportes únicos de salud asociados a ese lote</w:t>
            </w:r>
          </w:p>
        </w:tc>
        <w:tc>
          <w:tcPr/>
          <w:p>
            <w:pPr>
              <w:pStyle w:val="Compact"/>
              <w:jc w:val="left"/>
            </w:pPr>
            <w:r>
              <w:t xml:space="preserve">Confirmado (como reportes, no como diagnóstico)</w:t>
            </w:r>
          </w:p>
        </w:tc>
        <w:tc>
          <w:tcPr/>
          <w:p>
            <w:pPr>
              <w:pStyle w:val="Compact"/>
              <w:jc w:val="left"/>
            </w:pPr>
            <w:r>
              <w:t xml:space="preserve">Registro de PQR</w:t>
            </w:r>
          </w:p>
        </w:tc>
      </w:tr>
      <w:tr>
        <w:tc>
          <w:tcPr/>
          <w:p>
            <w:pPr>
              <w:pStyle w:val="Compact"/>
              <w:jc w:val="left"/>
            </w:pPr>
            <w:r>
              <w:t xml:space="preserve">Los lotes 046 y 048 tienen análisis conformes (6 de 6)</w:t>
            </w:r>
          </w:p>
        </w:tc>
        <w:tc>
          <w:tcPr/>
          <w:p>
            <w:pPr>
              <w:pStyle w:val="Compact"/>
              <w:jc w:val="left"/>
            </w:pPr>
            <w:r>
              <w:t xml:space="preserve">Confirmado</w:t>
            </w:r>
          </w:p>
        </w:tc>
        <w:tc>
          <w:tcPr/>
          <w:p>
            <w:pPr>
              <w:pStyle w:val="Compact"/>
              <w:jc w:val="left"/>
            </w:pPr>
            <w:r>
              <w:t xml:space="preserve">Trazabilidad: Controles</w:t>
            </w:r>
          </w:p>
        </w:tc>
      </w:tr>
      <w:tr>
        <w:tc>
          <w:tcPr/>
          <w:p>
            <w:pPr>
              <w:pStyle w:val="Compact"/>
              <w:jc w:val="left"/>
            </w:pPr>
            <w:r>
              <w:t xml:space="preserve">23 reportes de salud asociados a otros lotes</w:t>
            </w:r>
          </w:p>
        </w:tc>
        <w:tc>
          <w:tcPr/>
          <w:p>
            <w:pPr>
              <w:pStyle w:val="Compact"/>
              <w:jc w:val="left"/>
            </w:pPr>
            <w:r>
              <w:t xml:space="preserve">Por confirmar</w:t>
            </w:r>
          </w:p>
        </w:tc>
        <w:tc>
          <w:tcPr/>
          <w:p>
            <w:pPr>
              <w:pStyle w:val="Compact"/>
              <w:jc w:val="left"/>
            </w:pPr>
            <w:r>
              <w:t xml:space="preserve">PQR sin respaldo de laboratorio</w:t>
            </w:r>
          </w:p>
        </w:tc>
      </w:tr>
      <w:tr>
        <w:tc>
          <w:tcPr/>
          <w:p>
            <w:pPr>
              <w:pStyle w:val="Compact"/>
              <w:jc w:val="left"/>
            </w:pPr>
            <w:r>
              <w:t xml:space="preserve">Agente causal de la intoxicación</w:t>
            </w:r>
          </w:p>
        </w:tc>
        <w:tc>
          <w:tcPr/>
          <w:p>
            <w:pPr>
              <w:pStyle w:val="Compact"/>
              <w:jc w:val="left"/>
            </w:pPr>
            <w:r>
              <w:t xml:space="preserve">No consta</w:t>
            </w:r>
          </w:p>
        </w:tc>
        <w:tc>
          <w:tcPr/>
          <w:p>
            <w:pPr>
              <w:pStyle w:val="Compact"/>
              <w:jc w:val="left"/>
            </w:pPr>
            <w:r>
              <w:t xml:space="preserve">Sin análisis del agente</w:t>
            </w:r>
          </w:p>
        </w:tc>
      </w:tr>
      <w:tr>
        <w:tc>
          <w:tcPr/>
          <w:p>
            <w:pPr>
              <w:pStyle w:val="Compact"/>
              <w:jc w:val="left"/>
            </w:pPr>
            <w:r>
              <w:t xml:space="preserve">Responsabilidad del proveedor</w:t>
            </w:r>
          </w:p>
        </w:tc>
        <w:tc>
          <w:tcPr/>
          <w:p>
            <w:pPr>
              <w:pStyle w:val="Compact"/>
              <w:jc w:val="left"/>
            </w:pPr>
            <w:r>
              <w:t xml:space="preserve">No consta</w:t>
            </w:r>
          </w:p>
        </w:tc>
        <w:tc>
          <w:tcPr/>
          <w:p>
            <w:pPr>
              <w:pStyle w:val="Compact"/>
              <w:jc w:val="left"/>
            </w:pPr>
            <w:r>
              <w:t xml:space="preserve">Investigación abierta</w:t>
            </w:r>
          </w:p>
        </w:tc>
      </w:tr>
      <w:tr>
        <w:tc>
          <w:tcPr/>
          <w:p>
            <w:pPr>
              <w:pStyle w:val="Compact"/>
              <w:jc w:val="left"/>
            </w:pPr>
            <w:r>
              <w:t xml:space="preserve">Seguridad del resto del portafolio</w:t>
            </w:r>
          </w:p>
        </w:tc>
        <w:tc>
          <w:tcPr/>
          <w:p>
            <w:pPr>
              <w:pStyle w:val="Compact"/>
              <w:jc w:val="left"/>
            </w:pPr>
            <w:r>
              <w:t xml:space="preserve">No consta</w:t>
            </w:r>
          </w:p>
        </w:tc>
        <w:tc>
          <w:tcPr/>
          <w:p>
            <w:pPr>
              <w:pStyle w:val="Compact"/>
              <w:jc w:val="left"/>
            </w:pPr>
            <w:r>
              <w:t xml:space="preserve">Solo hay análisis de los lotes 046 y 048</w:t>
            </w:r>
          </w:p>
        </w:tc>
      </w:tr>
    </w:tbl>
    <w:p>
      <w:pPr>
        <w:pStyle w:val="BodyText"/>
      </w:pPr>
      <w:r>
        <w:t xml:space="preserve">Calidad y Jurídica firman esta ficha. Nada se publica si no está en ella.</w:t>
      </w:r>
    </w:p>
    <w:bookmarkEnd w:id="51"/>
    <w:bookmarkEnd w:id="52"/>
    <w:bookmarkStart w:id="57" w:name="X9991d2ffe9a8057ff76bfe479ba588c74a353e0"/>
    <w:p>
      <w:pPr>
        <w:pStyle w:val="Heading1"/>
      </w:pPr>
      <w:r>
        <w:t xml:space="preserve">4. Proceso paso a paso y cómo interactúa la IA</w:t>
      </w:r>
    </w:p>
    <w:p>
      <w:pPr>
        <w:pStyle w:val="FirstParagraph"/>
      </w:pPr>
      <w:r>
        <w:t xml:space="preserve">En cada fase la IA ordena, verifica y ensaya, y una persona decide qué se dice y quién lo dice. El ciclo sigue la lógica del caso: Escuchar → Diagnosticar → Informar/Comunicar → Dialogar → Actuar → Recuperar confianza.</w:t>
      </w:r>
    </w:p>
    <w:bookmarkStart w:id="53" w:name="detalle-por-fase"/>
    <w:p>
      <w:pPr>
        <w:pStyle w:val="Heading2"/>
      </w:pPr>
      <w:r>
        <w:t xml:space="preserve">4.1 Detalle por fase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Fase</w:t>
            </w:r>
          </w:p>
        </w:tc>
        <w:tc>
          <w:tcPr/>
          <w:p>
            <w:pPr>
              <w:pStyle w:val="Compact"/>
              <w:jc w:val="left"/>
            </w:pPr>
            <w:r>
              <w:t xml:space="preserve">Situación</w:t>
            </w:r>
          </w:p>
        </w:tc>
        <w:tc>
          <w:tcPr/>
          <w:p>
            <w:pPr>
              <w:pStyle w:val="Compact"/>
              <w:jc w:val="left"/>
            </w:pPr>
            <w:r>
              <w:t xml:space="preserve">Objetivo</w:t>
            </w:r>
          </w:p>
        </w:tc>
        <w:tc>
          <w:tcPr/>
          <w:p>
            <w:pPr>
              <w:pStyle w:val="Compact"/>
              <w:jc w:val="left"/>
            </w:pPr>
            <w:r>
              <w:t xml:space="preserve">Los 5 pasos de la IA</w:t>
            </w:r>
          </w:p>
        </w:tc>
        <w:tc>
          <w:tcPr/>
          <w:p>
            <w:pPr>
              <w:pStyle w:val="Compact"/>
              <w:jc w:val="left"/>
            </w:pPr>
            <w:r>
              <w:t xml:space="preserve">Herramienta sugerida</w:t>
            </w:r>
          </w:p>
        </w:tc>
        <w:tc>
          <w:tcPr/>
          <w:p>
            <w:pPr>
              <w:pStyle w:val="Compact"/>
              <w:jc w:val="left"/>
            </w:pPr>
            <w:r>
              <w:t xml:space="preserve">Decisión humana</w:t>
            </w:r>
          </w:p>
        </w:tc>
        <w:tc>
          <w:tcPr/>
          <w:p>
            <w:pPr>
              <w:pStyle w:val="Compact"/>
              <w:jc w:val="left"/>
            </w:pPr>
            <w:r>
              <w:t xml:space="preserve">Riesgo que se evita</w:t>
            </w:r>
          </w:p>
        </w:tc>
      </w:tr>
      <w:tr>
        <w:tc>
          <w:tcPr/>
          <w:p>
            <w:pPr>
              <w:pStyle w:val="Compact"/>
              <w:jc w:val="left"/>
            </w:pPr>
            <w:r>
              <w:t xml:space="preserve">1. Escuchar</w:t>
            </w:r>
          </w:p>
        </w:tc>
        <w:tc>
          <w:tcPr/>
          <w:p>
            <w:pPr>
              <w:pStyle w:val="Compact"/>
              <w:jc w:val="left"/>
            </w:pPr>
            <w:r>
              <w:t xml:space="preserve">El gerente quiere que una IA responda todo en redes ya</w:t>
            </w:r>
          </w:p>
        </w:tc>
        <w:tc>
          <w:tcPr/>
          <w:p>
            <w:pPr>
              <w:pStyle w:val="Compact"/>
              <w:jc w:val="left"/>
            </w:pPr>
            <w:r>
              <w:t xml:space="preserve">Fijar los hechos antes de hablar</w:t>
            </w:r>
          </w:p>
        </w:tc>
        <w:tc>
          <w:tcPr/>
          <w:p>
            <w:pPr>
              <w:pStyle w:val="Compact"/>
              <w:jc w:val="left"/>
            </w:pPr>
            <w:r>
              <w:t xml:space="preserve">Ingerir las 2 bases → depurar y reportar errores → cruzar PQR y controles por lote → clasificar (Confirmado / Por confirmar / No consta) → entregar la ficha y detenerse</w:t>
            </w:r>
          </w:p>
        </w:tc>
        <w:tc>
          <w:tcPr/>
          <w:p>
            <w:pPr>
              <w:pStyle w:val="Compact"/>
              <w:jc w:val="left"/>
            </w:pPr>
            <w:r>
              <w:t xml:space="preserve">ChatGPT (sintetizar), Grok (escuchar redes)</w:t>
            </w:r>
          </w:p>
        </w:tc>
        <w:tc>
          <w:tcPr/>
          <w:p>
            <w:pPr>
              <w:pStyle w:val="Compact"/>
              <w:jc w:val="left"/>
            </w:pPr>
            <w:r>
              <w:t xml:space="preserve">Calidad y Jurídica firman la ficha</w:t>
            </w:r>
          </w:p>
        </w:tc>
        <w:tc>
          <w:tcPr/>
          <w:p>
            <w:pPr>
              <w:pStyle w:val="Compact"/>
              <w:jc w:val="left"/>
            </w:pPr>
            <w:r>
              <w:t xml:space="preserve">Responder con datos sucios o inventados</w:t>
            </w:r>
          </w:p>
        </w:tc>
      </w:tr>
      <w:tr>
        <w:tc>
          <w:tcPr/>
          <w:p>
            <w:pPr>
              <w:pStyle w:val="Compact"/>
              <w:jc w:val="left"/>
            </w:pPr>
            <w:r>
              <w:t xml:space="preserve">2. Diagnosticar</w:t>
            </w:r>
          </w:p>
        </w:tc>
        <w:tc>
          <w:tcPr/>
          <w:p>
            <w:pPr>
              <w:pStyle w:val="Compact"/>
              <w:jc w:val="left"/>
            </w:pPr>
            <w:r>
              <w:t xml:space="preserve">Aparece una frase inventada: «el resto de nuestros productos es completamente seguro»</w:t>
            </w:r>
          </w:p>
        </w:tc>
        <w:tc>
          <w:tcPr/>
          <w:p>
            <w:pPr>
              <w:pStyle w:val="Compact"/>
              <w:jc w:val="left"/>
            </w:pPr>
            <w:r>
              <w:t xml:space="preserve">Que ningún mensaje salga sin respaldo</w:t>
            </w:r>
          </w:p>
        </w:tc>
        <w:tc>
          <w:tcPr/>
          <w:p>
            <w:pPr>
              <w:pStyle w:val="Compact"/>
              <w:jc w:val="left"/>
            </w:pPr>
            <w:r>
              <w:t xml:space="preserve">Recibir ficha y borrador → dividir en afirmaciones → contrastar (respaldada / sin respaldo / contradicha) → marcar y explicar → reescribir solo con la ficha</w:t>
            </w:r>
          </w:p>
        </w:tc>
        <w:tc>
          <w:tcPr/>
          <w:p>
            <w:pPr>
              <w:pStyle w:val="Compact"/>
              <w:jc w:val="left"/>
            </w:pPr>
            <w:r>
              <w:t xml:space="preserve">Claude (revisar documentos)</w:t>
            </w:r>
          </w:p>
        </w:tc>
        <w:tc>
          <w:tcPr/>
          <w:p>
            <w:pPr>
              <w:pStyle w:val="Compact"/>
              <w:jc w:val="left"/>
            </w:pPr>
            <w:r>
              <w:t xml:space="preserve">Jurídica aprueba cada mensaje; personas atienden a los afectados</w:t>
            </w:r>
          </w:p>
        </w:tc>
        <w:tc>
          <w:tcPr/>
          <w:p>
            <w:pPr>
              <w:pStyle w:val="Compact"/>
              <w:jc w:val="left"/>
            </w:pPr>
            <w:r>
              <w:t xml:space="preserve">Afirmaciones tranquilizadoras falsas</w:t>
            </w:r>
          </w:p>
        </w:tc>
      </w:tr>
      <w:tr>
        <w:tc>
          <w:tcPr/>
          <w:p>
            <w:pPr>
              <w:pStyle w:val="Compact"/>
              <w:jc w:val="left"/>
            </w:pPr>
            <w:r>
              <w:t xml:space="preserve">3. Informar y comunicar</w:t>
            </w:r>
          </w:p>
        </w:tc>
        <w:tc>
          <w:tcPr/>
          <w:p>
            <w:pPr>
              <w:pStyle w:val="Compact"/>
              <w:jc w:val="left"/>
            </w:pPr>
            <w:r>
              <w:t xml:space="preserve">Circula un documento falso; los distribuidores retiran la línea; el gerente propone cuentas falsas</w:t>
            </w:r>
          </w:p>
        </w:tc>
        <w:tc>
          <w:tcPr/>
          <w:p>
            <w:pPr>
              <w:pStyle w:val="Compact"/>
              <w:jc w:val="left"/>
            </w:pPr>
            <w:r>
              <w:t xml:space="preserve">Responder al rumor con verdad y una sola voz</w:t>
            </w:r>
          </w:p>
        </w:tc>
        <w:tc>
          <w:tcPr/>
          <w:p>
            <w:pPr>
              <w:pStyle w:val="Compact"/>
              <w:jc w:val="left"/>
            </w:pPr>
            <w:r>
              <w:t xml:space="preserve">Recibir mensajes aprobados y frases prohibidas → hacer de periodista hostil → (la vocera responde) → calificar de 1 a 5 citando la frase → proponer una versión mejor</w:t>
            </w:r>
          </w:p>
        </w:tc>
        <w:tc>
          <w:tcPr/>
          <w:p>
            <w:pPr>
              <w:pStyle w:val="Compact"/>
              <w:jc w:val="left"/>
            </w:pPr>
            <w:r>
              <w:t xml:space="preserve">Perplexity (contrastar), Grok (rastrear rumor), ElevenLabs (voz de catálogo)</w:t>
            </w:r>
          </w:p>
        </w:tc>
        <w:tc>
          <w:tcPr/>
          <w:p>
            <w:pPr>
              <w:pStyle w:val="Compact"/>
              <w:jc w:val="left"/>
            </w:pPr>
            <w:r>
              <w:t xml:space="preserve">La junta rechaza las cuentas falsas; la directora de Calidad da la cara</w:t>
            </w:r>
          </w:p>
        </w:tc>
        <w:tc>
          <w:tcPr/>
          <w:p>
            <w:pPr>
              <w:pStyle w:val="Compact"/>
              <w:jc w:val="left"/>
            </w:pPr>
            <w:r>
              <w:t xml:space="preserve">Desinformación propia, culpar sin pruebas</w:t>
            </w:r>
          </w:p>
        </w:tc>
      </w:tr>
      <w:tr>
        <w:tc>
          <w:tcPr/>
          <w:p>
            <w:pPr>
              <w:pStyle w:val="Compact"/>
              <w:jc w:val="left"/>
            </w:pPr>
            <w:r>
              <w:t xml:space="preserve">4. Dialogar</w:t>
            </w:r>
          </w:p>
        </w:tc>
        <w:tc>
          <w:tcPr/>
          <w:p>
            <w:pPr>
              <w:pStyle w:val="Compact"/>
              <w:jc w:val="left"/>
            </w:pPr>
            <w:r>
              <w:t xml:space="preserve">La planta se abre y una universidad verifica los controles</w:t>
            </w:r>
          </w:p>
        </w:tc>
        <w:tc>
          <w:tcPr/>
          <w:p>
            <w:pPr>
              <w:pStyle w:val="Compact"/>
              <w:jc w:val="left"/>
            </w:pPr>
            <w:r>
              <w:t xml:space="preserve">Mostrar en vez de prometer</w:t>
            </w:r>
          </w:p>
        </w:tc>
        <w:tc>
          <w:tcPr/>
          <w:p>
            <w:pPr>
              <w:pStyle w:val="Compact"/>
              <w:jc w:val="left"/>
            </w:pPr>
            <w:r>
              <w:t xml:space="preserve">Recibir informe y anexo de evidencias → dividir en frases → buscar evidencia por frase → clasificar hecho / promesa / sin evidencia → entregar lo anunciable hoy</w:t>
            </w:r>
          </w:p>
        </w:tc>
        <w:tc>
          <w:tcPr/>
          <w:p>
            <w:pPr>
              <w:pStyle w:val="Compact"/>
              <w:jc w:val="left"/>
            </w:pPr>
            <w:r>
              <w:t xml:space="preserve">Claude (revisar), Gemini (organizar)</w:t>
            </w:r>
          </w:p>
        </w:tc>
        <w:tc>
          <w:tcPr/>
          <w:p>
            <w:pPr>
              <w:pStyle w:val="Compact"/>
              <w:jc w:val="left"/>
            </w:pPr>
            <w:r>
              <w:t xml:space="preserve">Calidad revisa cada alerta; solo se anuncia lo hecho</w:t>
            </w:r>
          </w:p>
        </w:tc>
        <w:tc>
          <w:tcPr/>
          <w:p>
            <w:pPr>
              <w:pStyle w:val="Compact"/>
              <w:jc w:val="left"/>
            </w:pPr>
            <w:r>
              <w:t xml:space="preserve">Vender promesas como logros</w:t>
            </w:r>
          </w:p>
        </w:tc>
      </w:tr>
      <w:tr>
        <w:tc>
          <w:tcPr/>
          <w:p>
            <w:pPr>
              <w:pStyle w:val="Compact"/>
              <w:jc w:val="left"/>
            </w:pPr>
            <w:r>
              <w:t xml:space="preserve">5. Actuar</w:t>
            </w:r>
          </w:p>
        </w:tc>
        <w:tc>
          <w:tcPr/>
          <w:p>
            <w:pPr>
              <w:pStyle w:val="Compact"/>
              <w:jc w:val="left"/>
            </w:pPr>
            <w:r>
              <w:t xml:space="preserve">Nuevo reporte sobre el lote VEG-GA-2026-063</w:t>
            </w:r>
          </w:p>
        </w:tc>
        <w:tc>
          <w:tcPr/>
          <w:p>
            <w:pPr>
              <w:pStyle w:val="Compact"/>
              <w:jc w:val="left"/>
            </w:pPr>
            <w:r>
              <w:t xml:space="preserve">Rastrear en horas, no en días</w:t>
            </w:r>
          </w:p>
        </w:tc>
        <w:tc>
          <w:tcPr/>
          <w:p>
            <w:pPr>
              <w:pStyle w:val="Compact"/>
              <w:jc w:val="left"/>
            </w:pPr>
            <w:r>
              <w:t xml:space="preserve">Recibir el reporte → ubicar el lote (Planta Chía, 16-may, turno noche) → revisar sus 6 controles (conformes) → seguir la ruta (CEDI Bucaramanga → tienda, recibido el 27-may; compra el 15-ago) → concluir con lo que no sabe</w:t>
            </w:r>
          </w:p>
        </w:tc>
        <w:tc>
          <w:tcPr/>
          <w:p>
            <w:pPr>
              <w:pStyle w:val="Compact"/>
              <w:jc w:val="left"/>
            </w:pPr>
            <w:r>
              <w:t xml:space="preserve">ChatGPT con análisis de datos</w:t>
            </w:r>
          </w:p>
        </w:tc>
        <w:tc>
          <w:tcPr/>
          <w:p>
            <w:pPr>
              <w:pStyle w:val="Compact"/>
              <w:jc w:val="left"/>
            </w:pPr>
            <w:r>
              <w:t xml:space="preserve">La empresa comunica aunque no esté obligada</w:t>
            </w:r>
          </w:p>
        </w:tc>
        <w:tc>
          <w:tcPr/>
          <w:p>
            <w:pPr>
              <w:pStyle w:val="Compact"/>
              <w:jc w:val="left"/>
            </w:pPr>
            <w:r>
              <w:t xml:space="preserve">Silencio u ocultamiento cuando el resultado favorece</w:t>
            </w:r>
          </w:p>
        </w:tc>
      </w:tr>
      <w:tr>
        <w:tc>
          <w:tcPr/>
          <w:p>
            <w:pPr>
              <w:pStyle w:val="Compact"/>
              <w:jc w:val="left"/>
            </w:pPr>
            <w:r>
              <w:t xml:space="preserve">6. Recuperar confianza</w:t>
            </w:r>
          </w:p>
        </w:tc>
        <w:tc>
          <w:tcPr/>
          <w:p>
            <w:pPr>
              <w:pStyle w:val="Compact"/>
              <w:jc w:val="left"/>
            </w:pPr>
            <w:r>
              <w:t xml:space="preserve">La junta invita a todos los públicos</w:t>
            </w:r>
          </w:p>
        </w:tc>
        <w:tc>
          <w:tcPr/>
          <w:p>
            <w:pPr>
              <w:pStyle w:val="Compact"/>
              <w:jc w:val="left"/>
            </w:pPr>
            <w:r>
              <w:t xml:space="preserve">Que cada público vea su evidencia</w:t>
            </w:r>
          </w:p>
        </w:tc>
        <w:tc>
          <w:tcPr/>
          <w:p>
            <w:pPr>
              <w:pStyle w:val="Compact"/>
              <w:jc w:val="left"/>
            </w:pPr>
            <w:r>
              <w:t xml:space="preserve">Agrupar la evidencia por público → armar una carpeta por público → actualizar el tablero de KPI → señalar vacíos → preparar el resumen</w:t>
            </w:r>
          </w:p>
        </w:tc>
        <w:tc>
          <w:tcPr/>
          <w:p>
            <w:pPr>
              <w:pStyle w:val="Compact"/>
              <w:jc w:val="left"/>
            </w:pPr>
            <w:r>
              <w:t xml:space="preserve">Gemini (organizar), Artlist (pieza audiovisual)</w:t>
            </w:r>
          </w:p>
        </w:tc>
        <w:tc>
          <w:tcPr/>
          <w:p>
            <w:pPr>
              <w:pStyle w:val="Compact"/>
              <w:jc w:val="left"/>
            </w:pPr>
            <w:r>
              <w:t xml:space="preserve">Cada público decide si vuelve a creer</w:t>
            </w:r>
          </w:p>
        </w:tc>
        <w:tc>
          <w:tcPr/>
          <w:p>
            <w:pPr>
              <w:pStyle w:val="Compact"/>
              <w:jc w:val="left"/>
            </w:pPr>
            <w:r>
              <w:t xml:space="preserve">Declarar la confianza recuperada sin medirla</w:t>
            </w:r>
          </w:p>
        </w:tc>
      </w:tr>
    </w:tbl>
    <w:bookmarkEnd w:id="53"/>
    <w:bookmarkStart w:id="54" w:name="prompts-de-ejemplo-por-fase"/>
    <w:p>
      <w:pPr>
        <w:pStyle w:val="Heading2"/>
      </w:pPr>
      <w:r>
        <w:t xml:space="preserve">4.2 Prompts de ejemplo por fase</w:t>
      </w:r>
    </w:p>
    <w:p>
      <w:pPr>
        <w:numPr>
          <w:ilvl w:val="0"/>
          <w:numId w:val="1006"/>
        </w:numPr>
        <w:pStyle w:val="Compact"/>
      </w:pPr>
      <w:r>
        <w:rPr>
          <w:bCs/>
          <w:b/>
        </w:rPr>
        <w:t xml:space="preserve">Escuchar:</w:t>
      </w:r>
      <w:r>
        <w:t xml:space="preserve"> </w:t>
      </w:r>
      <w:r>
        <w:t xml:space="preserve">«Actúa como analista de calidad. Con estos dos archivos, reporta duplicados, vacíos y valores imposibles sin corregirlos en silencio. Cruza reclamos y controles por lote y clasifica cada dato como Confirmado, Por confirmar o No consta, citando el archivo y la fila. No redactes mensajes públicos.»</w:t>
      </w:r>
    </w:p>
    <w:p>
      <w:pPr>
        <w:numPr>
          <w:ilvl w:val="0"/>
          <w:numId w:val="1006"/>
        </w:numPr>
        <w:pStyle w:val="Compact"/>
      </w:pPr>
      <w:r>
        <w:rPr>
          <w:bCs/>
          <w:b/>
        </w:rPr>
        <w:t xml:space="preserve">Diagnosticar:</w:t>
      </w:r>
      <w:r>
        <w:t xml:space="preserve"> </w:t>
      </w:r>
      <w:r>
        <w:t xml:space="preserve">«Divide este comunicado en afirmaciones numeradas. Compara cada una con la ficha de hechos adjunta y marca si está respaldada, sin respaldo o contradicha, con el motivo en una línea. Luego reescríbelo usando solo lo que consta; si falta un dato, escribe</w:t>
      </w:r>
      <w:r>
        <w:t xml:space="preserve"> </w:t>
      </w:r>
      <w:r>
        <w:t xml:space="preserve">‘</w:t>
      </w:r>
      <w:r>
        <w:t xml:space="preserve">no consta</w:t>
      </w:r>
      <w:r>
        <w:t xml:space="preserve">’</w:t>
      </w:r>
      <w:r>
        <w:t xml:space="preserve">.»</w:t>
      </w:r>
    </w:p>
    <w:p>
      <w:pPr>
        <w:numPr>
          <w:ilvl w:val="0"/>
          <w:numId w:val="1006"/>
        </w:numPr>
        <w:pStyle w:val="Compact"/>
      </w:pPr>
      <w:r>
        <w:rPr>
          <w:bCs/>
          <w:b/>
        </w:rPr>
        <w:t xml:space="preserve">Informar:</w:t>
      </w:r>
      <w:r>
        <w:t xml:space="preserve"> </w:t>
      </w:r>
      <w:r>
        <w:t xml:space="preserve">«Haz de periodista hostil de un medio nacional. Hazme 10 preguntas incómodas sobre el lote 047. Evalúa cada respuesta mía de 1 a 5 en exactitud, honestidad sobre lo que no sabemos y uso de frases prohibidas, y cita mi frase exacta.»</w:t>
      </w:r>
    </w:p>
    <w:p>
      <w:pPr>
        <w:numPr>
          <w:ilvl w:val="0"/>
          <w:numId w:val="1006"/>
        </w:numPr>
        <w:pStyle w:val="Compact"/>
      </w:pPr>
      <w:r>
        <w:rPr>
          <w:bCs/>
          <w:b/>
        </w:rPr>
        <w:t xml:space="preserve">Dialogar:</w:t>
      </w:r>
      <w:r>
        <w:t xml:space="preserve"> </w:t>
      </w:r>
      <w:r>
        <w:t xml:space="preserve">«Clasifica cada frase de este informe como hecho con evidencia (cita el código del anexo), promesa o sin evidencia. Si una frase mezcla hecho y promesa, divídela. Entrega solo la lista de lo que se puede anunciar hoy.»</w:t>
      </w:r>
    </w:p>
    <w:p>
      <w:pPr>
        <w:numPr>
          <w:ilvl w:val="0"/>
          <w:numId w:val="1006"/>
        </w:numPr>
        <w:pStyle w:val="Compact"/>
      </w:pPr>
      <w:r>
        <w:rPr>
          <w:bCs/>
          <w:b/>
        </w:rPr>
        <w:t xml:space="preserve">Actuar:</w:t>
      </w:r>
      <w:r>
        <w:t xml:space="preserve"> </w:t>
      </w:r>
      <w:r>
        <w:t xml:space="preserve">«Con la trazabilidad adjunta, rastrea el lote VEG-GA-2026-063: producción, controles y ruta hasta la tienda. Indica si la compra fue posterior a la recepción, las filas de origen de cada dato y lo que no se puede concluir.»</w:t>
      </w:r>
    </w:p>
    <w:p>
      <w:pPr>
        <w:numPr>
          <w:ilvl w:val="0"/>
          <w:numId w:val="1006"/>
        </w:numPr>
        <w:pStyle w:val="Compact"/>
      </w:pPr>
      <w:r>
        <w:rPr>
          <w:bCs/>
          <w:b/>
        </w:rPr>
        <w:t xml:space="preserve">Recuperar:</w:t>
      </w:r>
      <w:r>
        <w:t xml:space="preserve"> </w:t>
      </w:r>
      <w:r>
        <w:t xml:space="preserve">«Organiza estas evidencias en una carpeta por público (consumidores, INVIMA, distribuidores, colaboradores) y señala qué público aún no tiene evidencia suficiente.»</w:t>
      </w:r>
    </w:p>
    <w:bookmarkEnd w:id="54"/>
    <w:bookmarkStart w:id="55" w:name="X0d7aef028a5986432e3304923e5d5f17b4d7264"/>
    <w:p>
      <w:pPr>
        <w:pStyle w:val="Heading2"/>
      </w:pPr>
      <w:r>
        <w:t xml:space="preserve">4.3 Los 8 pasos de comunicación de crisis con 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Paso</w:t>
            </w:r>
          </w:p>
        </w:tc>
        <w:tc>
          <w:tcPr/>
          <w:p>
            <w:pPr>
              <w:pStyle w:val="Compact"/>
              <w:jc w:val="left"/>
            </w:pPr>
            <w:r>
              <w:t xml:space="preserve">Qué hace Comunicación</w:t>
            </w:r>
          </w:p>
        </w:tc>
        <w:tc>
          <w:tcPr/>
          <w:p>
            <w:pPr>
              <w:pStyle w:val="Compact"/>
              <w:jc w:val="left"/>
            </w:pPr>
            <w:r>
              <w:t xml:space="preserve">Resultado</w:t>
            </w:r>
          </w:p>
        </w:tc>
        <w:tc>
          <w:tcPr/>
          <w:p>
            <w:pPr>
              <w:pStyle w:val="Compact"/>
              <w:jc w:val="left"/>
            </w:pPr>
            <w:r>
              <w:t xml:space="preserve">La IA podría</w:t>
            </w:r>
          </w:p>
        </w:tc>
      </w:tr>
      <w:tr>
        <w:tc>
          <w:tcPr/>
          <w:p>
            <w:pPr>
              <w:pStyle w:val="Compact"/>
              <w:jc w:val="left"/>
            </w:pPr>
            <w:r>
              <w:t xml:space="preserve">1. Activar canales institucionales</w:t>
            </w:r>
          </w:p>
        </w:tc>
        <w:tc>
          <w:tcPr/>
          <w:p>
            <w:pPr>
              <w:pStyle w:val="Compact"/>
              <w:jc w:val="left"/>
            </w:pPr>
            <w:r>
              <w:t xml:space="preserve">Definir fuentes oficiales: web, redes, línea de atención, correo</w:t>
            </w:r>
          </w:p>
        </w:tc>
        <w:tc>
          <w:tcPr/>
          <w:p>
            <w:pPr>
              <w:pStyle w:val="Compact"/>
              <w:jc w:val="left"/>
            </w:pPr>
            <w:r>
              <w:t xml:space="preserve">Una sola versión oficial</w:t>
            </w:r>
          </w:p>
        </w:tc>
        <w:tc>
          <w:tcPr/>
          <w:p>
            <w:pPr>
              <w:pStyle w:val="Compact"/>
              <w:jc w:val="left"/>
            </w:pPr>
            <w:r>
              <w:t xml:space="preserve">Redactar un comunicado único y avisar si dos mensajes se contradicen</w:t>
            </w:r>
          </w:p>
        </w:tc>
      </w:tr>
      <w:tr>
        <w:tc>
          <w:tcPr/>
          <w:p>
            <w:pPr>
              <w:pStyle w:val="Compact"/>
              <w:jc w:val="left"/>
            </w:pPr>
            <w:r>
              <w:t xml:space="preserve">2. Identificar personas clave</w:t>
            </w:r>
          </w:p>
        </w:tc>
        <w:tc>
          <w:tcPr/>
          <w:p>
            <w:pPr>
              <w:pStyle w:val="Compact"/>
              <w:jc w:val="left"/>
            </w:pPr>
            <w:r>
              <w:t xml:space="preserve">Mapa de periodistas, líderes de opinión, distribuidores y aliados</w:t>
            </w:r>
          </w:p>
        </w:tc>
        <w:tc>
          <w:tcPr/>
          <w:p>
            <w:pPr>
              <w:pStyle w:val="Compact"/>
              <w:jc w:val="left"/>
            </w:pPr>
            <w:r>
              <w:t xml:space="preserve">Saber con quién hablar, para qué y cuándo</w:t>
            </w:r>
          </w:p>
        </w:tc>
        <w:tc>
          <w:tcPr/>
          <w:p>
            <w:pPr>
              <w:pStyle w:val="Compact"/>
              <w:jc w:val="left"/>
            </w:pPr>
            <w:r>
              <w:t xml:space="preserve">Ordenar los actores por influencia</w:t>
            </w:r>
          </w:p>
        </w:tc>
      </w:tr>
      <w:tr>
        <w:tc>
          <w:tcPr/>
          <w:p>
            <w:pPr>
              <w:pStyle w:val="Compact"/>
              <w:jc w:val="left"/>
            </w:pPr>
            <w:r>
              <w:t xml:space="preserve">3. Informar a los colaboradores</w:t>
            </w:r>
          </w:p>
        </w:tc>
        <w:tc>
          <w:tcPr/>
          <w:p>
            <w:pPr>
              <w:pStyle w:val="Compact"/>
              <w:jc w:val="left"/>
            </w:pPr>
            <w:r>
              <w:t xml:space="preserve">Contar qué pasó, qué lote, qué se hace y qué responder</w:t>
            </w:r>
          </w:p>
        </w:tc>
        <w:tc>
          <w:tcPr/>
          <w:p>
            <w:pPr>
              <w:pStyle w:val="Compact"/>
              <w:jc w:val="left"/>
            </w:pPr>
            <w:r>
              <w:t xml:space="preserve">Menos rumores internos</w:t>
            </w:r>
          </w:p>
        </w:tc>
        <w:tc>
          <w:tcPr/>
          <w:p>
            <w:pPr>
              <w:pStyle w:val="Compact"/>
              <w:jc w:val="left"/>
            </w:pPr>
            <w:r>
              <w:t xml:space="preserve">Redactar preguntas frecuentes desde la ficha</w:t>
            </w:r>
          </w:p>
        </w:tc>
      </w:tr>
      <w:tr>
        <w:tc>
          <w:tcPr/>
          <w:p>
            <w:pPr>
              <w:pStyle w:val="Compact"/>
              <w:jc w:val="left"/>
            </w:pPr>
            <w:r>
              <w:t xml:space="preserve">4. Preparar la vocería</w:t>
            </w:r>
          </w:p>
        </w:tc>
        <w:tc>
          <w:tcPr/>
          <w:p>
            <w:pPr>
              <w:pStyle w:val="Compact"/>
              <w:jc w:val="left"/>
            </w:pPr>
            <w:r>
              <w:t xml:space="preserve">Designar voceros; mensajes clave y preguntas difíciles</w:t>
            </w:r>
          </w:p>
        </w:tc>
        <w:tc>
          <w:tcPr/>
          <w:p>
            <w:pPr>
              <w:pStyle w:val="Compact"/>
              <w:jc w:val="left"/>
            </w:pPr>
            <w:r>
              <w:t xml:space="preserve">Mensaje coherente y respaldado</w:t>
            </w:r>
          </w:p>
        </w:tc>
        <w:tc>
          <w:tcPr/>
          <w:p>
            <w:pPr>
              <w:pStyle w:val="Compact"/>
              <w:jc w:val="left"/>
            </w:pPr>
            <w:r>
              <w:t xml:space="preserve">Simular un periodista y calificar respuestas</w:t>
            </w:r>
          </w:p>
        </w:tc>
      </w:tr>
      <w:tr>
        <w:tc>
          <w:tcPr/>
          <w:p>
            <w:pPr>
              <w:pStyle w:val="Compact"/>
              <w:jc w:val="left"/>
            </w:pPr>
            <w:r>
              <w:t xml:space="preserve">5. Comunicar el retiro del lote</w:t>
            </w:r>
          </w:p>
        </w:tc>
        <w:tc>
          <w:tcPr/>
          <w:p>
            <w:pPr>
              <w:pStyle w:val="Compact"/>
              <w:jc w:val="left"/>
            </w:pPr>
            <w:r>
              <w:t xml:space="preserve">Cómo identificar el lote, dónde devolverlo, qué hacer si se consumió</w:t>
            </w:r>
          </w:p>
        </w:tc>
        <w:tc>
          <w:tcPr/>
          <w:p>
            <w:pPr>
              <w:pStyle w:val="Compact"/>
              <w:jc w:val="left"/>
            </w:pPr>
            <w:r>
              <w:t xml:space="preserve">Proteger al consumidor</w:t>
            </w:r>
          </w:p>
        </w:tc>
        <w:tc>
          <w:tcPr/>
          <w:p>
            <w:pPr>
              <w:pStyle w:val="Compact"/>
              <w:jc w:val="left"/>
            </w:pPr>
            <w:r>
              <w:t xml:space="preserve">Adaptar el aviso a cada canal y revisar que se entienda</w:t>
            </w:r>
          </w:p>
        </w:tc>
      </w:tr>
      <w:tr>
        <w:tc>
          <w:tcPr/>
          <w:p>
            <w:pPr>
              <w:pStyle w:val="Compact"/>
              <w:jc w:val="left"/>
            </w:pPr>
            <w:r>
              <w:t xml:space="preserve">6. Gestionar la institucionalidad</w:t>
            </w:r>
          </w:p>
        </w:tc>
        <w:tc>
          <w:tcPr/>
          <w:p>
            <w:pPr>
              <w:pStyle w:val="Compact"/>
              <w:jc w:val="left"/>
            </w:pPr>
            <w:r>
              <w:t xml:space="preserve">Contacto documentado con autoridades</w:t>
            </w:r>
          </w:p>
        </w:tc>
        <w:tc>
          <w:tcPr/>
          <w:p>
            <w:pPr>
              <w:pStyle w:val="Compact"/>
              <w:jc w:val="left"/>
            </w:pPr>
            <w:r>
              <w:t xml:space="preserve">Cooperación y menos vacíos</w:t>
            </w:r>
          </w:p>
        </w:tc>
        <w:tc>
          <w:tcPr/>
          <w:p>
            <w:pPr>
              <w:pStyle w:val="Compact"/>
              <w:jc w:val="left"/>
            </w:pPr>
            <w:r>
              <w:t xml:space="preserve">Resumir avances solo con evidencias</w:t>
            </w:r>
          </w:p>
        </w:tc>
      </w:tr>
      <w:tr>
        <w:tc>
          <w:tcPr/>
          <w:p>
            <w:pPr>
              <w:pStyle w:val="Compact"/>
              <w:jc w:val="left"/>
            </w:pPr>
            <w:r>
              <w:t xml:space="preserve">7. Mapear la esfera pública</w:t>
            </w:r>
          </w:p>
        </w:tc>
        <w:tc>
          <w:tcPr/>
          <w:p>
            <w:pPr>
              <w:pStyle w:val="Compact"/>
              <w:jc w:val="left"/>
            </w:pPr>
            <w:r>
              <w:t xml:space="preserve">Actores, narrativas, críticas y desinformación</w:t>
            </w:r>
          </w:p>
        </w:tc>
        <w:tc>
          <w:tcPr/>
          <w:p>
            <w:pPr>
              <w:pStyle w:val="Compact"/>
              <w:jc w:val="left"/>
            </w:pPr>
            <w:r>
              <w:t xml:space="preserve">Entender la crisis fuera de los canales propios</w:t>
            </w:r>
          </w:p>
        </w:tc>
        <w:tc>
          <w:tcPr/>
          <w:p>
            <w:pPr>
              <w:pStyle w:val="Compact"/>
              <w:jc w:val="left"/>
            </w:pPr>
            <w:r>
              <w:t xml:space="preserve">Clasificar menciones y marcar rumores para revisión humana</w:t>
            </w:r>
          </w:p>
        </w:tc>
      </w:tr>
      <w:tr>
        <w:tc>
          <w:tcPr/>
          <w:p>
            <w:pPr>
              <w:pStyle w:val="Compact"/>
              <w:jc w:val="left"/>
            </w:pPr>
            <w:r>
              <w:t xml:space="preserve">8. Relacionarse con los afectados</w:t>
            </w:r>
          </w:p>
        </w:tc>
        <w:tc>
          <w:tcPr/>
          <w:p>
            <w:pPr>
              <w:pStyle w:val="Compact"/>
              <w:jc w:val="left"/>
            </w:pPr>
            <w:r>
              <w:t xml:space="preserve">Escucha, orientación y solución antes que defensa</w:t>
            </w:r>
          </w:p>
        </w:tc>
        <w:tc>
          <w:tcPr/>
          <w:p>
            <w:pPr>
              <w:pStyle w:val="Compact"/>
              <w:jc w:val="left"/>
            </w:pPr>
            <w:r>
              <w:t xml:space="preserve">Atender el daño</w:t>
            </w:r>
          </w:p>
        </w:tc>
        <w:tc>
          <w:tcPr/>
          <w:p>
            <w:pPr>
              <w:pStyle w:val="Compact"/>
              <w:jc w:val="left"/>
            </w:pPr>
            <w:r>
              <w:t xml:space="preserve">Ordenar casos y sugerir borradores; la llamada la hace una persona</w:t>
            </w:r>
          </w:p>
        </w:tc>
      </w:tr>
    </w:tbl>
    <w:bookmarkEnd w:id="55"/>
    <w:bookmarkStart w:id="56" w:name="límites-de-la-ia-en-este-proceso"/>
    <w:p>
      <w:pPr>
        <w:pStyle w:val="Heading2"/>
      </w:pPr>
      <w:r>
        <w:t xml:space="preserve">4.4 Límites de la IA en este proceso</w:t>
      </w:r>
    </w:p>
    <w:p>
      <w:pPr>
        <w:numPr>
          <w:ilvl w:val="0"/>
          <w:numId w:val="1007"/>
        </w:numPr>
        <w:pStyle w:val="Compact"/>
      </w:pPr>
      <w:r>
        <w:t xml:space="preserve">No publica ni responde en redes por sí misma.</w:t>
      </w:r>
    </w:p>
    <w:p>
      <w:pPr>
        <w:numPr>
          <w:ilvl w:val="0"/>
          <w:numId w:val="1007"/>
        </w:numPr>
        <w:pStyle w:val="Compact"/>
      </w:pPr>
      <w:r>
        <w:t xml:space="preserve">No atiende a los afectados; ordena casos para que los atienda una persona.</w:t>
      </w:r>
    </w:p>
    <w:p>
      <w:pPr>
        <w:numPr>
          <w:ilvl w:val="0"/>
          <w:numId w:val="1007"/>
        </w:numPr>
        <w:pStyle w:val="Compact"/>
      </w:pPr>
      <w:r>
        <w:t xml:space="preserve">No determina causas clínicas ni sustituye las decisiones sanitarias de INVIMA ni de Calidad.</w:t>
      </w:r>
    </w:p>
    <w:p>
      <w:pPr>
        <w:numPr>
          <w:ilvl w:val="0"/>
          <w:numId w:val="1007"/>
        </w:numPr>
        <w:pStyle w:val="Compact"/>
      </w:pPr>
      <w:r>
        <w:t xml:space="preserve">No crea cuentas, voces ni testimonios falsos. Si se usa voz sintética para ensayar, es una voz de catálogo y nunca la de una persona real.</w:t>
      </w:r>
    </w:p>
    <w:p>
      <w:pPr>
        <w:numPr>
          <w:ilvl w:val="0"/>
          <w:numId w:val="1007"/>
        </w:numPr>
        <w:pStyle w:val="Compact"/>
      </w:pPr>
      <w:r>
        <w:t xml:space="preserve">Todo lo que produce es un borrador hasta que lo firma el responsable.</w:t>
      </w:r>
    </w:p>
    <w:bookmarkEnd w:id="56"/>
    <w:bookmarkEnd w:id="57"/>
    <w:bookmarkStart w:id="64" w:name="X3553dac04e8220136b0ed4265aaadfa3e395517"/>
    <w:p>
      <w:pPr>
        <w:pStyle w:val="Heading1"/>
      </w:pPr>
      <w:r>
        <w:t xml:space="preserve">5. OKR y KPI: antes, durante y después de la crisis</w:t>
      </w:r>
    </w:p>
    <w:p>
      <w:pPr>
        <w:pStyle w:val="FirstParagraph"/>
      </w:pPr>
      <w:r>
        <w:t xml:space="preserve">Antes de la crisis los OKR medían crecimiento; después miden confianza verificable. La crisis no solo hundió los indicadores comerciales: mostró que la empresa no medía lo que sostenía su propuesta de valor (controles realizados, trazabilidad y veracidad de lo que comunica).</w:t>
      </w:r>
    </w:p>
    <w:p>
      <w:pPr>
        <w:pStyle w:val="CaptionedFigure"/>
      </w:pPr>
      <w:r>
        <w:drawing>
          <wp:inline>
            <wp:extent cx="5334000" cy="2667000"/>
            <wp:effectExtent b="0" l="0" r="0" t="0"/>
            <wp:docPr descr="Índice de confianza, oct-2025 a mar-2027" title="" id="59" name="Picture"/>
            <a:graphic>
              <a:graphicData uri="http://schemas.openxmlformats.org/drawingml/2006/picture">
                <pic:pic>
                  <pic:nvPicPr>
                    <pic:cNvPr descr="../resultados/figuras/fig7_indice_confianza.png" id="60" name="Picture"/>
                    <pic:cNvPicPr>
                      <a:picLocks noChangeArrowheads="1" noChangeAspect="1"/>
                    </pic:cNvPicPr>
                  </pic:nvPicPr>
                  <pic:blipFill>
                    <a:blip r:embed="rId5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Índice de confianza, oct-2025 a mar-2027</w:t>
      </w:r>
    </w:p>
    <w:bookmarkStart w:id="61" w:name="Xb3201673badc1a5ef78b0f9a0330a19cd4769aa"/>
    <w:p>
      <w:pPr>
        <w:pStyle w:val="Heading2"/>
      </w:pPr>
      <w:r>
        <w:t xml:space="preserve">5.1 OKR antes de la crisis y cómo se afectaron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OKR previo (2026)</w:t>
            </w:r>
          </w:p>
        </w:tc>
        <w:tc>
          <w:tcPr/>
          <w:p>
            <w:pPr>
              <w:pStyle w:val="Compact"/>
              <w:jc w:val="left"/>
            </w:pPr>
            <w:r>
              <w:t xml:space="preserve">Resultado clave</w:t>
            </w:r>
          </w:p>
        </w:tc>
        <w:tc>
          <w:tcPr/>
          <w:p>
            <w:pPr>
              <w:pStyle w:val="Compact"/>
              <w:jc w:val="left"/>
            </w:pPr>
            <w:r>
              <w:t xml:space="preserve">Valor antes</w:t>
            </w:r>
          </w:p>
        </w:tc>
        <w:tc>
          <w:tcPr/>
          <w:p>
            <w:pPr>
              <w:pStyle w:val="Compact"/>
              <w:jc w:val="left"/>
            </w:pPr>
            <w:r>
              <w:t xml:space="preserve">Valor en crisis</w:t>
            </w:r>
          </w:p>
        </w:tc>
        <w:tc>
          <w:tcPr/>
          <w:p>
            <w:pPr>
              <w:pStyle w:val="Compact"/>
              <w:jc w:val="left"/>
            </w:pPr>
            <w:r>
              <w:t xml:space="preserve">Efecto</w:t>
            </w:r>
          </w:p>
        </w:tc>
      </w:tr>
      <w:tr>
        <w:tc>
          <w:tcPr/>
          <w:p>
            <w:pPr>
              <w:pStyle w:val="Compact"/>
              <w:jc w:val="left"/>
            </w:pPr>
            <w:r>
              <w:t xml:space="preserve">O1. Liderar la categoría vegana en Colombia</w:t>
            </w:r>
          </w:p>
        </w:tc>
        <w:tc>
          <w:tcPr/>
          <w:p>
            <w:pPr>
              <w:pStyle w:val="Compact"/>
              <w:jc w:val="left"/>
            </w:pPr>
            <w:r>
              <w:t xml:space="preserve">Ventas de la línea vegana ≥ 400 MM COP/mes</w:t>
            </w:r>
          </w:p>
        </w:tc>
        <w:tc>
          <w:tcPr/>
          <w:p>
            <w:pPr>
              <w:pStyle w:val="Compact"/>
              <w:jc w:val="left"/>
            </w:pPr>
            <w:r>
              <w:t xml:space="preserve">410 (mar-26)</w:t>
            </w:r>
          </w:p>
        </w:tc>
        <w:tc>
          <w:tcPr/>
          <w:p>
            <w:pPr>
              <w:pStyle w:val="Compact"/>
              <w:jc w:val="left"/>
            </w:pPr>
            <w:r>
              <w:t xml:space="preserve">60 (may-26)</w:t>
            </w:r>
          </w:p>
        </w:tc>
        <w:tc>
          <w:tcPr/>
          <w:p>
            <w:pPr>
              <w:pStyle w:val="Compact"/>
              <w:jc w:val="left"/>
            </w:pPr>
            <w:r>
              <w:t xml:space="preserve">Caída de 85 %; los distribuidores retiran la línea</w:t>
            </w:r>
          </w:p>
        </w:tc>
      </w:tr>
      <w:tr>
        <w:tc>
          <w:tcPr/>
          <w:p>
            <w:pPr>
              <w:pStyle w:val="Compact"/>
              <w:jc w:val="left"/>
            </w:pPr>
            <w:r>
              <w:t xml:space="preserve">O2. Ser la marca familiar más recomendada</w:t>
            </w:r>
          </w:p>
        </w:tc>
        <w:tc>
          <w:tcPr/>
          <w:p>
            <w:pPr>
              <w:pStyle w:val="Compact"/>
              <w:jc w:val="left"/>
            </w:pPr>
            <w:r>
              <w:t xml:space="preserve">NPS ≥ 45</w:t>
            </w:r>
          </w:p>
        </w:tc>
        <w:tc>
          <w:tcPr/>
          <w:p>
            <w:pPr>
              <w:pStyle w:val="Compact"/>
              <w:jc w:val="left"/>
            </w:pPr>
            <w:r>
              <w:t xml:space="preserve">47</w:t>
            </w:r>
          </w:p>
        </w:tc>
        <w:tc>
          <w:tcPr/>
          <w:p>
            <w:pPr>
              <w:pStyle w:val="Compact"/>
              <w:jc w:val="left"/>
            </w:pPr>
            <w:r>
              <w:t xml:space="preserve">−18</w:t>
            </w:r>
          </w:p>
        </w:tc>
        <w:tc>
          <w:tcPr/>
          <w:p>
            <w:pPr>
              <w:pStyle w:val="Compact"/>
              <w:jc w:val="left"/>
            </w:pPr>
            <w:r>
              <w:t xml:space="preserve">Pasa a terreno negativo</w:t>
            </w:r>
          </w:p>
        </w:tc>
      </w:tr>
      <w:tr>
        <w:tc>
          <w:tcPr/>
          <w:p>
            <w:pPr>
              <w:pStyle w:val="Compact"/>
              <w:jc w:val="left"/>
            </w:pPr>
            <w:r>
              <w:t xml:space="preserve">O3. Excelencia operativa</w:t>
            </w:r>
          </w:p>
        </w:tc>
        <w:tc>
          <w:tcPr/>
          <w:p>
            <w:pPr>
              <w:pStyle w:val="Compact"/>
              <w:jc w:val="left"/>
            </w:pPr>
            <w:r>
              <w:t xml:space="preserve">Controles de calidad realizados ≥ 95 %</w:t>
            </w:r>
          </w:p>
        </w:tc>
        <w:tc>
          <w:tcPr/>
          <w:p>
            <w:pPr>
              <w:pStyle w:val="Compact"/>
              <w:jc w:val="left"/>
            </w:pPr>
            <w:r>
              <w:t xml:space="preserve">96,8 %</w:t>
            </w:r>
          </w:p>
        </w:tc>
        <w:tc>
          <w:tcPr/>
          <w:p>
            <w:pPr>
              <w:pStyle w:val="Compact"/>
              <w:jc w:val="left"/>
            </w:pPr>
            <w:r>
              <w:t xml:space="preserve">99,1 % → 100 %</w:t>
            </w:r>
          </w:p>
        </w:tc>
        <w:tc>
          <w:tcPr/>
          <w:p>
            <w:pPr>
              <w:pStyle w:val="Compact"/>
              <w:jc w:val="left"/>
            </w:pPr>
            <w:r>
              <w:t xml:space="preserve">La meta se cumplía en promedio y escondía un turno con 15,2 % de omisión</w:t>
            </w:r>
          </w:p>
        </w:tc>
      </w:tr>
      <w:tr>
        <w:tc>
          <w:tcPr/>
          <w:p>
            <w:pPr>
              <w:pStyle w:val="Compact"/>
              <w:jc w:val="left"/>
            </w:pPr>
            <w:r>
              <w:t xml:space="preserve">O4. Fidelizar al consumidor</w:t>
            </w:r>
          </w:p>
        </w:tc>
        <w:tc>
          <w:tcPr/>
          <w:p>
            <w:pPr>
              <w:pStyle w:val="Compact"/>
              <w:jc w:val="left"/>
            </w:pPr>
            <w:r>
              <w:t xml:space="preserve">Recompra ≥ 40 %</w:t>
            </w:r>
          </w:p>
        </w:tc>
        <w:tc>
          <w:tcPr/>
          <w:p>
            <w:pPr>
              <w:pStyle w:val="Compact"/>
              <w:jc w:val="left"/>
            </w:pPr>
            <w:r>
              <w:t xml:space="preserve">42 %</w:t>
            </w:r>
          </w:p>
        </w:tc>
        <w:tc>
          <w:tcPr/>
          <w:p>
            <w:pPr>
              <w:pStyle w:val="Compact"/>
              <w:jc w:val="left"/>
            </w:pPr>
            <w:r>
              <w:t xml:space="preserve">19 %</w:t>
            </w:r>
          </w:p>
        </w:tc>
        <w:tc>
          <w:tcPr/>
          <w:p>
            <w:pPr>
              <w:pStyle w:val="Compact"/>
              <w:jc w:val="left"/>
            </w:pPr>
            <w:r>
              <w:t xml:space="preserve">Se pierde más de la mitad de la recompra</w:t>
            </w:r>
          </w:p>
        </w:tc>
      </w:tr>
    </w:tbl>
    <w:p>
      <w:pPr>
        <w:pStyle w:val="BodyText"/>
      </w:pPr>
      <w:r>
        <w:t xml:space="preserve">La lección de O3 es central: un promedio de 96,8 % parecía sano, pero no exigía el 100 % por lote ni desagregaba por planta y turno.</w:t>
      </w:r>
    </w:p>
    <w:bookmarkEnd w:id="61"/>
    <w:bookmarkStart w:id="62" w:name="okr-reformulados-después-de-la-crisis"/>
    <w:p>
      <w:pPr>
        <w:pStyle w:val="Heading2"/>
      </w:pPr>
      <w:r>
        <w:t xml:space="preserve">5.2 OKR reformulados después de la crisis</w:t>
      </w:r>
    </w:p>
    <w:p>
      <w:pPr>
        <w:numPr>
          <w:ilvl w:val="0"/>
          <w:numId w:val="1008"/>
        </w:numPr>
        <w:pStyle w:val="Compact"/>
      </w:pPr>
      <w:r>
        <w:rPr>
          <w:bCs/>
          <w:b/>
        </w:rPr>
        <w:t xml:space="preserve">O1. Que cada público pueda comprobar que la información de Alimenta es veraz.</w:t>
      </w:r>
    </w:p>
    <w:p>
      <w:pPr>
        <w:numPr>
          <w:ilvl w:val="1"/>
          <w:numId w:val="1009"/>
        </w:numPr>
        <w:pStyle w:val="Compact"/>
      </w:pPr>
      <w:r>
        <w:t xml:space="preserve">KR1. 100 % de los mensajes públicos auditados contra la ficha de hechos antes de publicarse.</w:t>
      </w:r>
    </w:p>
    <w:p>
      <w:pPr>
        <w:numPr>
          <w:ilvl w:val="1"/>
          <w:numId w:val="1009"/>
        </w:numPr>
        <w:pStyle w:val="Compact"/>
      </w:pPr>
      <w:r>
        <w:t xml:space="preserve">KR2. Relación hechos con evidencia / promesas ≥ 3 en los informes públicos.</w:t>
      </w:r>
    </w:p>
    <w:p>
      <w:pPr>
        <w:numPr>
          <w:ilvl w:val="1"/>
          <w:numId w:val="1009"/>
        </w:numPr>
        <w:pStyle w:val="Compact"/>
      </w:pPr>
      <w:r>
        <w:t xml:space="preserve">KR3. Índice de confianza ≥ 75 a marzo de 2027.</w:t>
      </w:r>
    </w:p>
    <w:p>
      <w:pPr>
        <w:numPr>
          <w:ilvl w:val="0"/>
          <w:numId w:val="1008"/>
        </w:numPr>
        <w:pStyle w:val="Compact"/>
      </w:pPr>
      <w:r>
        <w:rPr>
          <w:bCs/>
          <w:b/>
        </w:rPr>
        <w:t xml:space="preserve">O2. Que ningún lote salga sin sus controles completos.</w:t>
      </w:r>
    </w:p>
    <w:p>
      <w:pPr>
        <w:numPr>
          <w:ilvl w:val="1"/>
          <w:numId w:val="1010"/>
        </w:numPr>
        <w:pStyle w:val="Compact"/>
      </w:pPr>
      <w:r>
        <w:t xml:space="preserve">KR1. 100 % de los controles realizados por lote, medido por lote y no en promedio.</w:t>
      </w:r>
    </w:p>
    <w:p>
      <w:pPr>
        <w:numPr>
          <w:ilvl w:val="1"/>
          <w:numId w:val="1010"/>
        </w:numPr>
        <w:pStyle w:val="Compact"/>
      </w:pPr>
      <w:r>
        <w:t xml:space="preserve">KR2. Tiempo de rastreo de un lote ≤ 4 horas.</w:t>
      </w:r>
    </w:p>
    <w:p>
      <w:pPr>
        <w:numPr>
          <w:ilvl w:val="1"/>
          <w:numId w:val="1010"/>
        </w:numPr>
        <w:pStyle w:val="Compact"/>
      </w:pPr>
      <w:r>
        <w:t xml:space="preserve">KR3. Verificación externa semestral de una universidad aliada.</w:t>
      </w:r>
    </w:p>
    <w:p>
      <w:pPr>
        <w:numPr>
          <w:ilvl w:val="0"/>
          <w:numId w:val="1008"/>
        </w:numPr>
        <w:pStyle w:val="Compact"/>
      </w:pPr>
      <w:r>
        <w:rPr>
          <w:bCs/>
          <w:b/>
        </w:rPr>
        <w:t xml:space="preserve">O3. Atender primero a las personas.</w:t>
      </w:r>
    </w:p>
    <w:p>
      <w:pPr>
        <w:numPr>
          <w:ilvl w:val="1"/>
          <w:numId w:val="1011"/>
        </w:numPr>
        <w:pStyle w:val="Compact"/>
      </w:pPr>
      <w:r>
        <w:t xml:space="preserve">KR1. Tiempo medio de respuesta a PQR ≤ 12 horas.</w:t>
      </w:r>
    </w:p>
    <w:p>
      <w:pPr>
        <w:numPr>
          <w:ilvl w:val="1"/>
          <w:numId w:val="1011"/>
        </w:numPr>
        <w:pStyle w:val="Compact"/>
      </w:pPr>
      <w:r>
        <w:t xml:space="preserve">KR2. 100 % de los afectados con seguimiento de una persona.</w:t>
      </w:r>
    </w:p>
    <w:p>
      <w:pPr>
        <w:numPr>
          <w:ilvl w:val="0"/>
          <w:numId w:val="1008"/>
        </w:numPr>
        <w:pStyle w:val="Compact"/>
      </w:pPr>
      <w:r>
        <w:rPr>
          <w:bCs/>
          <w:b/>
        </w:rPr>
        <w:t xml:space="preserve">O4. Recuperar la línea vegana con evidencia, no con publicidad.</w:t>
      </w:r>
    </w:p>
    <w:p>
      <w:pPr>
        <w:numPr>
          <w:ilvl w:val="1"/>
          <w:numId w:val="1012"/>
        </w:numPr>
        <w:pStyle w:val="Compact"/>
      </w:pPr>
      <w:r>
        <w:t xml:space="preserve">KR1. ≥ 95 % de distribuidores con la línea activa.</w:t>
      </w:r>
    </w:p>
    <w:p>
      <w:pPr>
        <w:numPr>
          <w:ilvl w:val="1"/>
          <w:numId w:val="1012"/>
        </w:numPr>
        <w:pStyle w:val="Compact"/>
      </w:pPr>
      <w:r>
        <w:t xml:space="preserve">KR2. Ventas ≥ 410 MM COP/mes y recompra ≥ 42 %.</w:t>
      </w:r>
    </w:p>
    <w:bookmarkEnd w:id="62"/>
    <w:bookmarkStart w:id="63" w:name="tablero-de-kpi"/>
    <w:p>
      <w:pPr>
        <w:pStyle w:val="Heading2"/>
      </w:pPr>
      <w:r>
        <w:t xml:space="preserve">5.3 Tablero de KPI</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KPI</w:t>
            </w:r>
          </w:p>
        </w:tc>
        <w:tc>
          <w:tcPr/>
          <w:p>
            <w:pPr>
              <w:pStyle w:val="Compact"/>
              <w:jc w:val="left"/>
            </w:pPr>
            <w:r>
              <w:t xml:space="preserve">Fórmula</w:t>
            </w:r>
          </w:p>
        </w:tc>
        <w:tc>
          <w:tcPr/>
          <w:p>
            <w:pPr>
              <w:pStyle w:val="Compact"/>
              <w:jc w:val="left"/>
            </w:pPr>
            <w:r>
              <w:t xml:space="preserve">Fuente</w:t>
            </w:r>
          </w:p>
        </w:tc>
        <w:tc>
          <w:tcPr/>
          <w:p>
            <w:pPr>
              <w:pStyle w:val="Compact"/>
              <w:jc w:val="left"/>
            </w:pPr>
            <w:r>
              <w:t xml:space="preserve">Frecuencia</w:t>
            </w:r>
          </w:p>
        </w:tc>
        <w:tc>
          <w:tcPr/>
          <w:p>
            <w:pPr>
              <w:pStyle w:val="Compact"/>
              <w:jc w:val="left"/>
            </w:pPr>
            <w:r>
              <w:t xml:space="preserve">Responsable</w:t>
            </w:r>
          </w:p>
        </w:tc>
        <w:tc>
          <w:tcPr/>
          <w:p>
            <w:pPr>
              <w:pStyle w:val="Compact"/>
              <w:jc w:val="left"/>
            </w:pPr>
            <w:r>
              <w:t xml:space="preserve">Antes</w:t>
            </w:r>
          </w:p>
        </w:tc>
        <w:tc>
          <w:tcPr/>
          <w:p>
            <w:pPr>
              <w:pStyle w:val="Compact"/>
              <w:jc w:val="left"/>
            </w:pPr>
            <w:r>
              <w:t xml:space="preserve">May-2026 (pico de crisis)</w:t>
            </w:r>
          </w:p>
        </w:tc>
        <w:tc>
          <w:tcPr/>
          <w:p>
            <w:pPr>
              <w:pStyle w:val="Compact"/>
              <w:jc w:val="left"/>
            </w:pPr>
            <w:r>
              <w:t xml:space="preserve">Sep-2026</w:t>
            </w:r>
          </w:p>
        </w:tc>
        <w:tc>
          <w:tcPr/>
          <w:p>
            <w:pPr>
              <w:pStyle w:val="Compact"/>
              <w:jc w:val="left"/>
            </w:pPr>
            <w:r>
              <w:t xml:space="preserve">Mar-2027 (proy.)</w:t>
            </w:r>
          </w:p>
        </w:tc>
        <w:tc>
          <w:tcPr/>
          <w:p>
            <w:pPr>
              <w:pStyle w:val="Compact"/>
              <w:jc w:val="left"/>
            </w:pPr>
            <w:r>
              <w:t xml:space="preserve">Meta</w:t>
            </w:r>
          </w:p>
        </w:tc>
      </w:tr>
      <w:tr>
        <w:tc>
          <w:tcPr/>
          <w:p>
            <w:pPr>
              <w:pStyle w:val="Compact"/>
              <w:jc w:val="left"/>
            </w:pPr>
            <w:r>
              <w:t xml:space="preserve">Índice de confianza (0–100)</w:t>
            </w:r>
          </w:p>
        </w:tc>
        <w:tc>
          <w:tcPr/>
          <w:p>
            <w:pPr>
              <w:pStyle w:val="Compact"/>
              <w:jc w:val="left"/>
            </w:pPr>
            <w:r>
              <w:t xml:space="preserve">Promedio de la escala de confianza de la encuesta</w:t>
            </w:r>
          </w:p>
        </w:tc>
        <w:tc>
          <w:tcPr/>
          <w:p>
            <w:pPr>
              <w:pStyle w:val="Compact"/>
              <w:jc w:val="left"/>
            </w:pPr>
            <w:r>
              <w:t xml:space="preserve">Encuesta a consumidores</w:t>
            </w:r>
          </w:p>
        </w:tc>
        <w:tc>
          <w:tcPr/>
          <w:p>
            <w:pPr>
              <w:pStyle w:val="Compact"/>
              <w:jc w:val="left"/>
            </w:pPr>
            <w:r>
              <w:t xml:space="preserve">Mensual</w:t>
            </w:r>
          </w:p>
        </w:tc>
        <w:tc>
          <w:tcPr/>
          <w:p>
            <w:pPr>
              <w:pStyle w:val="Compact"/>
              <w:jc w:val="left"/>
            </w:pPr>
            <w:r>
              <w:t xml:space="preserve">Comunicación</w:t>
            </w:r>
          </w:p>
        </w:tc>
        <w:tc>
          <w:tcPr/>
          <w:p>
            <w:pPr>
              <w:pStyle w:val="Compact"/>
              <w:jc w:val="left"/>
            </w:pPr>
            <w:r>
              <w:t xml:space="preserve">79</w:t>
            </w:r>
          </w:p>
        </w:tc>
        <w:tc>
          <w:tcPr/>
          <w:p>
            <w:pPr>
              <w:pStyle w:val="Compact"/>
              <w:jc w:val="left"/>
            </w:pPr>
            <w:r>
              <w:t xml:space="preserve">38</w:t>
            </w:r>
          </w:p>
        </w:tc>
        <w:tc>
          <w:tcPr/>
          <w:p>
            <w:pPr>
              <w:pStyle w:val="Compact"/>
              <w:jc w:val="left"/>
            </w:pPr>
            <w:r>
              <w:t xml:space="preserve">61</w:t>
            </w:r>
          </w:p>
        </w:tc>
        <w:tc>
          <w:tcPr/>
          <w:p>
            <w:pPr>
              <w:pStyle w:val="Compact"/>
              <w:jc w:val="left"/>
            </w:pPr>
            <w:r>
              <w:t xml:space="preserve">75</w:t>
            </w:r>
          </w:p>
        </w:tc>
        <w:tc>
          <w:tcPr/>
          <w:p>
            <w:pPr>
              <w:pStyle w:val="Compact"/>
              <w:jc w:val="left"/>
            </w:pPr>
            <w:r>
              <w:t xml:space="preserve">≥ 75</w:t>
            </w:r>
          </w:p>
        </w:tc>
      </w:tr>
      <w:tr>
        <w:tc>
          <w:tcPr/>
          <w:p>
            <w:pPr>
              <w:pStyle w:val="Compact"/>
              <w:jc w:val="left"/>
            </w:pPr>
            <w:r>
              <w:t xml:space="preserve">Sentimiento neto (%)</w:t>
            </w:r>
          </w:p>
        </w:tc>
        <w:tc>
          <w:tcPr/>
          <w:p>
            <w:pPr>
              <w:pStyle w:val="Compact"/>
              <w:jc w:val="left"/>
            </w:pPr>
            <w:r>
              <w:t xml:space="preserve">(menciones positivas − negativas) / total</w:t>
            </w:r>
          </w:p>
        </w:tc>
        <w:tc>
          <w:tcPr/>
          <w:p>
            <w:pPr>
              <w:pStyle w:val="Compact"/>
              <w:jc w:val="left"/>
            </w:pPr>
            <w:r>
              <w:t xml:space="preserve">Escucha social</w:t>
            </w:r>
          </w:p>
        </w:tc>
        <w:tc>
          <w:tcPr/>
          <w:p>
            <w:pPr>
              <w:pStyle w:val="Compact"/>
              <w:jc w:val="left"/>
            </w:pPr>
            <w:r>
              <w:t xml:space="preserve">Semanal</w:t>
            </w:r>
          </w:p>
        </w:tc>
        <w:tc>
          <w:tcPr/>
          <w:p>
            <w:pPr>
              <w:pStyle w:val="Compact"/>
              <w:jc w:val="left"/>
            </w:pPr>
            <w:r>
              <w:t xml:space="preserve">Comunicación</w:t>
            </w:r>
          </w:p>
        </w:tc>
        <w:tc>
          <w:tcPr/>
          <w:p>
            <w:pPr>
              <w:pStyle w:val="Compact"/>
              <w:jc w:val="left"/>
            </w:pPr>
            <w:r>
              <w:t xml:space="preserve">35</w:t>
            </w:r>
          </w:p>
        </w:tc>
        <w:tc>
          <w:tcPr/>
          <w:p>
            <w:pPr>
              <w:pStyle w:val="Compact"/>
              <w:jc w:val="left"/>
            </w:pPr>
            <w:r>
              <w:t xml:space="preserve">−55</w:t>
            </w:r>
          </w:p>
        </w:tc>
        <w:tc>
          <w:tcPr/>
          <w:p>
            <w:pPr>
              <w:pStyle w:val="Compact"/>
              <w:jc w:val="left"/>
            </w:pPr>
            <w:r>
              <w:t xml:space="preserve">3</w:t>
            </w:r>
          </w:p>
        </w:tc>
        <w:tc>
          <w:tcPr/>
          <w:p>
            <w:pPr>
              <w:pStyle w:val="Compact"/>
              <w:jc w:val="left"/>
            </w:pPr>
            <w:r>
              <w:t xml:space="preserve">27</w:t>
            </w:r>
          </w:p>
        </w:tc>
        <w:tc>
          <w:tcPr/>
          <w:p>
            <w:pPr>
              <w:pStyle w:val="Compact"/>
              <w:jc w:val="left"/>
            </w:pPr>
            <w:r>
              <w:t xml:space="preserve">≥ 25</w:t>
            </w:r>
          </w:p>
        </w:tc>
      </w:tr>
      <w:tr>
        <w:tc>
          <w:tcPr/>
          <w:p>
            <w:pPr>
              <w:pStyle w:val="Compact"/>
              <w:jc w:val="left"/>
            </w:pPr>
            <w:r>
              <w:t xml:space="preserve">NPS</w:t>
            </w:r>
          </w:p>
        </w:tc>
        <w:tc>
          <w:tcPr/>
          <w:p>
            <w:pPr>
              <w:pStyle w:val="Compact"/>
              <w:jc w:val="left"/>
            </w:pPr>
            <w:r>
              <w:t xml:space="preserve">% promotores − % detractores</w:t>
            </w:r>
          </w:p>
        </w:tc>
        <w:tc>
          <w:tcPr/>
          <w:p>
            <w:pPr>
              <w:pStyle w:val="Compact"/>
              <w:jc w:val="left"/>
            </w:pPr>
            <w:r>
              <w:t xml:space="preserve">Encuesta</w:t>
            </w:r>
          </w:p>
        </w:tc>
        <w:tc>
          <w:tcPr/>
          <w:p>
            <w:pPr>
              <w:pStyle w:val="Compact"/>
              <w:jc w:val="left"/>
            </w:pPr>
            <w:r>
              <w:t xml:space="preserve">Mensual</w:t>
            </w:r>
          </w:p>
        </w:tc>
        <w:tc>
          <w:tcPr/>
          <w:p>
            <w:pPr>
              <w:pStyle w:val="Compact"/>
              <w:jc w:val="left"/>
            </w:pPr>
            <w:r>
              <w:t xml:space="preserve">Mercadeo</w:t>
            </w:r>
          </w:p>
        </w:tc>
        <w:tc>
          <w:tcPr/>
          <w:p>
            <w:pPr>
              <w:pStyle w:val="Compact"/>
              <w:jc w:val="left"/>
            </w:pPr>
            <w:r>
              <w:t xml:space="preserve">47</w:t>
            </w:r>
          </w:p>
        </w:tc>
        <w:tc>
          <w:tcPr/>
          <w:p>
            <w:pPr>
              <w:pStyle w:val="Compact"/>
              <w:jc w:val="left"/>
            </w:pPr>
            <w:r>
              <w:t xml:space="preserve">−18</w:t>
            </w:r>
          </w:p>
        </w:tc>
        <w:tc>
          <w:tcPr/>
          <w:p>
            <w:pPr>
              <w:pStyle w:val="Compact"/>
              <w:jc w:val="left"/>
            </w:pPr>
            <w:r>
              <w:t xml:space="preserve">21</w:t>
            </w:r>
          </w:p>
        </w:tc>
        <w:tc>
          <w:tcPr/>
          <w:p>
            <w:pPr>
              <w:pStyle w:val="Compact"/>
              <w:jc w:val="left"/>
            </w:pPr>
            <w:r>
              <w:t xml:space="preserve">40</w:t>
            </w:r>
          </w:p>
        </w:tc>
        <w:tc>
          <w:tcPr/>
          <w:p>
            <w:pPr>
              <w:pStyle w:val="Compact"/>
              <w:jc w:val="left"/>
            </w:pPr>
            <w:r>
              <w:t xml:space="preserve">≥ 40</w:t>
            </w:r>
          </w:p>
        </w:tc>
      </w:tr>
      <w:tr>
        <w:tc>
          <w:tcPr/>
          <w:p>
            <w:pPr>
              <w:pStyle w:val="Compact"/>
              <w:jc w:val="left"/>
            </w:pPr>
            <w:r>
              <w:t xml:space="preserve">Controles realizados (%)</w:t>
            </w:r>
          </w:p>
        </w:tc>
        <w:tc>
          <w:tcPr/>
          <w:p>
            <w:pPr>
              <w:pStyle w:val="Compact"/>
              <w:jc w:val="left"/>
            </w:pPr>
            <w:r>
              <w:t xml:space="preserve">controles realizados / exigidos, por lote</w:t>
            </w:r>
          </w:p>
        </w:tc>
        <w:tc>
          <w:tcPr/>
          <w:p>
            <w:pPr>
              <w:pStyle w:val="Compact"/>
              <w:jc w:val="left"/>
            </w:pPr>
            <w:r>
              <w:t xml:space="preserve">Trazabilidad</w:t>
            </w:r>
          </w:p>
        </w:tc>
        <w:tc>
          <w:tcPr/>
          <w:p>
            <w:pPr>
              <w:pStyle w:val="Compact"/>
              <w:jc w:val="left"/>
            </w:pPr>
            <w:r>
              <w:t xml:space="preserve">Por lote</w:t>
            </w:r>
          </w:p>
        </w:tc>
        <w:tc>
          <w:tcPr/>
          <w:p>
            <w:pPr>
              <w:pStyle w:val="Compact"/>
              <w:jc w:val="left"/>
            </w:pPr>
            <w:r>
              <w:t xml:space="preserve">Calidad</w:t>
            </w:r>
          </w:p>
        </w:tc>
        <w:tc>
          <w:tcPr/>
          <w:p>
            <w:pPr>
              <w:pStyle w:val="Compact"/>
              <w:jc w:val="left"/>
            </w:pPr>
            <w:r>
              <w:t xml:space="preserve">96,8</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Tiempo de rastreo de un lote (h)</w:t>
            </w:r>
          </w:p>
        </w:tc>
        <w:tc>
          <w:tcPr/>
          <w:p>
            <w:pPr>
              <w:pStyle w:val="Compact"/>
              <w:jc w:val="left"/>
            </w:pPr>
            <w:r>
              <w:t xml:space="preserve">horas entre el reporte y la ruta completa</w:t>
            </w:r>
          </w:p>
        </w:tc>
        <w:tc>
          <w:tcPr/>
          <w:p>
            <w:pPr>
              <w:pStyle w:val="Compact"/>
              <w:jc w:val="left"/>
            </w:pPr>
            <w:r>
              <w:t xml:space="preserve">Trazabilidad + PQR</w:t>
            </w:r>
          </w:p>
        </w:tc>
        <w:tc>
          <w:tcPr/>
          <w:p>
            <w:pPr>
              <w:pStyle w:val="Compact"/>
              <w:jc w:val="left"/>
            </w:pPr>
            <w:r>
              <w:t xml:space="preserve">Por evento</w:t>
            </w:r>
          </w:p>
        </w:tc>
        <w:tc>
          <w:tcPr/>
          <w:p>
            <w:pPr>
              <w:pStyle w:val="Compact"/>
              <w:jc w:val="left"/>
            </w:pPr>
            <w:r>
              <w:t xml:space="preserve">Operaciones</w:t>
            </w:r>
          </w:p>
        </w:tc>
        <w:tc>
          <w:tcPr/>
          <w:p>
            <w:pPr>
              <w:pStyle w:val="Compact"/>
              <w:jc w:val="left"/>
            </w:pPr>
            <w:r>
              <w:t xml:space="preserve">72</w:t>
            </w:r>
          </w:p>
        </w:tc>
        <w:tc>
          <w:tcPr/>
          <w:p>
            <w:pPr>
              <w:pStyle w:val="Compact"/>
              <w:jc w:val="left"/>
            </w:pPr>
            <w:r>
              <w:t xml:space="preserve">36</w:t>
            </w:r>
          </w:p>
        </w:tc>
        <w:tc>
          <w:tcPr/>
          <w:p>
            <w:pPr>
              <w:pStyle w:val="Compact"/>
              <w:jc w:val="left"/>
            </w:pPr>
            <w:r>
              <w:t xml:space="preserve">6</w:t>
            </w:r>
          </w:p>
        </w:tc>
        <w:tc>
          <w:tcPr/>
          <w:p>
            <w:pPr>
              <w:pStyle w:val="Compact"/>
              <w:jc w:val="left"/>
            </w:pPr>
            <w:r>
              <w:t xml:space="preserve">4</w:t>
            </w:r>
          </w:p>
        </w:tc>
        <w:tc>
          <w:tcPr/>
          <w:p>
            <w:pPr>
              <w:pStyle w:val="Compact"/>
              <w:jc w:val="left"/>
            </w:pPr>
            <w:r>
              <w:t xml:space="preserve">≤ 4</w:t>
            </w:r>
          </w:p>
        </w:tc>
      </w:tr>
      <w:tr>
        <w:tc>
          <w:tcPr/>
          <w:p>
            <w:pPr>
              <w:pStyle w:val="Compact"/>
              <w:jc w:val="left"/>
            </w:pPr>
            <w:r>
              <w:t xml:space="preserve">Tiempo de respuesta a PQR (h)</w:t>
            </w:r>
          </w:p>
        </w:tc>
        <w:tc>
          <w:tcPr/>
          <w:p>
            <w:pPr>
              <w:pStyle w:val="Compact"/>
              <w:jc w:val="left"/>
            </w:pPr>
            <w:r>
              <w:t xml:space="preserve">promedio de horas a primera respuesta</w:t>
            </w:r>
          </w:p>
        </w:tc>
        <w:tc>
          <w:tcPr/>
          <w:p>
            <w:pPr>
              <w:pStyle w:val="Compact"/>
              <w:jc w:val="left"/>
            </w:pPr>
            <w:r>
              <w:t xml:space="preserve">Registro de PQR</w:t>
            </w:r>
          </w:p>
        </w:tc>
        <w:tc>
          <w:tcPr/>
          <w:p>
            <w:pPr>
              <w:pStyle w:val="Compact"/>
              <w:jc w:val="left"/>
            </w:pPr>
            <w:r>
              <w:t xml:space="preserve">Semanal</w:t>
            </w:r>
          </w:p>
        </w:tc>
        <w:tc>
          <w:tcPr/>
          <w:p>
            <w:pPr>
              <w:pStyle w:val="Compact"/>
              <w:jc w:val="left"/>
            </w:pPr>
            <w:r>
              <w:t xml:space="preserve">Atención al Consumidor</w:t>
            </w:r>
          </w:p>
        </w:tc>
        <w:tc>
          <w:tcPr/>
          <w:p>
            <w:pPr>
              <w:pStyle w:val="Compact"/>
              <w:jc w:val="left"/>
            </w:pPr>
            <w:r>
              <w:t xml:space="preserve">28,5</w:t>
            </w:r>
          </w:p>
        </w:tc>
        <w:tc>
          <w:tcPr/>
          <w:p>
            <w:pPr>
              <w:pStyle w:val="Compact"/>
              <w:jc w:val="left"/>
            </w:pPr>
            <w:r>
              <w:t xml:space="preserve">74</w:t>
            </w:r>
          </w:p>
        </w:tc>
        <w:tc>
          <w:tcPr/>
          <w:p>
            <w:pPr>
              <w:pStyle w:val="Compact"/>
              <w:jc w:val="left"/>
            </w:pPr>
            <w:r>
              <w:t xml:space="preserve">17</w:t>
            </w:r>
          </w:p>
        </w:tc>
        <w:tc>
          <w:tcPr/>
          <w:p>
            <w:pPr>
              <w:pStyle w:val="Compact"/>
              <w:jc w:val="left"/>
            </w:pPr>
            <w:r>
              <w:t xml:space="preserve">12</w:t>
            </w:r>
          </w:p>
        </w:tc>
        <w:tc>
          <w:tcPr/>
          <w:p>
            <w:pPr>
              <w:pStyle w:val="Compact"/>
              <w:jc w:val="left"/>
            </w:pPr>
            <w:r>
              <w:t xml:space="preserve">≤ 12</w:t>
            </w:r>
          </w:p>
        </w:tc>
      </w:tr>
      <w:tr>
        <w:tc>
          <w:tcPr/>
          <w:p>
            <w:pPr>
              <w:pStyle w:val="Compact"/>
              <w:jc w:val="left"/>
            </w:pPr>
            <w:r>
              <w:t xml:space="preserve">Distribuidores activos (%)</w:t>
            </w:r>
          </w:p>
        </w:tc>
        <w:tc>
          <w:tcPr/>
          <w:p>
            <w:pPr>
              <w:pStyle w:val="Compact"/>
              <w:jc w:val="left"/>
            </w:pPr>
            <w:r>
              <w:t xml:space="preserve">distribuidores con la línea vegana / total</w:t>
            </w:r>
          </w:p>
        </w:tc>
        <w:tc>
          <w:tcPr/>
          <w:p>
            <w:pPr>
              <w:pStyle w:val="Compact"/>
              <w:jc w:val="left"/>
            </w:pPr>
            <w:r>
              <w:t xml:space="preserve">Comercial</w:t>
            </w:r>
          </w:p>
        </w:tc>
        <w:tc>
          <w:tcPr/>
          <w:p>
            <w:pPr>
              <w:pStyle w:val="Compact"/>
              <w:jc w:val="left"/>
            </w:pPr>
            <w:r>
              <w:t xml:space="preserve">Mensual</w:t>
            </w:r>
          </w:p>
        </w:tc>
        <w:tc>
          <w:tcPr/>
          <w:p>
            <w:pPr>
              <w:pStyle w:val="Compact"/>
              <w:jc w:val="left"/>
            </w:pPr>
            <w:r>
              <w:t xml:space="preserve">Comercial</w:t>
            </w:r>
          </w:p>
        </w:tc>
        <w:tc>
          <w:tcPr/>
          <w:p>
            <w:pPr>
              <w:pStyle w:val="Compact"/>
              <w:jc w:val="left"/>
            </w:pPr>
            <w:r>
              <w:t xml:space="preserve">100</w:t>
            </w:r>
          </w:p>
        </w:tc>
        <w:tc>
          <w:tcPr/>
          <w:p>
            <w:pPr>
              <w:pStyle w:val="Compact"/>
              <w:jc w:val="left"/>
            </w:pPr>
            <w:r>
              <w:t xml:space="preserve">58</w:t>
            </w:r>
          </w:p>
        </w:tc>
        <w:tc>
          <w:tcPr/>
          <w:p>
            <w:pPr>
              <w:pStyle w:val="Compact"/>
              <w:jc w:val="left"/>
            </w:pPr>
            <w:r>
              <w:t xml:space="preserve">85</w:t>
            </w:r>
          </w:p>
        </w:tc>
        <w:tc>
          <w:tcPr/>
          <w:p>
            <w:pPr>
              <w:pStyle w:val="Compact"/>
              <w:jc w:val="left"/>
            </w:pPr>
            <w:r>
              <w:t xml:space="preserve">96</w:t>
            </w:r>
          </w:p>
        </w:tc>
        <w:tc>
          <w:tcPr/>
          <w:p>
            <w:pPr>
              <w:pStyle w:val="Compact"/>
              <w:jc w:val="left"/>
            </w:pPr>
            <w:r>
              <w:t xml:space="preserve">≥ 95</w:t>
            </w:r>
          </w:p>
        </w:tc>
      </w:tr>
      <w:tr>
        <w:tc>
          <w:tcPr/>
          <w:p>
            <w:pPr>
              <w:pStyle w:val="Compact"/>
              <w:jc w:val="left"/>
            </w:pPr>
            <w:r>
              <w:t xml:space="preserve">Mensajes auditados (%)</w:t>
            </w:r>
          </w:p>
        </w:tc>
        <w:tc>
          <w:tcPr/>
          <w:p>
            <w:pPr>
              <w:pStyle w:val="Compact"/>
              <w:jc w:val="left"/>
            </w:pPr>
            <w:r>
              <w:t xml:space="preserve">mensajes revisados contra la ficha / publicados</w:t>
            </w:r>
          </w:p>
        </w:tc>
        <w:tc>
          <w:tcPr/>
          <w:p>
            <w:pPr>
              <w:pStyle w:val="Compact"/>
              <w:jc w:val="left"/>
            </w:pPr>
            <w:r>
              <w:t xml:space="preserve">Registro de comunicaciones</w:t>
            </w:r>
          </w:p>
        </w:tc>
        <w:tc>
          <w:tcPr/>
          <w:p>
            <w:pPr>
              <w:pStyle w:val="Compact"/>
              <w:jc w:val="left"/>
            </w:pPr>
            <w:r>
              <w:t xml:space="preserve">Por mensaje</w:t>
            </w:r>
          </w:p>
        </w:tc>
        <w:tc>
          <w:tcPr/>
          <w:p>
            <w:pPr>
              <w:pStyle w:val="Compact"/>
              <w:jc w:val="left"/>
            </w:pPr>
            <w:r>
              <w:t xml:space="preserve">Jurídica</w:t>
            </w:r>
          </w:p>
        </w:tc>
        <w:tc>
          <w:tcPr/>
          <w:p>
            <w:pPr>
              <w:pStyle w:val="Compact"/>
              <w:jc w:val="left"/>
            </w:pPr>
            <w:r>
              <w:t xml:space="preserve">No se medía</w:t>
            </w:r>
          </w:p>
        </w:tc>
        <w:tc>
          <w:tcPr/>
          <w:p>
            <w:pPr>
              <w:pStyle w:val="Compact"/>
              <w:jc w:val="left"/>
            </w:pPr>
            <w:r>
              <w:t xml:space="preserve">95</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Hechos / promesas</w:t>
            </w:r>
          </w:p>
        </w:tc>
        <w:tc>
          <w:tcPr/>
          <w:p>
            <w:pPr>
              <w:pStyle w:val="Compact"/>
              <w:jc w:val="left"/>
            </w:pPr>
            <w:r>
              <w:t xml:space="preserve">frases con evidencia / frases promesa</w:t>
            </w:r>
          </w:p>
        </w:tc>
        <w:tc>
          <w:tcPr/>
          <w:p>
            <w:pPr>
              <w:pStyle w:val="Compact"/>
              <w:jc w:val="left"/>
            </w:pPr>
            <w:r>
              <w:t xml:space="preserve">Informes públicos</w:t>
            </w:r>
          </w:p>
        </w:tc>
        <w:tc>
          <w:tcPr/>
          <w:p>
            <w:pPr>
              <w:pStyle w:val="Compact"/>
              <w:jc w:val="left"/>
            </w:pPr>
            <w:r>
              <w:t xml:space="preserve">Por informe</w:t>
            </w:r>
          </w:p>
        </w:tc>
        <w:tc>
          <w:tcPr/>
          <w:p>
            <w:pPr>
              <w:pStyle w:val="Compact"/>
              <w:jc w:val="left"/>
            </w:pPr>
            <w:r>
              <w:t xml:space="preserve">Calidad</w:t>
            </w:r>
          </w:p>
        </w:tc>
        <w:tc>
          <w:tcPr/>
          <w:p>
            <w:pPr>
              <w:pStyle w:val="Compact"/>
              <w:jc w:val="left"/>
            </w:pPr>
            <w:r>
              <w:t xml:space="preserve">No se medía</w:t>
            </w:r>
          </w:p>
        </w:tc>
        <w:tc>
          <w:tcPr/>
          <w:p>
            <w:pPr>
              <w:pStyle w:val="Compact"/>
              <w:jc w:val="left"/>
            </w:pPr>
            <w:r>
              <w:t xml:space="preserve">0,9</w:t>
            </w:r>
          </w:p>
        </w:tc>
        <w:tc>
          <w:tcPr/>
          <w:p>
            <w:pPr>
              <w:pStyle w:val="Compact"/>
              <w:jc w:val="left"/>
            </w:pPr>
            <w:r>
              <w:t xml:space="preserve">2,6</w:t>
            </w:r>
          </w:p>
        </w:tc>
        <w:tc>
          <w:tcPr/>
          <w:p>
            <w:pPr>
              <w:pStyle w:val="Compact"/>
              <w:jc w:val="left"/>
            </w:pPr>
            <w:r>
              <w:t xml:space="preserve">3,4</w:t>
            </w:r>
          </w:p>
        </w:tc>
        <w:tc>
          <w:tcPr/>
          <w:p>
            <w:pPr>
              <w:pStyle w:val="Compact"/>
              <w:jc w:val="left"/>
            </w:pPr>
            <w:r>
              <w:t xml:space="preserve">≥ 3</w:t>
            </w:r>
          </w:p>
        </w:tc>
      </w:tr>
      <w:tr>
        <w:tc>
          <w:tcPr/>
          <w:p>
            <w:pPr>
              <w:pStyle w:val="Compact"/>
              <w:jc w:val="left"/>
            </w:pPr>
            <w:r>
              <w:t xml:space="preserve">Ventas línea vegana (MM COP/mes)</w:t>
            </w:r>
          </w:p>
        </w:tc>
        <w:tc>
          <w:tcPr/>
          <w:p>
            <w:pPr>
              <w:pStyle w:val="Compact"/>
              <w:jc w:val="left"/>
            </w:pPr>
            <w:r>
              <w:t xml:space="preserve">ventas netas mensuales</w:t>
            </w:r>
          </w:p>
        </w:tc>
        <w:tc>
          <w:tcPr/>
          <w:p>
            <w:pPr>
              <w:pStyle w:val="Compact"/>
              <w:jc w:val="left"/>
            </w:pPr>
            <w:r>
              <w:t xml:space="preserve">ERP</w:t>
            </w:r>
          </w:p>
        </w:tc>
        <w:tc>
          <w:tcPr/>
          <w:p>
            <w:pPr>
              <w:pStyle w:val="Compact"/>
              <w:jc w:val="left"/>
            </w:pPr>
            <w:r>
              <w:t xml:space="preserve">Mensual</w:t>
            </w:r>
          </w:p>
        </w:tc>
        <w:tc>
          <w:tcPr/>
          <w:p>
            <w:pPr>
              <w:pStyle w:val="Compact"/>
              <w:jc w:val="left"/>
            </w:pPr>
            <w:r>
              <w:t xml:space="preserve">Comercial</w:t>
            </w:r>
          </w:p>
        </w:tc>
        <w:tc>
          <w:tcPr/>
          <w:p>
            <w:pPr>
              <w:pStyle w:val="Compact"/>
              <w:jc w:val="left"/>
            </w:pPr>
            <w:r>
              <w:t xml:space="preserve">410</w:t>
            </w:r>
          </w:p>
        </w:tc>
        <w:tc>
          <w:tcPr/>
          <w:p>
            <w:pPr>
              <w:pStyle w:val="Compact"/>
              <w:jc w:val="left"/>
            </w:pPr>
            <w:r>
              <w:t xml:space="preserve">60</w:t>
            </w:r>
          </w:p>
        </w:tc>
        <w:tc>
          <w:tcPr/>
          <w:p>
            <w:pPr>
              <w:pStyle w:val="Compact"/>
              <w:jc w:val="left"/>
            </w:pPr>
            <w:r>
              <w:t xml:space="preserve">265</w:t>
            </w:r>
          </w:p>
        </w:tc>
        <w:tc>
          <w:tcPr/>
          <w:p>
            <w:pPr>
              <w:pStyle w:val="Compact"/>
              <w:jc w:val="left"/>
            </w:pPr>
            <w:r>
              <w:t xml:space="preserve">430</w:t>
            </w:r>
          </w:p>
        </w:tc>
        <w:tc>
          <w:tcPr/>
          <w:p>
            <w:pPr>
              <w:pStyle w:val="Compact"/>
              <w:jc w:val="left"/>
            </w:pPr>
            <w:r>
              <w:t xml:space="preserve">≥ 410</w:t>
            </w:r>
          </w:p>
        </w:tc>
      </w:tr>
      <w:tr>
        <w:tc>
          <w:tcPr/>
          <w:p>
            <w:pPr>
              <w:pStyle w:val="Compact"/>
              <w:jc w:val="left"/>
            </w:pPr>
            <w:r>
              <w:t xml:space="preserve">Recompra (%)</w:t>
            </w:r>
          </w:p>
        </w:tc>
        <w:tc>
          <w:tcPr/>
          <w:p>
            <w:pPr>
              <w:pStyle w:val="Compact"/>
              <w:jc w:val="left"/>
            </w:pPr>
            <w:r>
              <w:t xml:space="preserve">clientes que repiten en 60 días / compradores</w:t>
            </w:r>
          </w:p>
        </w:tc>
        <w:tc>
          <w:tcPr/>
          <w:p>
            <w:pPr>
              <w:pStyle w:val="Compact"/>
              <w:jc w:val="left"/>
            </w:pPr>
            <w:r>
              <w:t xml:space="preserve">Panel de hogares</w:t>
            </w:r>
          </w:p>
        </w:tc>
        <w:tc>
          <w:tcPr/>
          <w:p>
            <w:pPr>
              <w:pStyle w:val="Compact"/>
              <w:jc w:val="left"/>
            </w:pPr>
            <w:r>
              <w:t xml:space="preserve">Mensual</w:t>
            </w:r>
          </w:p>
        </w:tc>
        <w:tc>
          <w:tcPr/>
          <w:p>
            <w:pPr>
              <w:pStyle w:val="Compact"/>
              <w:jc w:val="left"/>
            </w:pPr>
            <w:r>
              <w:t xml:space="preserve">Mercadeo</w:t>
            </w:r>
          </w:p>
        </w:tc>
        <w:tc>
          <w:tcPr/>
          <w:p>
            <w:pPr>
              <w:pStyle w:val="Compact"/>
              <w:jc w:val="left"/>
            </w:pPr>
            <w:r>
              <w:t xml:space="preserve">42</w:t>
            </w:r>
          </w:p>
        </w:tc>
        <w:tc>
          <w:tcPr/>
          <w:p>
            <w:pPr>
              <w:pStyle w:val="Compact"/>
              <w:jc w:val="left"/>
            </w:pPr>
            <w:r>
              <w:t xml:space="preserve">19</w:t>
            </w:r>
          </w:p>
        </w:tc>
        <w:tc>
          <w:tcPr/>
          <w:p>
            <w:pPr>
              <w:pStyle w:val="Compact"/>
              <w:jc w:val="left"/>
            </w:pPr>
            <w:r>
              <w:t xml:space="preserve">34</w:t>
            </w:r>
          </w:p>
        </w:tc>
        <w:tc>
          <w:tcPr/>
          <w:p>
            <w:pPr>
              <w:pStyle w:val="Compact"/>
              <w:jc w:val="left"/>
            </w:pPr>
            <w:r>
              <w:t xml:space="preserve">41</w:t>
            </w:r>
          </w:p>
        </w:tc>
        <w:tc>
          <w:tcPr/>
          <w:p>
            <w:pPr>
              <w:pStyle w:val="Compact"/>
              <w:jc w:val="left"/>
            </w:pPr>
            <w:r>
              <w:t xml:space="preserve">≥ 42</w:t>
            </w:r>
          </w:p>
        </w:tc>
      </w:tr>
    </w:tbl>
    <w:p>
      <w:pPr>
        <w:pStyle w:val="BodyText"/>
      </w:pPr>
      <w:r>
        <w:t xml:space="preserve">«Antes» es el promedio de oct-2025 a mar-2026 (en ventas, mar-2026, porque la línea se lanzó en febrero). Los tiempos de respuesta de esta serie son promedios mensuales; el AED reporta medianas, por eso difieren. Dos KPI nuevos, mensajes auditados y hechos/promesas, no existían antes: la crisis los creó.</w:t>
      </w:r>
    </w:p>
    <w:bookmarkEnd w:id="63"/>
    <w:bookmarkEnd w:id="64"/>
    <w:bookmarkStart w:id="65" w:name="conclusiones-y-lecciones-aprendidas"/>
    <w:p>
      <w:pPr>
        <w:pStyle w:val="Heading1"/>
      </w:pPr>
      <w:r>
        <w:t xml:space="preserve">Conclusiones y lecciones aprendidas</w:t>
      </w:r>
    </w:p>
    <w:p>
      <w:pPr>
        <w:numPr>
          <w:ilvl w:val="0"/>
          <w:numId w:val="1013"/>
        </w:numPr>
        <w:pStyle w:val="Compact"/>
      </w:pPr>
      <w:r>
        <w:rPr>
          <w:bCs/>
          <w:b/>
        </w:rPr>
        <w:t xml:space="preserve">La crisis fue de credibilidad, no de producto.</w:t>
      </w:r>
      <w:r>
        <w:t xml:space="preserve"> </w:t>
      </w:r>
      <w:r>
        <w:t xml:space="preserve">Un lote concentró 64 reportes de salud, pero el 44 % de las consultas de seguridad, etiquetado y rumores llegó de líneas sin ningún problema técnico.</w:t>
      </w:r>
    </w:p>
    <w:p>
      <w:pPr>
        <w:numPr>
          <w:ilvl w:val="0"/>
          <w:numId w:val="1013"/>
        </w:numPr>
        <w:pStyle w:val="Compact"/>
      </w:pPr>
      <w:r>
        <w:rPr>
          <w:bCs/>
          <w:b/>
        </w:rPr>
        <w:t xml:space="preserve">Un promedio sano puede esconder la falla.</w:t>
      </w:r>
      <w:r>
        <w:t xml:space="preserve"> </w:t>
      </w:r>
      <w:r>
        <w:t xml:space="preserve">Controles realizados al 96,8 % cumplían la meta mientras la Planta Chía, en turno noche, omitía el 15,2 %. Los KPI críticos se miden por lote, planta y turno.</w:t>
      </w:r>
    </w:p>
    <w:p>
      <w:pPr>
        <w:numPr>
          <w:ilvl w:val="0"/>
          <w:numId w:val="1013"/>
        </w:numPr>
        <w:pStyle w:val="Compact"/>
      </w:pPr>
      <w:r>
        <w:rPr>
          <w:bCs/>
          <w:b/>
        </w:rPr>
        <w:t xml:space="preserve">Primero los hechos, después las palabras.</w:t>
      </w:r>
      <w:r>
        <w:t xml:space="preserve"> </w:t>
      </w:r>
      <w:r>
        <w:t xml:space="preserve">La ficha única de hechos, con estados Confirmado / Por confirmar / No consta, es el insumo de toda la comunicación posterior.</w:t>
      </w:r>
    </w:p>
    <w:p>
      <w:pPr>
        <w:numPr>
          <w:ilvl w:val="0"/>
          <w:numId w:val="1013"/>
        </w:numPr>
        <w:pStyle w:val="Compact"/>
      </w:pPr>
      <w:r>
        <w:rPr>
          <w:bCs/>
          <w:b/>
        </w:rPr>
        <w:t xml:space="preserve">La misma IA que inventa una frase puede cazarla.</w:t>
      </w:r>
      <w:r>
        <w:t xml:space="preserve"> </w:t>
      </w:r>
      <w:r>
        <w:t xml:space="preserve">Su valor no está en hablar más rápido sino en depurar, cruzar, verificar y ensayar; la decisión y el contacto con los afectados son humanos.</w:t>
      </w:r>
    </w:p>
    <w:p>
      <w:pPr>
        <w:numPr>
          <w:ilvl w:val="0"/>
          <w:numId w:val="1013"/>
        </w:numPr>
        <w:pStyle w:val="Compact"/>
      </w:pPr>
      <w:r>
        <w:rPr>
          <w:bCs/>
          <w:b/>
        </w:rPr>
        <w:t xml:space="preserve">Confianza = mensaje + evidencia + consistencia + acción.</w:t>
      </w:r>
      <w:r>
        <w:t xml:space="preserve"> </w:t>
      </w:r>
      <w:r>
        <w:t xml:space="preserve">Por eso los OKR reformulados miden mensajes auditados, hechos frente a promesas y tiempo de rastreo, no solo ventas y NPS.</w:t>
      </w:r>
    </w:p>
    <w:p>
      <w:pPr>
        <w:numPr>
          <w:ilvl w:val="0"/>
          <w:numId w:val="1013"/>
        </w:numPr>
        <w:pStyle w:val="Compact"/>
      </w:pPr>
      <w:r>
        <w:rPr>
          <w:bCs/>
          <w:b/>
        </w:rPr>
        <w:t xml:space="preserve">La transparencia se prueba cuando no conviene y cuando sí.</w:t>
      </w:r>
      <w:r>
        <w:t xml:space="preserve"> </w:t>
      </w:r>
      <w:r>
        <w:t xml:space="preserve">Comunicar el resultado favorable del lote VEG-GA-2026-063 fue tan importante como reconocer el 047.</w:t>
      </w:r>
    </w:p>
    <w:bookmarkEnd w:id="65"/>
    <w:bookmarkStart w:id="66" w:name="referencias"/>
    <w:p>
      <w:pPr>
        <w:pStyle w:val="Heading1"/>
      </w:pPr>
      <w:r>
        <w:t xml:space="preserve">Referencias</w:t>
      </w:r>
    </w:p>
    <w:p>
      <w:pPr>
        <w:numPr>
          <w:ilvl w:val="0"/>
          <w:numId w:val="1014"/>
        </w:numPr>
        <w:pStyle w:val="Compact"/>
      </w:pPr>
      <w:r>
        <w:t xml:space="preserve">Benoit, W. L. (1997). Image repair discourse and crisis communication.</w:t>
      </w:r>
      <w:r>
        <w:t xml:space="preserve"> </w:t>
      </w:r>
      <w:r>
        <w:rPr>
          <w:iCs/>
          <w:i/>
        </w:rPr>
        <w:t xml:space="preserve">Public Relations Review, 23</w:t>
      </w:r>
      <w:r>
        <w:t xml:space="preserve">(2), 177–186.</w:t>
      </w:r>
    </w:p>
    <w:p>
      <w:pPr>
        <w:numPr>
          <w:ilvl w:val="0"/>
          <w:numId w:val="1014"/>
        </w:numPr>
        <w:pStyle w:val="Compact"/>
      </w:pPr>
      <w:r>
        <w:t xml:space="preserve">Coombs, W. T. (2007). Protecting organization reputations during a crisis: The development and application of situational crisis communication theory.</w:t>
      </w:r>
      <w:r>
        <w:t xml:space="preserve"> </w:t>
      </w:r>
      <w:r>
        <w:rPr>
          <w:iCs/>
          <w:i/>
        </w:rPr>
        <w:t xml:space="preserve">Corporate Reputation Review, 10</w:t>
      </w:r>
      <w:r>
        <w:t xml:space="preserve">(3), 163–176.</w:t>
      </w:r>
    </w:p>
    <w:p>
      <w:pPr>
        <w:numPr>
          <w:ilvl w:val="0"/>
          <w:numId w:val="1014"/>
        </w:numPr>
        <w:pStyle w:val="Compact"/>
      </w:pPr>
      <w:r>
        <w:t xml:space="preserve">Coombs, W. T. (2019).</w:t>
      </w:r>
      <w:r>
        <w:t xml:space="preserve"> </w:t>
      </w:r>
      <w:r>
        <w:rPr>
          <w:iCs/>
          <w:i/>
        </w:rPr>
        <w:t xml:space="preserve">Ongoing crisis communication: Planning, managing, and responding</w:t>
      </w:r>
      <w:r>
        <w:t xml:space="preserve"> </w:t>
      </w:r>
      <w:r>
        <w:t xml:space="preserve">(5.ª ed.). SAGE.</w:t>
      </w:r>
    </w:p>
    <w:p>
      <w:pPr>
        <w:numPr>
          <w:ilvl w:val="0"/>
          <w:numId w:val="1014"/>
        </w:numPr>
        <w:pStyle w:val="Compact"/>
      </w:pPr>
      <w:r>
        <w:t xml:space="preserve">Doerr, J. (2018).</w:t>
      </w:r>
      <w:r>
        <w:t xml:space="preserve"> </w:t>
      </w:r>
      <w:r>
        <w:rPr>
          <w:iCs/>
          <w:i/>
        </w:rPr>
        <w:t xml:space="preserve">Measure what matters: How Google, Bono, and the Gates Foundation rock the world with OKRs</w:t>
      </w:r>
      <w:r>
        <w:t xml:space="preserve">. Portfolio/Penguin.</w:t>
      </w:r>
    </w:p>
    <w:p>
      <w:pPr>
        <w:numPr>
          <w:ilvl w:val="0"/>
          <w:numId w:val="1014"/>
        </w:numPr>
        <w:pStyle w:val="Compact"/>
      </w:pPr>
      <w:r>
        <w:t xml:space="preserve">Fink, S. (1986).</w:t>
      </w:r>
      <w:r>
        <w:t xml:space="preserve"> </w:t>
      </w:r>
      <w:r>
        <w:rPr>
          <w:iCs/>
          <w:i/>
        </w:rPr>
        <w:t xml:space="preserve">Crisis management: Planning for the inevitable</w:t>
      </w:r>
      <w:r>
        <w:t xml:space="preserve">. AMACOM.</w:t>
      </w:r>
    </w:p>
    <w:p>
      <w:pPr>
        <w:numPr>
          <w:ilvl w:val="0"/>
          <w:numId w:val="1014"/>
        </w:numPr>
        <w:pStyle w:val="Compact"/>
      </w:pPr>
      <w:r>
        <w:t xml:space="preserve">Mitroff, I. I. (2005).</w:t>
      </w:r>
      <w:r>
        <w:t xml:space="preserve"> </w:t>
      </w:r>
      <w:r>
        <w:rPr>
          <w:iCs/>
          <w:i/>
        </w:rPr>
        <w:t xml:space="preserve">Why some companies emerge stronger and better from a crisis</w:t>
      </w:r>
      <w:r>
        <w:t xml:space="preserve">. AMACOM.</w:t>
      </w:r>
    </w:p>
    <w:p>
      <w:pPr>
        <w:numPr>
          <w:ilvl w:val="0"/>
          <w:numId w:val="1014"/>
        </w:numPr>
        <w:pStyle w:val="Compact"/>
      </w:pPr>
      <w:r>
        <w:t xml:space="preserve">Tukey, J. W. (1977).</w:t>
      </w:r>
      <w:r>
        <w:t xml:space="preserve"> </w:t>
      </w:r>
      <w:r>
        <w:rPr>
          <w:iCs/>
          <w:i/>
        </w:rPr>
        <w:t xml:space="preserve">Exploratory data analysis</w:t>
      </w:r>
      <w:r>
        <w:t xml:space="preserve">. Addison-Wesley.</w:t>
      </w:r>
    </w:p>
    <w:p>
      <w:pPr>
        <w:numPr>
          <w:ilvl w:val="0"/>
          <w:numId w:val="1014"/>
        </w:numPr>
        <w:pStyle w:val="Compact"/>
      </w:pPr>
      <w:r>
        <w:t xml:space="preserve">Universidad de La Sabana. (2026).</w:t>
      </w:r>
      <w:r>
        <w:t xml:space="preserve"> </w:t>
      </w:r>
      <w:r>
        <w:rPr>
          <w:iCs/>
          <w:i/>
        </w:rPr>
        <w:t xml:space="preserve">Alimenta Familia: cuando un fallo de calidad se convierte en una crisis de confianza</w:t>
      </w:r>
      <w:r>
        <w:t xml:space="preserve"> </w:t>
      </w:r>
      <w:r>
        <w:t xml:space="preserve">[Presentación del caso de estudio]. Material de clase.</w:t>
      </w:r>
    </w:p>
    <w:bookmarkEnd w:id="66"/>
    <w:sectPr>
      <w:pgMar w:bottom="1020" w:left="1020" w:right="1020"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sz w:val="21"/>
    </w:rPr>
  </w:style>
  <w:style w:customStyle="1" w:styleId="FirstParagraph" w:type="paragraph">
    <w:name w:val="First Paragraph"/>
    <w:basedOn w:val="BodyText"/>
    <w:next w:val="BodyText"/>
    <w:qFormat/>
    <w:rPr>
      <w:sz w:val="21"/>
    </w:rPr>
  </w:style>
  <w:style w:customStyle="1" w:styleId="Compact" w:type="paragraph">
    <w:name w:val="Compact"/>
    <w:basedOn w:val="BodyText"/>
    <w:qFormat/>
    <w:pPr>
      <w:spacing w:after="36" w:before="36"/>
    </w:pPr>
    <w:rPr>
      <w:sz w:val="17"/>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Crisis Organizacional y cómo la IA ayuda</dc:title>
  <dc:creator>Daniel · Laura · Mateo · Camilo · Valerie</dc:creator>
  <dc:language>es</dc:language>
  <cp:keywords/>
  <dcterms:created xsi:type="dcterms:W3CDTF">2026-10-23T02:27:27Z</dcterms:created>
  <dcterms:modified xsi:type="dcterms:W3CDTF">2026-10-23T02:27:27Z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Octubre de 2026</vt:lpwstr>
  </property>
  <property fmtid="{D5CDD505-2E9C-101B-9397-08002B2CF9AE}" pid="3" name="subtitle">
    <vt:lpwstr>Caso Alimenta Familia S.A.S. · Universidad de La Sabana</vt:lpwstr>
  </property>
  <property fmtid="{D5CDD505-2E9C-101B-9397-08002B2CF9AE}" pid="4" name="toc-title">
    <vt:lpwstr>Contenido</vt:lpwstr>
  </property>
</Properties>
</file>