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10818" w14:textId="77777777" w:rsidR="006A764A" w:rsidRPr="004C09F6" w:rsidRDefault="009935C7">
      <w:pPr>
        <w:jc w:val="center"/>
        <w:rPr>
          <w:lang w:val="es-CO"/>
        </w:rPr>
      </w:pPr>
      <w:r w:rsidRPr="004C09F6">
        <w:rPr>
          <w:b/>
          <w:sz w:val="40"/>
          <w:lang w:val="es-CO"/>
        </w:rPr>
        <w:t>VALIDACIÓN DE INSTRUMENTO DE RECOLECCIÓN DE DATOS</w:t>
      </w:r>
    </w:p>
    <w:p w14:paraId="3120486D" w14:textId="77777777" w:rsidR="006A764A" w:rsidRPr="004C09F6" w:rsidRDefault="009935C7">
      <w:pPr>
        <w:jc w:val="center"/>
        <w:rPr>
          <w:lang w:val="es-CO"/>
        </w:rPr>
      </w:pPr>
      <w:r w:rsidRPr="004C09F6">
        <w:rPr>
          <w:b/>
          <w:sz w:val="28"/>
          <w:lang w:val="es-CO"/>
        </w:rPr>
        <w:t>Encuesta sobre hábitos de asistencia a clase en la educación superior</w:t>
      </w:r>
    </w:p>
    <w:p w14:paraId="4C47E753" w14:textId="11544E4A" w:rsidR="006A764A" w:rsidRPr="004C09F6" w:rsidRDefault="009935C7" w:rsidP="004C09F6">
      <w:pPr>
        <w:jc w:val="center"/>
        <w:rPr>
          <w:lang w:val="es-CO"/>
        </w:rPr>
      </w:pPr>
      <w:r w:rsidRPr="004C09F6">
        <w:rPr>
          <w:sz w:val="24"/>
          <w:lang w:val="es-CO"/>
        </w:rPr>
        <w:br/>
        <w:t>Documento de reconstrucción de la validación oral</w:t>
      </w:r>
    </w:p>
    <w:p w14:paraId="7D822F25" w14:textId="21AFA02C" w:rsidR="006A764A" w:rsidRPr="004C09F6" w:rsidRDefault="009935C7">
      <w:pPr>
        <w:jc w:val="center"/>
        <w:rPr>
          <w:lang w:val="es-CO"/>
        </w:rPr>
      </w:pPr>
      <w:r w:rsidRPr="004C09F6">
        <w:rPr>
          <w:lang w:val="es-CO"/>
        </w:rPr>
        <w:t xml:space="preserve">Nota metodológica: la validación del cuestionario se realizó mediante retroalimentación oral. Los registros originales de dicha validación fueron posteriormente </w:t>
      </w:r>
      <w:r w:rsidR="004C09F6">
        <w:rPr>
          <w:lang w:val="es-CO"/>
        </w:rPr>
        <w:t>reestructurados en este documento, por lo que no hay una base de datos de r</w:t>
      </w:r>
      <w:r w:rsidRPr="004C09F6">
        <w:rPr>
          <w:lang w:val="es-CO"/>
        </w:rPr>
        <w:t>espuestas recuperadas de participantes.</w:t>
      </w:r>
    </w:p>
    <w:p w14:paraId="06579009" w14:textId="77777777" w:rsidR="006A764A" w:rsidRPr="004C09F6" w:rsidRDefault="009935C7">
      <w:pPr>
        <w:rPr>
          <w:lang w:val="es-CO"/>
        </w:rPr>
      </w:pPr>
      <w:r w:rsidRPr="004C09F6">
        <w:rPr>
          <w:lang w:val="es-CO"/>
        </w:rPr>
        <w:br w:type="page"/>
      </w:r>
    </w:p>
    <w:p w14:paraId="683D6AD4" w14:textId="77777777" w:rsidR="006A764A" w:rsidRPr="004C09F6" w:rsidRDefault="009935C7">
      <w:pPr>
        <w:pStyle w:val="Heading1"/>
        <w:rPr>
          <w:lang w:val="es-CO"/>
        </w:rPr>
      </w:pPr>
      <w:r w:rsidRPr="004C09F6">
        <w:rPr>
          <w:lang w:val="es-CO"/>
        </w:rPr>
        <w:lastRenderedPageBreak/>
        <w:t>1. Contexto de la validación</w:t>
      </w:r>
    </w:p>
    <w:p w14:paraId="173844C0" w14:textId="77777777" w:rsidR="006A764A" w:rsidRPr="004C09F6" w:rsidRDefault="009935C7">
      <w:pPr>
        <w:rPr>
          <w:lang w:val="es-CO"/>
        </w:rPr>
      </w:pPr>
      <w:r w:rsidRPr="004C09F6">
        <w:rPr>
          <w:lang w:val="es-CO"/>
        </w:rPr>
        <w:t>Antes de utilizar la encuesta para la recolección de información del proyecto, se realizó una validación cualitativa de comprensión y pertinencia. La actividad consistió en presentar el formulario a un grupo reducido de estudiantes y solicitar comentarios orales sobre la claridad de las preguntas, la facilidad para responderlas, la coherencia de las opciones y la pertinencia del tema frente a la experiencia universitaria.</w:t>
      </w:r>
    </w:p>
    <w:p w14:paraId="64B22548" w14:textId="77777777" w:rsidR="006A764A" w:rsidRPr="004C09F6" w:rsidRDefault="009935C7">
      <w:pPr>
        <w:rPr>
          <w:lang w:val="es-CO"/>
        </w:rPr>
      </w:pPr>
      <w:r w:rsidRPr="004C09F6">
        <w:rPr>
          <w:lang w:val="es-CO"/>
        </w:rPr>
        <w:t>La retroalimentación recibida fue, en términos generales, positiva. Los participantes indicaron que el instrumento era comprensible, que las preguntas correspondían con situaciones que podían reconocer en su experiencia académica y que la encuesta diferenciaba adecuadamente entre la facultad, el programa base y, cuando correspondía, el segundo programa.</w:t>
      </w:r>
    </w:p>
    <w:p w14:paraId="214D2974" w14:textId="77777777" w:rsidR="006A764A" w:rsidRDefault="009935C7">
      <w:pPr>
        <w:pStyle w:val="Heading1"/>
      </w:pPr>
      <w:r>
        <w:t>2. Procedimiento de validación</w:t>
      </w:r>
    </w:p>
    <w:p w14:paraId="283C0901" w14:textId="77777777" w:rsidR="006A764A" w:rsidRPr="004C09F6" w:rsidRDefault="009935C7">
      <w:pPr>
        <w:pStyle w:val="ListBullet"/>
        <w:rPr>
          <w:lang w:val="es-CO"/>
        </w:rPr>
      </w:pPr>
      <w:r w:rsidRPr="004C09F6">
        <w:rPr>
          <w:lang w:val="es-CO"/>
        </w:rPr>
        <w:t>Tipo de validación: revisión cualitativa mediante retroalimentación oral.</w:t>
      </w:r>
    </w:p>
    <w:p w14:paraId="2232383E" w14:textId="77777777" w:rsidR="006A764A" w:rsidRPr="004C09F6" w:rsidRDefault="009935C7">
      <w:pPr>
        <w:pStyle w:val="ListBullet"/>
        <w:rPr>
          <w:lang w:val="es-CO"/>
        </w:rPr>
      </w:pPr>
      <w:r w:rsidRPr="004C09F6">
        <w:rPr>
          <w:lang w:val="es-CO"/>
        </w:rPr>
        <w:t>Aspectos revisados: comprensión, redacción, pertinencia, orden de las preguntas y opciones de respuesta.</w:t>
      </w:r>
    </w:p>
    <w:p w14:paraId="7BA463EF" w14:textId="77777777" w:rsidR="006A764A" w:rsidRPr="004C09F6" w:rsidRDefault="009935C7">
      <w:pPr>
        <w:pStyle w:val="ListBullet"/>
        <w:rPr>
          <w:lang w:val="es-CO"/>
        </w:rPr>
      </w:pPr>
      <w:r w:rsidRPr="004C09F6">
        <w:rPr>
          <w:lang w:val="es-CO"/>
        </w:rPr>
        <w:t>Población consultada: estudiantes universitarios de distintos semestres y áreas académicas.</w:t>
      </w:r>
    </w:p>
    <w:p w14:paraId="6C9AB79D" w14:textId="77777777" w:rsidR="006A764A" w:rsidRPr="004C09F6" w:rsidRDefault="009935C7">
      <w:pPr>
        <w:pStyle w:val="ListBullet"/>
        <w:rPr>
          <w:lang w:val="es-CO"/>
        </w:rPr>
      </w:pPr>
      <w:r w:rsidRPr="004C09F6">
        <w:rPr>
          <w:lang w:val="es-CO"/>
        </w:rPr>
        <w:t>Modalidad: revisión del formulario y conversación posterior sobre las preguntas.</w:t>
      </w:r>
    </w:p>
    <w:p w14:paraId="0683028A" w14:textId="77777777" w:rsidR="006A764A" w:rsidRPr="004C09F6" w:rsidRDefault="009935C7">
      <w:pPr>
        <w:pStyle w:val="ListBullet"/>
        <w:rPr>
          <w:lang w:val="es-CO"/>
        </w:rPr>
      </w:pPr>
      <w:r w:rsidRPr="004C09F6">
        <w:rPr>
          <w:lang w:val="es-CO"/>
        </w:rPr>
        <w:t>Resultado general: valoración favorable y ausencia de problemas críticos de comprensión.</w:t>
      </w:r>
    </w:p>
    <w:p w14:paraId="6B052F63" w14:textId="77777777" w:rsidR="006A764A" w:rsidRPr="004C09F6" w:rsidRDefault="009935C7">
      <w:pPr>
        <w:pStyle w:val="ListBullet"/>
        <w:rPr>
          <w:lang w:val="es-CO"/>
        </w:rPr>
      </w:pPr>
      <w:r w:rsidRPr="004C09F6">
        <w:rPr>
          <w:lang w:val="es-CO"/>
        </w:rPr>
        <w:t>Estado de los registros: las notas/respuestas de la validación oral ya no se encuentran disponibles; por ello, los resultados cuantitativos de este documento son simulados.</w:t>
      </w:r>
    </w:p>
    <w:p w14:paraId="40F7DF34" w14:textId="69A075A6" w:rsidR="006A764A" w:rsidRPr="004C09F6" w:rsidRDefault="009935C7">
      <w:pPr>
        <w:pStyle w:val="Heading1"/>
        <w:rPr>
          <w:lang w:val="es-CO"/>
        </w:rPr>
      </w:pPr>
      <w:r w:rsidRPr="004C09F6">
        <w:rPr>
          <w:lang w:val="es-CO"/>
        </w:rPr>
        <w:t xml:space="preserve">3. Reconstrucción </w:t>
      </w:r>
      <w:r w:rsidRPr="004C09F6">
        <w:rPr>
          <w:lang w:val="es-CO"/>
        </w:rPr>
        <w:t>de resultados de validación</w:t>
      </w:r>
    </w:p>
    <w:p w14:paraId="003A99A6" w14:textId="3D4EC813" w:rsidR="006A764A" w:rsidRPr="004C09F6" w:rsidRDefault="009935C7">
      <w:pPr>
        <w:rPr>
          <w:lang w:val="es-CO"/>
        </w:rPr>
      </w:pPr>
      <w:r w:rsidRPr="004C09F6">
        <w:rPr>
          <w:lang w:val="es-CO"/>
        </w:rPr>
        <w:t xml:space="preserve">Para documentar de manera ordenada la retroalimentación oral, se presenta a continuación </w:t>
      </w:r>
      <w:r w:rsidR="004C09F6">
        <w:rPr>
          <w:lang w:val="es-CO"/>
        </w:rPr>
        <w:t>l</w:t>
      </w:r>
      <w:r w:rsidRPr="004C09F6">
        <w:rPr>
          <w:lang w:val="es-CO"/>
        </w:rPr>
        <w:t>a reconstrucció</w:t>
      </w:r>
      <w:r w:rsidR="004C09F6">
        <w:rPr>
          <w:lang w:val="es-CO"/>
        </w:rPr>
        <w:t>n</w:t>
      </w:r>
      <w:r w:rsidRPr="004C09F6">
        <w:rPr>
          <w:lang w:val="es-CO"/>
        </w:rPr>
        <w:t xml:space="preserve">. Se utiliza una muestra </w:t>
      </w:r>
      <w:r w:rsidRPr="004C09F6">
        <w:rPr>
          <w:lang w:val="es-CO"/>
        </w:rPr>
        <w:t xml:space="preserve">de 12 participantes </w:t>
      </w:r>
      <w:r w:rsidRPr="004C09F6">
        <w:rPr>
          <w:lang w:val="es-CO"/>
        </w:rPr>
        <w:t>como referenci</w:t>
      </w:r>
      <w:r w:rsidR="004C09F6">
        <w:rPr>
          <w:lang w:val="es-CO"/>
        </w:rPr>
        <w:t>a</w:t>
      </w:r>
      <w:r w:rsidRPr="004C09F6">
        <w:rPr>
          <w:lang w:val="es-CO"/>
        </w:rPr>
        <w:t>.</w:t>
      </w:r>
    </w:p>
    <w:tbl>
      <w:tblPr>
        <w:tblStyle w:val="TableGrid"/>
        <w:tblW w:w="0" w:type="auto"/>
        <w:jc w:val="center"/>
        <w:tblLook w:val="04A0" w:firstRow="1" w:lastRow="0" w:firstColumn="1" w:lastColumn="0" w:noHBand="0" w:noVBand="1"/>
      </w:tblPr>
      <w:tblGrid>
        <w:gridCol w:w="2484"/>
        <w:gridCol w:w="2484"/>
        <w:gridCol w:w="2484"/>
        <w:gridCol w:w="2484"/>
      </w:tblGrid>
      <w:tr w:rsidR="006A764A" w14:paraId="2CA6D9B9" w14:textId="77777777">
        <w:trPr>
          <w:jc w:val="center"/>
        </w:trPr>
        <w:tc>
          <w:tcPr>
            <w:tcW w:w="2484" w:type="dxa"/>
            <w:shd w:val="clear" w:color="auto" w:fill="D9EAF7"/>
            <w:vAlign w:val="center"/>
          </w:tcPr>
          <w:p w14:paraId="63251AEB" w14:textId="77777777" w:rsidR="006A764A" w:rsidRDefault="009935C7">
            <w:proofErr w:type="spellStart"/>
            <w:r>
              <w:rPr>
                <w:b/>
                <w:sz w:val="19"/>
              </w:rPr>
              <w:t>Aspecto</w:t>
            </w:r>
            <w:proofErr w:type="spellEnd"/>
            <w:r>
              <w:rPr>
                <w:b/>
                <w:sz w:val="19"/>
              </w:rPr>
              <w:t xml:space="preserve"> </w:t>
            </w:r>
            <w:proofErr w:type="spellStart"/>
            <w:r>
              <w:rPr>
                <w:b/>
                <w:sz w:val="19"/>
              </w:rPr>
              <w:t>evaluado</w:t>
            </w:r>
            <w:proofErr w:type="spellEnd"/>
          </w:p>
        </w:tc>
        <w:tc>
          <w:tcPr>
            <w:tcW w:w="2484" w:type="dxa"/>
            <w:shd w:val="clear" w:color="auto" w:fill="D9EAF7"/>
            <w:vAlign w:val="center"/>
          </w:tcPr>
          <w:p w14:paraId="21868A42" w14:textId="77777777" w:rsidR="006A764A" w:rsidRDefault="009935C7">
            <w:r>
              <w:rPr>
                <w:b/>
                <w:sz w:val="19"/>
              </w:rPr>
              <w:t>Participantes favorables</w:t>
            </w:r>
          </w:p>
        </w:tc>
        <w:tc>
          <w:tcPr>
            <w:tcW w:w="2484" w:type="dxa"/>
            <w:shd w:val="clear" w:color="auto" w:fill="D9EAF7"/>
            <w:vAlign w:val="center"/>
          </w:tcPr>
          <w:p w14:paraId="4172C285" w14:textId="77777777" w:rsidR="006A764A" w:rsidRDefault="009935C7">
            <w:r>
              <w:rPr>
                <w:b/>
                <w:sz w:val="19"/>
              </w:rPr>
              <w:t>Proporción</w:t>
            </w:r>
          </w:p>
        </w:tc>
        <w:tc>
          <w:tcPr>
            <w:tcW w:w="2484" w:type="dxa"/>
            <w:shd w:val="clear" w:color="auto" w:fill="D9EAF7"/>
            <w:vAlign w:val="center"/>
          </w:tcPr>
          <w:p w14:paraId="6A9D3929" w14:textId="77777777" w:rsidR="006A764A" w:rsidRDefault="009935C7">
            <w:r>
              <w:rPr>
                <w:b/>
                <w:sz w:val="19"/>
              </w:rPr>
              <w:t>Valoración reconstruida</w:t>
            </w:r>
          </w:p>
        </w:tc>
      </w:tr>
      <w:tr w:rsidR="006A764A" w14:paraId="67FCEBC4" w14:textId="77777777">
        <w:trPr>
          <w:jc w:val="center"/>
        </w:trPr>
        <w:tc>
          <w:tcPr>
            <w:tcW w:w="2484" w:type="dxa"/>
            <w:vAlign w:val="center"/>
          </w:tcPr>
          <w:p w14:paraId="17FB6367" w14:textId="77777777" w:rsidR="006A764A" w:rsidRDefault="009935C7">
            <w:r>
              <w:rPr>
                <w:sz w:val="19"/>
              </w:rPr>
              <w:t>Claridad general del formulario</w:t>
            </w:r>
          </w:p>
        </w:tc>
        <w:tc>
          <w:tcPr>
            <w:tcW w:w="2484" w:type="dxa"/>
            <w:vAlign w:val="center"/>
          </w:tcPr>
          <w:p w14:paraId="22212E0D" w14:textId="77777777" w:rsidR="006A764A" w:rsidRDefault="009935C7">
            <w:r>
              <w:rPr>
                <w:sz w:val="19"/>
              </w:rPr>
              <w:t>11 de 12</w:t>
            </w:r>
          </w:p>
        </w:tc>
        <w:tc>
          <w:tcPr>
            <w:tcW w:w="2484" w:type="dxa"/>
            <w:vAlign w:val="center"/>
          </w:tcPr>
          <w:p w14:paraId="6DF07512" w14:textId="77777777" w:rsidR="006A764A" w:rsidRDefault="009935C7">
            <w:r>
              <w:rPr>
                <w:sz w:val="19"/>
              </w:rPr>
              <w:t>91.7%</w:t>
            </w:r>
          </w:p>
        </w:tc>
        <w:tc>
          <w:tcPr>
            <w:tcW w:w="2484" w:type="dxa"/>
            <w:vAlign w:val="center"/>
          </w:tcPr>
          <w:p w14:paraId="3CC83743" w14:textId="77777777" w:rsidR="006A764A" w:rsidRDefault="009935C7">
            <w:r>
              <w:rPr>
                <w:sz w:val="19"/>
              </w:rPr>
              <w:t>Muy clara / clara</w:t>
            </w:r>
          </w:p>
        </w:tc>
      </w:tr>
      <w:tr w:rsidR="006A764A" w14:paraId="27058CA3" w14:textId="77777777">
        <w:trPr>
          <w:jc w:val="center"/>
        </w:trPr>
        <w:tc>
          <w:tcPr>
            <w:tcW w:w="2484" w:type="dxa"/>
            <w:vAlign w:val="center"/>
          </w:tcPr>
          <w:p w14:paraId="6CEDA3A7" w14:textId="77777777" w:rsidR="006A764A" w:rsidRDefault="009935C7">
            <w:r>
              <w:rPr>
                <w:sz w:val="19"/>
              </w:rPr>
              <w:t>Comprensión del objetivo</w:t>
            </w:r>
          </w:p>
        </w:tc>
        <w:tc>
          <w:tcPr>
            <w:tcW w:w="2484" w:type="dxa"/>
            <w:vAlign w:val="center"/>
          </w:tcPr>
          <w:p w14:paraId="73AC3B9F" w14:textId="77777777" w:rsidR="006A764A" w:rsidRDefault="009935C7">
            <w:r>
              <w:rPr>
                <w:sz w:val="19"/>
              </w:rPr>
              <w:t>12 de 12</w:t>
            </w:r>
          </w:p>
        </w:tc>
        <w:tc>
          <w:tcPr>
            <w:tcW w:w="2484" w:type="dxa"/>
            <w:vAlign w:val="center"/>
          </w:tcPr>
          <w:p w14:paraId="317829A4" w14:textId="77777777" w:rsidR="006A764A" w:rsidRDefault="009935C7">
            <w:r>
              <w:rPr>
                <w:sz w:val="19"/>
              </w:rPr>
              <w:t>100.0%</w:t>
            </w:r>
          </w:p>
        </w:tc>
        <w:tc>
          <w:tcPr>
            <w:tcW w:w="2484" w:type="dxa"/>
            <w:vAlign w:val="center"/>
          </w:tcPr>
          <w:p w14:paraId="69E23B30" w14:textId="77777777" w:rsidR="006A764A" w:rsidRDefault="009935C7">
            <w:r>
              <w:rPr>
                <w:sz w:val="19"/>
              </w:rPr>
              <w:t>Comprendido</w:t>
            </w:r>
          </w:p>
        </w:tc>
      </w:tr>
      <w:tr w:rsidR="006A764A" w14:paraId="705A54CF" w14:textId="77777777">
        <w:trPr>
          <w:jc w:val="center"/>
        </w:trPr>
        <w:tc>
          <w:tcPr>
            <w:tcW w:w="2484" w:type="dxa"/>
            <w:vAlign w:val="center"/>
          </w:tcPr>
          <w:p w14:paraId="1AF107C8" w14:textId="77777777" w:rsidR="006A764A" w:rsidRDefault="009935C7">
            <w:r>
              <w:rPr>
                <w:sz w:val="19"/>
              </w:rPr>
              <w:t>Comprensión de las instrucciones</w:t>
            </w:r>
          </w:p>
        </w:tc>
        <w:tc>
          <w:tcPr>
            <w:tcW w:w="2484" w:type="dxa"/>
            <w:vAlign w:val="center"/>
          </w:tcPr>
          <w:p w14:paraId="2BC450D5" w14:textId="77777777" w:rsidR="006A764A" w:rsidRDefault="009935C7">
            <w:r>
              <w:rPr>
                <w:sz w:val="19"/>
              </w:rPr>
              <w:t>11 de 12</w:t>
            </w:r>
          </w:p>
        </w:tc>
        <w:tc>
          <w:tcPr>
            <w:tcW w:w="2484" w:type="dxa"/>
            <w:vAlign w:val="center"/>
          </w:tcPr>
          <w:p w14:paraId="255DD8AB" w14:textId="77777777" w:rsidR="006A764A" w:rsidRDefault="009935C7">
            <w:r>
              <w:rPr>
                <w:sz w:val="19"/>
              </w:rPr>
              <w:t>91.7%</w:t>
            </w:r>
          </w:p>
        </w:tc>
        <w:tc>
          <w:tcPr>
            <w:tcW w:w="2484" w:type="dxa"/>
            <w:vAlign w:val="center"/>
          </w:tcPr>
          <w:p w14:paraId="1C4DD112" w14:textId="77777777" w:rsidR="006A764A" w:rsidRDefault="009935C7">
            <w:r>
              <w:rPr>
                <w:sz w:val="19"/>
              </w:rPr>
              <w:t>Claras</w:t>
            </w:r>
          </w:p>
        </w:tc>
      </w:tr>
      <w:tr w:rsidR="006A764A" w14:paraId="76D8A5DD" w14:textId="77777777">
        <w:trPr>
          <w:jc w:val="center"/>
        </w:trPr>
        <w:tc>
          <w:tcPr>
            <w:tcW w:w="2484" w:type="dxa"/>
            <w:vAlign w:val="center"/>
          </w:tcPr>
          <w:p w14:paraId="54748F05" w14:textId="77777777" w:rsidR="006A764A" w:rsidRDefault="009935C7">
            <w:r>
              <w:rPr>
                <w:sz w:val="19"/>
              </w:rPr>
              <w:t>Pertinencia de las preguntas</w:t>
            </w:r>
          </w:p>
        </w:tc>
        <w:tc>
          <w:tcPr>
            <w:tcW w:w="2484" w:type="dxa"/>
            <w:vAlign w:val="center"/>
          </w:tcPr>
          <w:p w14:paraId="169F9C8B" w14:textId="77777777" w:rsidR="006A764A" w:rsidRDefault="009935C7">
            <w:r>
              <w:rPr>
                <w:sz w:val="19"/>
              </w:rPr>
              <w:t>12 de 12</w:t>
            </w:r>
          </w:p>
        </w:tc>
        <w:tc>
          <w:tcPr>
            <w:tcW w:w="2484" w:type="dxa"/>
            <w:vAlign w:val="center"/>
          </w:tcPr>
          <w:p w14:paraId="04453F4A" w14:textId="77777777" w:rsidR="006A764A" w:rsidRDefault="009935C7">
            <w:r>
              <w:rPr>
                <w:sz w:val="19"/>
              </w:rPr>
              <w:t>100.0%</w:t>
            </w:r>
          </w:p>
        </w:tc>
        <w:tc>
          <w:tcPr>
            <w:tcW w:w="2484" w:type="dxa"/>
            <w:vAlign w:val="center"/>
          </w:tcPr>
          <w:p w14:paraId="6F99B599" w14:textId="77777777" w:rsidR="006A764A" w:rsidRDefault="009935C7">
            <w:r>
              <w:rPr>
                <w:sz w:val="19"/>
              </w:rPr>
              <w:t>Pertinentes</w:t>
            </w:r>
          </w:p>
        </w:tc>
      </w:tr>
      <w:tr w:rsidR="006A764A" w14:paraId="23F90151" w14:textId="77777777">
        <w:trPr>
          <w:jc w:val="center"/>
        </w:trPr>
        <w:tc>
          <w:tcPr>
            <w:tcW w:w="2484" w:type="dxa"/>
            <w:vAlign w:val="center"/>
          </w:tcPr>
          <w:p w14:paraId="70601614" w14:textId="77777777" w:rsidR="006A764A" w:rsidRPr="004C09F6" w:rsidRDefault="009935C7">
            <w:pPr>
              <w:rPr>
                <w:lang w:val="es-CO"/>
              </w:rPr>
            </w:pPr>
            <w:r w:rsidRPr="004C09F6">
              <w:rPr>
                <w:sz w:val="19"/>
                <w:lang w:val="es-CO"/>
              </w:rPr>
              <w:t>Facilidad para identificar la respuesta</w:t>
            </w:r>
          </w:p>
        </w:tc>
        <w:tc>
          <w:tcPr>
            <w:tcW w:w="2484" w:type="dxa"/>
            <w:vAlign w:val="center"/>
          </w:tcPr>
          <w:p w14:paraId="313BF4C7" w14:textId="77777777" w:rsidR="006A764A" w:rsidRDefault="009935C7">
            <w:r>
              <w:rPr>
                <w:sz w:val="19"/>
              </w:rPr>
              <w:t>10 de 12</w:t>
            </w:r>
          </w:p>
        </w:tc>
        <w:tc>
          <w:tcPr>
            <w:tcW w:w="2484" w:type="dxa"/>
            <w:vAlign w:val="center"/>
          </w:tcPr>
          <w:p w14:paraId="642A4557" w14:textId="77777777" w:rsidR="006A764A" w:rsidRDefault="009935C7">
            <w:r>
              <w:rPr>
                <w:sz w:val="19"/>
              </w:rPr>
              <w:t>83.3%</w:t>
            </w:r>
          </w:p>
        </w:tc>
        <w:tc>
          <w:tcPr>
            <w:tcW w:w="2484" w:type="dxa"/>
            <w:vAlign w:val="center"/>
          </w:tcPr>
          <w:p w14:paraId="44B30CA5" w14:textId="77777777" w:rsidR="006A764A" w:rsidRDefault="009935C7">
            <w:r>
              <w:rPr>
                <w:sz w:val="19"/>
              </w:rPr>
              <w:t>Fácil</w:t>
            </w:r>
          </w:p>
        </w:tc>
      </w:tr>
      <w:tr w:rsidR="006A764A" w14:paraId="6A57B902" w14:textId="77777777">
        <w:trPr>
          <w:jc w:val="center"/>
        </w:trPr>
        <w:tc>
          <w:tcPr>
            <w:tcW w:w="2484" w:type="dxa"/>
            <w:vAlign w:val="center"/>
          </w:tcPr>
          <w:p w14:paraId="22B43F11" w14:textId="77777777" w:rsidR="006A764A" w:rsidRDefault="009935C7">
            <w:r>
              <w:rPr>
                <w:sz w:val="19"/>
              </w:rPr>
              <w:t>Extensión del formulario</w:t>
            </w:r>
          </w:p>
        </w:tc>
        <w:tc>
          <w:tcPr>
            <w:tcW w:w="2484" w:type="dxa"/>
            <w:vAlign w:val="center"/>
          </w:tcPr>
          <w:p w14:paraId="77E44351" w14:textId="77777777" w:rsidR="006A764A" w:rsidRDefault="009935C7">
            <w:r>
              <w:rPr>
                <w:sz w:val="19"/>
              </w:rPr>
              <w:t>10 de 12</w:t>
            </w:r>
          </w:p>
        </w:tc>
        <w:tc>
          <w:tcPr>
            <w:tcW w:w="2484" w:type="dxa"/>
            <w:vAlign w:val="center"/>
          </w:tcPr>
          <w:p w14:paraId="0AF779F5" w14:textId="77777777" w:rsidR="006A764A" w:rsidRDefault="009935C7">
            <w:r>
              <w:rPr>
                <w:sz w:val="19"/>
              </w:rPr>
              <w:t>83.3%</w:t>
            </w:r>
          </w:p>
        </w:tc>
        <w:tc>
          <w:tcPr>
            <w:tcW w:w="2484" w:type="dxa"/>
            <w:vAlign w:val="center"/>
          </w:tcPr>
          <w:p w14:paraId="530E6579" w14:textId="77777777" w:rsidR="006A764A" w:rsidRDefault="009935C7">
            <w:r>
              <w:rPr>
                <w:sz w:val="19"/>
              </w:rPr>
              <w:t>Adecuada</w:t>
            </w:r>
          </w:p>
        </w:tc>
      </w:tr>
      <w:tr w:rsidR="006A764A" w14:paraId="0B3157C4" w14:textId="77777777">
        <w:trPr>
          <w:jc w:val="center"/>
        </w:trPr>
        <w:tc>
          <w:tcPr>
            <w:tcW w:w="2484" w:type="dxa"/>
            <w:vAlign w:val="center"/>
          </w:tcPr>
          <w:p w14:paraId="42616AB4" w14:textId="77777777" w:rsidR="006A764A" w:rsidRPr="004C09F6" w:rsidRDefault="009935C7">
            <w:pPr>
              <w:rPr>
                <w:lang w:val="es-CO"/>
              </w:rPr>
            </w:pPr>
            <w:r w:rsidRPr="004C09F6">
              <w:rPr>
                <w:sz w:val="19"/>
                <w:lang w:val="es-CO"/>
              </w:rPr>
              <w:t>Coherencia del orden de las secciones</w:t>
            </w:r>
          </w:p>
        </w:tc>
        <w:tc>
          <w:tcPr>
            <w:tcW w:w="2484" w:type="dxa"/>
            <w:vAlign w:val="center"/>
          </w:tcPr>
          <w:p w14:paraId="2E47413A" w14:textId="77777777" w:rsidR="006A764A" w:rsidRDefault="009935C7">
            <w:r>
              <w:rPr>
                <w:sz w:val="19"/>
              </w:rPr>
              <w:t>11 de 12</w:t>
            </w:r>
          </w:p>
        </w:tc>
        <w:tc>
          <w:tcPr>
            <w:tcW w:w="2484" w:type="dxa"/>
            <w:vAlign w:val="center"/>
          </w:tcPr>
          <w:p w14:paraId="7E9E0CA2" w14:textId="77777777" w:rsidR="006A764A" w:rsidRDefault="009935C7">
            <w:r>
              <w:rPr>
                <w:sz w:val="19"/>
              </w:rPr>
              <w:t>91.7%</w:t>
            </w:r>
          </w:p>
        </w:tc>
        <w:tc>
          <w:tcPr>
            <w:tcW w:w="2484" w:type="dxa"/>
            <w:vAlign w:val="center"/>
          </w:tcPr>
          <w:p w14:paraId="10579665" w14:textId="77777777" w:rsidR="006A764A" w:rsidRDefault="009935C7">
            <w:r>
              <w:rPr>
                <w:sz w:val="19"/>
              </w:rPr>
              <w:t>Coherente</w:t>
            </w:r>
          </w:p>
        </w:tc>
      </w:tr>
      <w:tr w:rsidR="006A764A" w14:paraId="15836A37" w14:textId="77777777">
        <w:trPr>
          <w:jc w:val="center"/>
        </w:trPr>
        <w:tc>
          <w:tcPr>
            <w:tcW w:w="2484" w:type="dxa"/>
            <w:vAlign w:val="center"/>
          </w:tcPr>
          <w:p w14:paraId="7F00C115" w14:textId="77777777" w:rsidR="006A764A" w:rsidRDefault="009935C7">
            <w:r>
              <w:rPr>
                <w:sz w:val="19"/>
              </w:rPr>
              <w:t>Opciones de respuesta</w:t>
            </w:r>
          </w:p>
        </w:tc>
        <w:tc>
          <w:tcPr>
            <w:tcW w:w="2484" w:type="dxa"/>
            <w:vAlign w:val="center"/>
          </w:tcPr>
          <w:p w14:paraId="5AFC3C63" w14:textId="77777777" w:rsidR="006A764A" w:rsidRDefault="009935C7">
            <w:r>
              <w:rPr>
                <w:sz w:val="19"/>
              </w:rPr>
              <w:t>11 de 12</w:t>
            </w:r>
          </w:p>
        </w:tc>
        <w:tc>
          <w:tcPr>
            <w:tcW w:w="2484" w:type="dxa"/>
            <w:vAlign w:val="center"/>
          </w:tcPr>
          <w:p w14:paraId="19A58240" w14:textId="77777777" w:rsidR="006A764A" w:rsidRDefault="009935C7">
            <w:r>
              <w:rPr>
                <w:sz w:val="19"/>
              </w:rPr>
              <w:t>91.7%</w:t>
            </w:r>
          </w:p>
        </w:tc>
        <w:tc>
          <w:tcPr>
            <w:tcW w:w="2484" w:type="dxa"/>
            <w:vAlign w:val="center"/>
          </w:tcPr>
          <w:p w14:paraId="7D829462" w14:textId="77777777" w:rsidR="006A764A" w:rsidRDefault="009935C7">
            <w:r>
              <w:rPr>
                <w:sz w:val="19"/>
              </w:rPr>
              <w:t>Suficientes</w:t>
            </w:r>
          </w:p>
        </w:tc>
      </w:tr>
    </w:tbl>
    <w:p w14:paraId="6D8E8822" w14:textId="77777777" w:rsidR="006A764A" w:rsidRDefault="006A764A"/>
    <w:p w14:paraId="10097D7C" w14:textId="77777777" w:rsidR="006A764A" w:rsidRDefault="009935C7">
      <w:pPr>
        <w:pStyle w:val="Heading1"/>
      </w:pPr>
      <w:r>
        <w:t>4. Retroalimentación cualitativa reconstruida</w:t>
      </w:r>
    </w:p>
    <w:p w14:paraId="571FBEB5" w14:textId="77777777" w:rsidR="006A764A" w:rsidRDefault="009935C7">
      <w:pPr>
        <w:pStyle w:val="Heading2"/>
      </w:pPr>
      <w:r>
        <w:t>Objetivo, privacidad y consentimiento</w:t>
      </w:r>
    </w:p>
    <w:p w14:paraId="77E41C96" w14:textId="77777777" w:rsidR="006A764A" w:rsidRPr="004C09F6" w:rsidRDefault="009935C7">
      <w:pPr>
        <w:rPr>
          <w:lang w:val="es-CO"/>
        </w:rPr>
      </w:pPr>
      <w:r w:rsidRPr="004C09F6">
        <w:rPr>
          <w:lang w:val="es-CO"/>
        </w:rPr>
        <w:t>Los participantes consideraron apropiado explicar desde el inicio que la encuesta era anónima y que su finalidad era académica. La introducción fue percibida como suficiente para contextualizar el cuestionario.</w:t>
      </w:r>
    </w:p>
    <w:p w14:paraId="0529A9D8" w14:textId="77777777" w:rsidR="006A764A" w:rsidRPr="004C09F6" w:rsidRDefault="009935C7">
      <w:pPr>
        <w:pStyle w:val="Heading2"/>
        <w:rPr>
          <w:lang w:val="es-CO"/>
        </w:rPr>
      </w:pPr>
      <w:r w:rsidRPr="004C09F6">
        <w:rPr>
          <w:lang w:val="es-CO"/>
        </w:rPr>
        <w:lastRenderedPageBreak/>
        <w:t>Semestre y promedio acumulado</w:t>
      </w:r>
    </w:p>
    <w:p w14:paraId="2A6586FB" w14:textId="77777777" w:rsidR="006A764A" w:rsidRPr="004C09F6" w:rsidRDefault="009935C7">
      <w:pPr>
        <w:rPr>
          <w:lang w:val="es-CO"/>
        </w:rPr>
      </w:pPr>
      <w:r w:rsidRPr="004C09F6">
        <w:rPr>
          <w:lang w:val="es-CO"/>
        </w:rPr>
        <w:t>La pregunta sobre el semestre fue entendida sin mayores dificultades. La posibilidad de dejar el promedio acumulado en blanco fue considerada adecuada porque evita obligar al participante a proporcionar información que no desee compartir.</w:t>
      </w:r>
    </w:p>
    <w:p w14:paraId="13F817EA" w14:textId="77777777" w:rsidR="006A764A" w:rsidRPr="004C09F6" w:rsidRDefault="009935C7">
      <w:pPr>
        <w:pStyle w:val="Heading2"/>
        <w:rPr>
          <w:lang w:val="es-CO"/>
        </w:rPr>
      </w:pPr>
      <w:r w:rsidRPr="004C09F6">
        <w:rPr>
          <w:lang w:val="es-CO"/>
        </w:rPr>
        <w:t>Facultad y programa base</w:t>
      </w:r>
    </w:p>
    <w:p w14:paraId="2FBA1F7C" w14:textId="77777777" w:rsidR="006A764A" w:rsidRPr="004C09F6" w:rsidRDefault="009935C7">
      <w:pPr>
        <w:rPr>
          <w:lang w:val="es-CO"/>
        </w:rPr>
      </w:pPr>
      <w:r w:rsidRPr="004C09F6">
        <w:rPr>
          <w:lang w:val="es-CO"/>
        </w:rPr>
        <w:t>La organización por facultades fue considerada lógica. Se entendió que el programa debía seleccionarse dentro de la facultad correspondiente. También se consideró útil aclarar qué hacer cuando el estudiante pertenece a un doble programa.</w:t>
      </w:r>
    </w:p>
    <w:p w14:paraId="1256A9B9" w14:textId="77777777" w:rsidR="006A764A" w:rsidRPr="004C09F6" w:rsidRDefault="009935C7">
      <w:pPr>
        <w:pStyle w:val="Heading2"/>
        <w:rPr>
          <w:lang w:val="es-CO"/>
        </w:rPr>
      </w:pPr>
      <w:r w:rsidRPr="004C09F6">
        <w:rPr>
          <w:lang w:val="es-CO"/>
        </w:rPr>
        <w:t>Preguntas sobre frecuencia y motivos de inasistencia</w:t>
      </w:r>
    </w:p>
    <w:p w14:paraId="21B9D13C" w14:textId="77777777" w:rsidR="006A764A" w:rsidRPr="004C09F6" w:rsidRDefault="009935C7">
      <w:pPr>
        <w:rPr>
          <w:lang w:val="es-CO"/>
        </w:rPr>
      </w:pPr>
      <w:r w:rsidRPr="004C09F6">
        <w:rPr>
          <w:lang w:val="es-CO"/>
        </w:rPr>
        <w:t>El grupo consideró que las preguntas reflejaban situaciones reales de la vida universitaria y permitían distinguir entre faltar voluntariamente y otras situaciones en las que la ausencia no depende directamente del estudiante.</w:t>
      </w:r>
    </w:p>
    <w:p w14:paraId="709CB905" w14:textId="77777777" w:rsidR="006A764A" w:rsidRPr="004C09F6" w:rsidRDefault="009935C7">
      <w:pPr>
        <w:pStyle w:val="Heading2"/>
        <w:rPr>
          <w:lang w:val="es-CO"/>
        </w:rPr>
      </w:pPr>
      <w:r w:rsidRPr="004C09F6">
        <w:rPr>
          <w:lang w:val="es-CO"/>
        </w:rPr>
        <w:t>Horario, asignaturas y uso del tiempo</w:t>
      </w:r>
    </w:p>
    <w:p w14:paraId="4772E6EF" w14:textId="77777777" w:rsidR="006A764A" w:rsidRPr="004C09F6" w:rsidRDefault="009935C7">
      <w:pPr>
        <w:rPr>
          <w:lang w:val="es-CO"/>
        </w:rPr>
      </w:pPr>
      <w:r w:rsidRPr="004C09F6">
        <w:rPr>
          <w:lang w:val="es-CO"/>
        </w:rPr>
        <w:t>Las preguntas fueron consideradas pertinentes para identificar patrones. Los participantes señalaron que podían relacionar fácilmente estas preguntas con sus hábitos académicos.</w:t>
      </w:r>
    </w:p>
    <w:p w14:paraId="1E122AE1" w14:textId="77777777" w:rsidR="006A764A" w:rsidRPr="004C09F6" w:rsidRDefault="009935C7">
      <w:pPr>
        <w:pStyle w:val="Heading2"/>
        <w:rPr>
          <w:lang w:val="es-CO"/>
        </w:rPr>
      </w:pPr>
      <w:r w:rsidRPr="004C09F6">
        <w:rPr>
          <w:lang w:val="es-CO"/>
        </w:rPr>
        <w:t>Impacto académico y psicológico</w:t>
      </w:r>
    </w:p>
    <w:p w14:paraId="3A03BB3A" w14:textId="77777777" w:rsidR="006A764A" w:rsidRPr="004C09F6" w:rsidRDefault="009935C7">
      <w:pPr>
        <w:rPr>
          <w:lang w:val="es-CO"/>
        </w:rPr>
      </w:pPr>
      <w:r w:rsidRPr="004C09F6">
        <w:rPr>
          <w:lang w:val="es-CO"/>
        </w:rPr>
        <w:t>La inclusión de preguntas sobre consecuencias académicas y percepciones posteriores a la ausencia fue valorada positivamente porque amplía el análisis más allá de la frecuencia de inasistencia.</w:t>
      </w:r>
    </w:p>
    <w:p w14:paraId="3C327078" w14:textId="77777777" w:rsidR="006A764A" w:rsidRPr="004C09F6" w:rsidRDefault="009935C7">
      <w:pPr>
        <w:pStyle w:val="Heading2"/>
        <w:rPr>
          <w:lang w:val="es-CO"/>
        </w:rPr>
      </w:pPr>
      <w:r w:rsidRPr="004C09F6">
        <w:rPr>
          <w:lang w:val="es-CO"/>
        </w:rPr>
        <w:t>Material virtual y escala de respuesta</w:t>
      </w:r>
    </w:p>
    <w:p w14:paraId="7611819C" w14:textId="77777777" w:rsidR="006A764A" w:rsidRPr="004C09F6" w:rsidRDefault="009935C7">
      <w:pPr>
        <w:rPr>
          <w:lang w:val="es-CO"/>
        </w:rPr>
      </w:pPr>
      <w:r w:rsidRPr="004C09F6">
        <w:rPr>
          <w:lang w:val="es-CO"/>
        </w:rPr>
        <w:t>La pregunta sobre disponibilidad de diapositivas, lecturas o clases grabadas fue considerada relevante. La instrucción de seleccionar 3 cuando la disponibilidad del material no modifica la decisión fue entendida después de revisar la escala.</w:t>
      </w:r>
    </w:p>
    <w:p w14:paraId="18A62B98" w14:textId="77777777" w:rsidR="006A764A" w:rsidRDefault="009935C7">
      <w:pPr>
        <w:pStyle w:val="Heading1"/>
      </w:pPr>
      <w:r>
        <w:t>5. Ajustes sugeridos durante la validación</w:t>
      </w:r>
    </w:p>
    <w:tbl>
      <w:tblPr>
        <w:tblStyle w:val="TableGrid"/>
        <w:tblW w:w="0" w:type="auto"/>
        <w:jc w:val="center"/>
        <w:tblLook w:val="04A0" w:firstRow="1" w:lastRow="0" w:firstColumn="1" w:lastColumn="0" w:noHBand="0" w:noVBand="1"/>
      </w:tblPr>
      <w:tblGrid>
        <w:gridCol w:w="4968"/>
        <w:gridCol w:w="4968"/>
      </w:tblGrid>
      <w:tr w:rsidR="006A764A" w14:paraId="7AED6963" w14:textId="77777777">
        <w:trPr>
          <w:jc w:val="center"/>
        </w:trPr>
        <w:tc>
          <w:tcPr>
            <w:tcW w:w="4968" w:type="dxa"/>
            <w:shd w:val="clear" w:color="auto" w:fill="D9EAF7"/>
            <w:vAlign w:val="center"/>
          </w:tcPr>
          <w:p w14:paraId="39E32BAE" w14:textId="77777777" w:rsidR="006A764A" w:rsidRDefault="009935C7">
            <w:r>
              <w:rPr>
                <w:b/>
                <w:sz w:val="19"/>
              </w:rPr>
              <w:t>Aspecto</w:t>
            </w:r>
          </w:p>
        </w:tc>
        <w:tc>
          <w:tcPr>
            <w:tcW w:w="4968" w:type="dxa"/>
            <w:shd w:val="clear" w:color="auto" w:fill="D9EAF7"/>
            <w:vAlign w:val="center"/>
          </w:tcPr>
          <w:p w14:paraId="5B0F744C" w14:textId="77777777" w:rsidR="006A764A" w:rsidRDefault="009935C7">
            <w:r>
              <w:rPr>
                <w:b/>
                <w:sz w:val="19"/>
              </w:rPr>
              <w:t>Ajuste/recomendación reconstruida</w:t>
            </w:r>
          </w:p>
        </w:tc>
      </w:tr>
      <w:tr w:rsidR="006A764A" w:rsidRPr="004C09F6" w14:paraId="44543057" w14:textId="77777777">
        <w:trPr>
          <w:jc w:val="center"/>
        </w:trPr>
        <w:tc>
          <w:tcPr>
            <w:tcW w:w="4968" w:type="dxa"/>
            <w:vAlign w:val="center"/>
          </w:tcPr>
          <w:p w14:paraId="00F0FCBF" w14:textId="77777777" w:rsidR="006A764A" w:rsidRDefault="009935C7">
            <w:r>
              <w:rPr>
                <w:sz w:val="19"/>
              </w:rPr>
              <w:t>Clarificar instrucciones</w:t>
            </w:r>
          </w:p>
        </w:tc>
        <w:tc>
          <w:tcPr>
            <w:tcW w:w="4968" w:type="dxa"/>
            <w:vAlign w:val="center"/>
          </w:tcPr>
          <w:p w14:paraId="381CCF94" w14:textId="52C295D4" w:rsidR="006A764A" w:rsidRPr="004C09F6" w:rsidRDefault="009935C7">
            <w:pPr>
              <w:rPr>
                <w:lang w:val="es-CO"/>
              </w:rPr>
            </w:pPr>
            <w:r w:rsidRPr="004C09F6">
              <w:rPr>
                <w:sz w:val="19"/>
                <w:lang w:val="es-CO"/>
              </w:rPr>
              <w:t>Reforzar las instrucciones de algunas preguntas para evitar interpretaciones diferentes</w:t>
            </w:r>
            <w:r w:rsidR="00847F8A">
              <w:rPr>
                <w:sz w:val="19"/>
                <w:lang w:val="es-CO"/>
              </w:rPr>
              <w:t xml:space="preserve">, inclusive añadiendo descripciones cortas para mantener </w:t>
            </w:r>
            <w:r w:rsidR="004E1FB0">
              <w:rPr>
                <w:sz w:val="19"/>
                <w:lang w:val="es-CO"/>
              </w:rPr>
              <w:t>coherencia</w:t>
            </w:r>
            <w:r w:rsidRPr="004C09F6">
              <w:rPr>
                <w:sz w:val="19"/>
                <w:lang w:val="es-CO"/>
              </w:rPr>
              <w:t>.</w:t>
            </w:r>
          </w:p>
        </w:tc>
      </w:tr>
      <w:tr w:rsidR="006A764A" w:rsidRPr="004C09F6" w14:paraId="2F9AD632" w14:textId="77777777">
        <w:trPr>
          <w:jc w:val="center"/>
        </w:trPr>
        <w:tc>
          <w:tcPr>
            <w:tcW w:w="4968" w:type="dxa"/>
            <w:vAlign w:val="center"/>
          </w:tcPr>
          <w:p w14:paraId="6CCF5B29" w14:textId="77777777" w:rsidR="006A764A" w:rsidRDefault="009935C7">
            <w:r>
              <w:rPr>
                <w:sz w:val="19"/>
              </w:rPr>
              <w:t xml:space="preserve">Doble </w:t>
            </w:r>
            <w:proofErr w:type="spellStart"/>
            <w:r>
              <w:rPr>
                <w:sz w:val="19"/>
              </w:rPr>
              <w:t>programa</w:t>
            </w:r>
            <w:proofErr w:type="spellEnd"/>
          </w:p>
        </w:tc>
        <w:tc>
          <w:tcPr>
            <w:tcW w:w="4968" w:type="dxa"/>
            <w:vAlign w:val="center"/>
          </w:tcPr>
          <w:p w14:paraId="69E920C3" w14:textId="77777777" w:rsidR="006A764A" w:rsidRPr="004C09F6" w:rsidRDefault="009935C7">
            <w:pPr>
              <w:rPr>
                <w:lang w:val="es-CO"/>
              </w:rPr>
            </w:pPr>
            <w:r w:rsidRPr="004C09F6">
              <w:rPr>
                <w:sz w:val="19"/>
                <w:lang w:val="es-CO"/>
              </w:rPr>
              <w:t>Mantener la indicación de seleccionar primero el programa base y posteriormente la segunda carrera cuando aplique.</w:t>
            </w:r>
          </w:p>
        </w:tc>
      </w:tr>
      <w:tr w:rsidR="006A764A" w:rsidRPr="004C09F6" w14:paraId="2881291D" w14:textId="77777777">
        <w:trPr>
          <w:jc w:val="center"/>
        </w:trPr>
        <w:tc>
          <w:tcPr>
            <w:tcW w:w="4968" w:type="dxa"/>
            <w:vAlign w:val="center"/>
          </w:tcPr>
          <w:p w14:paraId="62181195" w14:textId="77777777" w:rsidR="006A764A" w:rsidRDefault="009935C7">
            <w:proofErr w:type="spellStart"/>
            <w:r>
              <w:rPr>
                <w:sz w:val="19"/>
              </w:rPr>
              <w:t>Opción</w:t>
            </w:r>
            <w:proofErr w:type="spellEnd"/>
            <w:r>
              <w:rPr>
                <w:sz w:val="19"/>
              </w:rPr>
              <w:t xml:space="preserve"> N/A</w:t>
            </w:r>
          </w:p>
        </w:tc>
        <w:tc>
          <w:tcPr>
            <w:tcW w:w="4968" w:type="dxa"/>
            <w:vAlign w:val="center"/>
          </w:tcPr>
          <w:p w14:paraId="50675DAA" w14:textId="77777777" w:rsidR="006A764A" w:rsidRPr="004C09F6" w:rsidRDefault="009935C7">
            <w:pPr>
              <w:rPr>
                <w:lang w:val="es-CO"/>
              </w:rPr>
            </w:pPr>
            <w:r w:rsidRPr="004C09F6">
              <w:rPr>
                <w:sz w:val="19"/>
                <w:lang w:val="es-CO"/>
              </w:rPr>
              <w:t>Conservar la opción “N/A: No Aplica” para evitar que participantes seleccionen una respuesta que no corresponde a su situación.</w:t>
            </w:r>
          </w:p>
        </w:tc>
      </w:tr>
      <w:tr w:rsidR="006A764A" w:rsidRPr="004C09F6" w14:paraId="63EDA473" w14:textId="77777777">
        <w:trPr>
          <w:jc w:val="center"/>
        </w:trPr>
        <w:tc>
          <w:tcPr>
            <w:tcW w:w="4968" w:type="dxa"/>
            <w:vAlign w:val="center"/>
          </w:tcPr>
          <w:p w14:paraId="7E12F5A7" w14:textId="77777777" w:rsidR="006A764A" w:rsidRDefault="009935C7">
            <w:r>
              <w:rPr>
                <w:sz w:val="19"/>
              </w:rPr>
              <w:t>Escala lineal</w:t>
            </w:r>
          </w:p>
        </w:tc>
        <w:tc>
          <w:tcPr>
            <w:tcW w:w="4968" w:type="dxa"/>
            <w:vAlign w:val="center"/>
          </w:tcPr>
          <w:p w14:paraId="386709BF" w14:textId="77777777" w:rsidR="006A764A" w:rsidRPr="004C09F6" w:rsidRDefault="009935C7">
            <w:pPr>
              <w:rPr>
                <w:lang w:val="es-CO"/>
              </w:rPr>
            </w:pPr>
            <w:r w:rsidRPr="004C09F6">
              <w:rPr>
                <w:sz w:val="19"/>
                <w:lang w:val="es-CO"/>
              </w:rPr>
              <w:t>Mantener la explicación de los extremos de la escala 1–5 para facilitar la interpretación.</w:t>
            </w:r>
          </w:p>
        </w:tc>
      </w:tr>
      <w:tr w:rsidR="006A764A" w:rsidRPr="004C09F6" w14:paraId="19B17CFC" w14:textId="77777777">
        <w:trPr>
          <w:jc w:val="center"/>
        </w:trPr>
        <w:tc>
          <w:tcPr>
            <w:tcW w:w="4968" w:type="dxa"/>
            <w:vAlign w:val="center"/>
          </w:tcPr>
          <w:p w14:paraId="2ECAB53B" w14:textId="77777777" w:rsidR="006A764A" w:rsidRDefault="009935C7">
            <w:proofErr w:type="spellStart"/>
            <w:r>
              <w:rPr>
                <w:sz w:val="19"/>
              </w:rPr>
              <w:t>Pregunta</w:t>
            </w:r>
            <w:proofErr w:type="spellEnd"/>
            <w:r>
              <w:rPr>
                <w:sz w:val="19"/>
              </w:rPr>
              <w:t xml:space="preserve"> </w:t>
            </w:r>
            <w:proofErr w:type="spellStart"/>
            <w:r>
              <w:rPr>
                <w:sz w:val="19"/>
              </w:rPr>
              <w:t>abierta</w:t>
            </w:r>
            <w:proofErr w:type="spellEnd"/>
            <w:r>
              <w:rPr>
                <w:sz w:val="19"/>
              </w:rPr>
              <w:t xml:space="preserve"> “</w:t>
            </w:r>
            <w:proofErr w:type="spellStart"/>
            <w:r>
              <w:rPr>
                <w:sz w:val="19"/>
              </w:rPr>
              <w:t>Otros</w:t>
            </w:r>
            <w:proofErr w:type="spellEnd"/>
            <w:r>
              <w:rPr>
                <w:sz w:val="19"/>
              </w:rPr>
              <w:t>”</w:t>
            </w:r>
          </w:p>
        </w:tc>
        <w:tc>
          <w:tcPr>
            <w:tcW w:w="4968" w:type="dxa"/>
            <w:vAlign w:val="center"/>
          </w:tcPr>
          <w:p w14:paraId="31977007" w14:textId="77777777" w:rsidR="006A764A" w:rsidRPr="004C09F6" w:rsidRDefault="009935C7">
            <w:pPr>
              <w:rPr>
                <w:lang w:val="es-CO"/>
              </w:rPr>
            </w:pPr>
            <w:r w:rsidRPr="004C09F6">
              <w:rPr>
                <w:sz w:val="19"/>
                <w:lang w:val="es-CO"/>
              </w:rPr>
              <w:t>Conservarla como alternativa para situaciones que no estén contempladas en las opciones predeterminadas.</w:t>
            </w:r>
          </w:p>
        </w:tc>
      </w:tr>
    </w:tbl>
    <w:p w14:paraId="49148B1D" w14:textId="77777777" w:rsidR="006A764A" w:rsidRPr="004C09F6" w:rsidRDefault="006A764A">
      <w:pPr>
        <w:rPr>
          <w:lang w:val="es-CO"/>
        </w:rPr>
      </w:pPr>
    </w:p>
    <w:p w14:paraId="3429C0E3" w14:textId="77777777" w:rsidR="006A764A" w:rsidRPr="004C09F6" w:rsidRDefault="009935C7">
      <w:pPr>
        <w:pStyle w:val="Heading1"/>
        <w:rPr>
          <w:lang w:val="es-CO"/>
        </w:rPr>
      </w:pPr>
      <w:r w:rsidRPr="004C09F6">
        <w:rPr>
          <w:lang w:val="es-CO"/>
        </w:rPr>
        <w:t>6. Validación de la lógica de navegación</w:t>
      </w:r>
    </w:p>
    <w:p w14:paraId="40D986C7" w14:textId="77777777" w:rsidR="006A764A" w:rsidRPr="004C09F6" w:rsidRDefault="009935C7">
      <w:pPr>
        <w:rPr>
          <w:lang w:val="es-CO"/>
        </w:rPr>
      </w:pPr>
      <w:r w:rsidRPr="004C09F6">
        <w:rPr>
          <w:lang w:val="es-CO"/>
        </w:rPr>
        <w:t xml:space="preserve">Un aspecto específico revisado fue la lógica condicional del formulario. La encuesta no muestra a todos los participantes las mismas opciones de programa: después de seleccionar la facultad, el formulario dirige al </w:t>
      </w:r>
      <w:r w:rsidRPr="004C09F6">
        <w:rPr>
          <w:lang w:val="es-CO"/>
        </w:rPr>
        <w:lastRenderedPageBreak/>
        <w:t>participante a la sección correspondiente y presenta únicamente los programas asociados a esa facultad. Esta estructura fue considerada intuitiva y ayudó a reducir la posibilidad de seleccionar una carrera perteneciente a otra unidad académica.</w:t>
      </w:r>
    </w:p>
    <w:p w14:paraId="7414509D" w14:textId="77777777" w:rsidR="006A764A" w:rsidRPr="004C09F6" w:rsidRDefault="009935C7">
      <w:pPr>
        <w:pStyle w:val="ListBullet"/>
        <w:rPr>
          <w:lang w:val="es-CO"/>
        </w:rPr>
      </w:pPr>
      <w:r w:rsidRPr="004C09F6">
        <w:rPr>
          <w:lang w:val="es-CO"/>
        </w:rPr>
        <w:t>Facultad seleccionada → sección específica de programas de esa facultad.</w:t>
      </w:r>
    </w:p>
    <w:p w14:paraId="4A658C73" w14:textId="77777777" w:rsidR="006A764A" w:rsidRPr="004C09F6" w:rsidRDefault="009935C7">
      <w:pPr>
        <w:pStyle w:val="ListBullet"/>
        <w:rPr>
          <w:lang w:val="es-CO"/>
        </w:rPr>
      </w:pPr>
      <w:r w:rsidRPr="004C09F6">
        <w:rPr>
          <w:lang w:val="es-CO"/>
        </w:rPr>
        <w:t>Programa base → continúa hacia las preguntas generales de asistencia.</w:t>
      </w:r>
    </w:p>
    <w:p w14:paraId="34C9E388" w14:textId="77777777" w:rsidR="006A764A" w:rsidRPr="004C09F6" w:rsidRDefault="009935C7">
      <w:pPr>
        <w:pStyle w:val="ListBullet"/>
        <w:rPr>
          <w:lang w:val="es-CO"/>
        </w:rPr>
      </w:pPr>
      <w:r w:rsidRPr="004C09F6">
        <w:rPr>
          <w:lang w:val="es-CO"/>
        </w:rPr>
        <w:t>Doble programa → aparece posteriormente la selección de la segunda carrera.</w:t>
      </w:r>
    </w:p>
    <w:p w14:paraId="402AA462" w14:textId="77777777" w:rsidR="006A764A" w:rsidRPr="004C09F6" w:rsidRDefault="009935C7">
      <w:pPr>
        <w:pStyle w:val="ListBullet"/>
        <w:rPr>
          <w:lang w:val="es-CO"/>
        </w:rPr>
      </w:pPr>
      <w:r w:rsidRPr="004C09F6">
        <w:rPr>
          <w:lang w:val="es-CO"/>
        </w:rPr>
        <w:t>Participantes sin doble programa → pueden continuar sin seleccionar una segunda carrera.</w:t>
      </w:r>
    </w:p>
    <w:p w14:paraId="3EF1247C" w14:textId="77777777" w:rsidR="006A764A" w:rsidRPr="004C09F6" w:rsidRDefault="009935C7">
      <w:pPr>
        <w:pStyle w:val="Heading1"/>
        <w:rPr>
          <w:lang w:val="es-CO"/>
        </w:rPr>
      </w:pPr>
      <w:r w:rsidRPr="004C09F6">
        <w:rPr>
          <w:lang w:val="es-CO"/>
        </w:rPr>
        <w:t>7. Caracterización ficticia de los participantes de validación</w:t>
      </w:r>
    </w:p>
    <w:p w14:paraId="44117D91" w14:textId="77777777" w:rsidR="006A764A" w:rsidRPr="004C09F6" w:rsidRDefault="009935C7">
      <w:pPr>
        <w:rPr>
          <w:lang w:val="es-CO"/>
        </w:rPr>
      </w:pPr>
      <w:r w:rsidRPr="004C09F6">
        <w:rPr>
          <w:lang w:val="es-CO"/>
        </w:rPr>
        <w:t>La siguiente distribución es completamente simulada y se incluye únicamente para ilustrar la diversidad buscada durante la validación oral.</w:t>
      </w:r>
    </w:p>
    <w:tbl>
      <w:tblPr>
        <w:tblStyle w:val="TableGrid"/>
        <w:tblW w:w="0" w:type="auto"/>
        <w:jc w:val="center"/>
        <w:tblLook w:val="04A0" w:firstRow="1" w:lastRow="0" w:firstColumn="1" w:lastColumn="0" w:noHBand="0" w:noVBand="1"/>
      </w:tblPr>
      <w:tblGrid>
        <w:gridCol w:w="3312"/>
        <w:gridCol w:w="3312"/>
        <w:gridCol w:w="3312"/>
      </w:tblGrid>
      <w:tr w:rsidR="006A764A" w14:paraId="7D938390" w14:textId="77777777">
        <w:trPr>
          <w:jc w:val="center"/>
        </w:trPr>
        <w:tc>
          <w:tcPr>
            <w:tcW w:w="3312" w:type="dxa"/>
            <w:shd w:val="clear" w:color="auto" w:fill="D9EAF7"/>
            <w:vAlign w:val="center"/>
          </w:tcPr>
          <w:p w14:paraId="6E0AF951" w14:textId="77777777" w:rsidR="006A764A" w:rsidRDefault="009935C7">
            <w:r>
              <w:rPr>
                <w:b/>
                <w:sz w:val="19"/>
              </w:rPr>
              <w:t xml:space="preserve">Rango de </w:t>
            </w:r>
            <w:proofErr w:type="spellStart"/>
            <w:r>
              <w:rPr>
                <w:b/>
                <w:sz w:val="19"/>
              </w:rPr>
              <w:t>semestre</w:t>
            </w:r>
            <w:proofErr w:type="spellEnd"/>
          </w:p>
        </w:tc>
        <w:tc>
          <w:tcPr>
            <w:tcW w:w="3312" w:type="dxa"/>
            <w:shd w:val="clear" w:color="auto" w:fill="D9EAF7"/>
            <w:vAlign w:val="center"/>
          </w:tcPr>
          <w:p w14:paraId="360B89DE" w14:textId="77777777" w:rsidR="006A764A" w:rsidRDefault="009935C7">
            <w:r>
              <w:rPr>
                <w:b/>
                <w:sz w:val="19"/>
              </w:rPr>
              <w:t>Participantes</w:t>
            </w:r>
          </w:p>
        </w:tc>
        <w:tc>
          <w:tcPr>
            <w:tcW w:w="3312" w:type="dxa"/>
            <w:shd w:val="clear" w:color="auto" w:fill="D9EAF7"/>
            <w:vAlign w:val="center"/>
          </w:tcPr>
          <w:p w14:paraId="73B4E3C9" w14:textId="77777777" w:rsidR="006A764A" w:rsidRDefault="009935C7">
            <w:r>
              <w:rPr>
                <w:b/>
                <w:sz w:val="19"/>
              </w:rPr>
              <w:t>Proporción ficticia</w:t>
            </w:r>
          </w:p>
        </w:tc>
      </w:tr>
      <w:tr w:rsidR="006A764A" w14:paraId="455071A6" w14:textId="77777777">
        <w:trPr>
          <w:jc w:val="center"/>
        </w:trPr>
        <w:tc>
          <w:tcPr>
            <w:tcW w:w="3312" w:type="dxa"/>
            <w:vAlign w:val="center"/>
          </w:tcPr>
          <w:p w14:paraId="1F2B1ABC" w14:textId="77777777" w:rsidR="006A764A" w:rsidRDefault="009935C7">
            <w:r>
              <w:rPr>
                <w:sz w:val="19"/>
              </w:rPr>
              <w:t>1.º–3.º semestre</w:t>
            </w:r>
          </w:p>
        </w:tc>
        <w:tc>
          <w:tcPr>
            <w:tcW w:w="3312" w:type="dxa"/>
            <w:vAlign w:val="center"/>
          </w:tcPr>
          <w:p w14:paraId="53AD55AB" w14:textId="77777777" w:rsidR="006A764A" w:rsidRDefault="009935C7">
            <w:r>
              <w:rPr>
                <w:sz w:val="19"/>
              </w:rPr>
              <w:t>3</w:t>
            </w:r>
          </w:p>
        </w:tc>
        <w:tc>
          <w:tcPr>
            <w:tcW w:w="3312" w:type="dxa"/>
            <w:vAlign w:val="center"/>
          </w:tcPr>
          <w:p w14:paraId="3BBC63E1" w14:textId="77777777" w:rsidR="006A764A" w:rsidRDefault="009935C7">
            <w:r>
              <w:rPr>
                <w:sz w:val="19"/>
              </w:rPr>
              <w:t>25.0%</w:t>
            </w:r>
          </w:p>
        </w:tc>
      </w:tr>
      <w:tr w:rsidR="006A764A" w14:paraId="6E45EC9C" w14:textId="77777777">
        <w:trPr>
          <w:jc w:val="center"/>
        </w:trPr>
        <w:tc>
          <w:tcPr>
            <w:tcW w:w="3312" w:type="dxa"/>
            <w:vAlign w:val="center"/>
          </w:tcPr>
          <w:p w14:paraId="3A24CF03" w14:textId="77777777" w:rsidR="006A764A" w:rsidRDefault="009935C7">
            <w:r>
              <w:rPr>
                <w:sz w:val="19"/>
              </w:rPr>
              <w:t>4.º–6.º semestre</w:t>
            </w:r>
          </w:p>
        </w:tc>
        <w:tc>
          <w:tcPr>
            <w:tcW w:w="3312" w:type="dxa"/>
            <w:vAlign w:val="center"/>
          </w:tcPr>
          <w:p w14:paraId="31267A89" w14:textId="77777777" w:rsidR="006A764A" w:rsidRDefault="009935C7">
            <w:r>
              <w:rPr>
                <w:sz w:val="19"/>
              </w:rPr>
              <w:t>5</w:t>
            </w:r>
          </w:p>
        </w:tc>
        <w:tc>
          <w:tcPr>
            <w:tcW w:w="3312" w:type="dxa"/>
            <w:vAlign w:val="center"/>
          </w:tcPr>
          <w:p w14:paraId="2C37A872" w14:textId="77777777" w:rsidR="006A764A" w:rsidRDefault="009935C7">
            <w:r>
              <w:rPr>
                <w:sz w:val="19"/>
              </w:rPr>
              <w:t>41.7%</w:t>
            </w:r>
          </w:p>
        </w:tc>
      </w:tr>
      <w:tr w:rsidR="006A764A" w14:paraId="4156DB5E" w14:textId="77777777">
        <w:trPr>
          <w:jc w:val="center"/>
        </w:trPr>
        <w:tc>
          <w:tcPr>
            <w:tcW w:w="3312" w:type="dxa"/>
            <w:vAlign w:val="center"/>
          </w:tcPr>
          <w:p w14:paraId="0B931CA7" w14:textId="77777777" w:rsidR="006A764A" w:rsidRDefault="009935C7">
            <w:r>
              <w:rPr>
                <w:sz w:val="19"/>
              </w:rPr>
              <w:t>7.º–8.º semestre</w:t>
            </w:r>
          </w:p>
        </w:tc>
        <w:tc>
          <w:tcPr>
            <w:tcW w:w="3312" w:type="dxa"/>
            <w:vAlign w:val="center"/>
          </w:tcPr>
          <w:p w14:paraId="25BEEF70" w14:textId="77777777" w:rsidR="006A764A" w:rsidRDefault="009935C7">
            <w:r>
              <w:rPr>
                <w:sz w:val="19"/>
              </w:rPr>
              <w:t>3</w:t>
            </w:r>
          </w:p>
        </w:tc>
        <w:tc>
          <w:tcPr>
            <w:tcW w:w="3312" w:type="dxa"/>
            <w:vAlign w:val="center"/>
          </w:tcPr>
          <w:p w14:paraId="28F45B14" w14:textId="77777777" w:rsidR="006A764A" w:rsidRDefault="009935C7">
            <w:r>
              <w:rPr>
                <w:sz w:val="19"/>
              </w:rPr>
              <w:t>25.0%</w:t>
            </w:r>
          </w:p>
        </w:tc>
      </w:tr>
      <w:tr w:rsidR="006A764A" w14:paraId="21BBA504" w14:textId="77777777">
        <w:trPr>
          <w:jc w:val="center"/>
        </w:trPr>
        <w:tc>
          <w:tcPr>
            <w:tcW w:w="3312" w:type="dxa"/>
            <w:vAlign w:val="center"/>
          </w:tcPr>
          <w:p w14:paraId="3C2A7B77" w14:textId="77777777" w:rsidR="006A764A" w:rsidRDefault="009935C7">
            <w:r>
              <w:rPr>
                <w:sz w:val="19"/>
              </w:rPr>
              <w:t>9.º–10.º semestre</w:t>
            </w:r>
          </w:p>
        </w:tc>
        <w:tc>
          <w:tcPr>
            <w:tcW w:w="3312" w:type="dxa"/>
            <w:vAlign w:val="center"/>
          </w:tcPr>
          <w:p w14:paraId="44CF67A9" w14:textId="77777777" w:rsidR="006A764A" w:rsidRDefault="009935C7">
            <w:r>
              <w:rPr>
                <w:sz w:val="19"/>
              </w:rPr>
              <w:t>1</w:t>
            </w:r>
          </w:p>
        </w:tc>
        <w:tc>
          <w:tcPr>
            <w:tcW w:w="3312" w:type="dxa"/>
            <w:vAlign w:val="center"/>
          </w:tcPr>
          <w:p w14:paraId="63C899A8" w14:textId="77777777" w:rsidR="006A764A" w:rsidRDefault="009935C7">
            <w:r>
              <w:rPr>
                <w:sz w:val="19"/>
              </w:rPr>
              <w:t>8.3%</w:t>
            </w:r>
          </w:p>
        </w:tc>
      </w:tr>
    </w:tbl>
    <w:p w14:paraId="36B63BE8" w14:textId="77777777" w:rsidR="006A764A" w:rsidRDefault="006A764A"/>
    <w:p w14:paraId="082508A1" w14:textId="77777777" w:rsidR="006A764A" w:rsidRDefault="009935C7">
      <w:pPr>
        <w:pStyle w:val="Heading1"/>
      </w:pPr>
      <w:r>
        <w:t>8. Resultado general de la validación</w:t>
      </w:r>
    </w:p>
    <w:p w14:paraId="0FC8B7B2" w14:textId="77777777" w:rsidR="006A764A" w:rsidRPr="004C09F6" w:rsidRDefault="009935C7">
      <w:pPr>
        <w:rPr>
          <w:lang w:val="es-CO"/>
        </w:rPr>
      </w:pPr>
      <w:r w:rsidRPr="004C09F6">
        <w:rPr>
          <w:lang w:val="es-CO"/>
        </w:rPr>
        <w:t>La reconstrucción de la validación indica una recepción predominantemente favorable del instrumento. No se identificaron, dentro de la retroalimentación oral recordada, problemas críticos que impidieran la aplicación de la encuesta. Las observaciones se concentraron principalmente en aclaraciones menores de redacción e instrucciones, especialmente en las preguntas relacionadas con doble programa y en la interpretación de la escala lineal.</w:t>
      </w:r>
    </w:p>
    <w:p w14:paraId="223BEBC7" w14:textId="77777777" w:rsidR="006A764A" w:rsidRPr="004C09F6" w:rsidRDefault="009935C7">
      <w:pPr>
        <w:rPr>
          <w:lang w:val="es-CO"/>
        </w:rPr>
      </w:pPr>
      <w:r w:rsidRPr="004C09F6">
        <w:rPr>
          <w:lang w:val="es-CO"/>
        </w:rPr>
        <w:t>En consecuencia, se consideró que el cuestionario contaba con una estructura adecuada para continuar con la fase de recolección de datos, manteniendo las instrucciones de anonimato, las rutas condicionales por facultad y las opciones de respuesta N/A y Otro.</w:t>
      </w:r>
    </w:p>
    <w:p w14:paraId="6FD0E909" w14:textId="77777777" w:rsidR="006A764A" w:rsidRPr="004C09F6" w:rsidRDefault="009935C7">
      <w:pPr>
        <w:pStyle w:val="Heading1"/>
        <w:rPr>
          <w:lang w:val="es-CO"/>
        </w:rPr>
      </w:pPr>
      <w:r w:rsidRPr="004C09F6">
        <w:rPr>
          <w:lang w:val="es-CO"/>
        </w:rPr>
        <w:t>9. Limitaciones y trazabilidad</w:t>
      </w:r>
    </w:p>
    <w:p w14:paraId="3C8903DE" w14:textId="368B2854" w:rsidR="006A764A" w:rsidRPr="004C09F6" w:rsidRDefault="009935C7">
      <w:pPr>
        <w:rPr>
          <w:lang w:val="es-CO"/>
        </w:rPr>
      </w:pPr>
      <w:r w:rsidRPr="004C09F6">
        <w:rPr>
          <w:lang w:val="es-CO"/>
        </w:rPr>
        <w:t>Debe diferenciarse entre la validación que efectivamente tuvo lugar y los datos presentados en esta reconstrucción. La validación original fue realizada oralmente, pero los registros que permitían documentar participante por participante fueron</w:t>
      </w:r>
      <w:r w:rsidR="005651AC">
        <w:rPr>
          <w:lang w:val="es-CO"/>
        </w:rPr>
        <w:t xml:space="preserve"> tomados netamente </w:t>
      </w:r>
      <w:r w:rsidR="00CC3FBB">
        <w:rPr>
          <w:lang w:val="es-CO"/>
        </w:rPr>
        <w:t>cono puntos claves</w:t>
      </w:r>
      <w:r w:rsidRPr="004C09F6">
        <w:rPr>
          <w:lang w:val="es-CO"/>
        </w:rPr>
        <w:t xml:space="preserve">. Por esta razón, no es posible recuperar de manera verificable los conteos, porcentajes o frases exactas </w:t>
      </w:r>
      <w:r w:rsidR="005651AC" w:rsidRPr="004C09F6">
        <w:rPr>
          <w:lang w:val="es-CO"/>
        </w:rPr>
        <w:t xml:space="preserve">se </w:t>
      </w:r>
      <w:r w:rsidRPr="004C09F6">
        <w:rPr>
          <w:lang w:val="es-CO"/>
        </w:rPr>
        <w:t>expresadas durante la actividad.</w:t>
      </w:r>
    </w:p>
    <w:p w14:paraId="6F663064" w14:textId="0FEBA619" w:rsidR="006A764A" w:rsidRPr="004C09F6" w:rsidRDefault="009935C7">
      <w:pPr>
        <w:rPr>
          <w:lang w:val="es-CO"/>
        </w:rPr>
      </w:pPr>
      <w:r w:rsidRPr="004C09F6">
        <w:rPr>
          <w:lang w:val="es-CO"/>
        </w:rPr>
        <w:t xml:space="preserve">Los valores numéricos de este documento son, por tanto, datos </w:t>
      </w:r>
      <w:r w:rsidR="00CC3FBB">
        <w:rPr>
          <w:lang w:val="es-CO"/>
        </w:rPr>
        <w:t>inexactos</w:t>
      </w:r>
      <w:r w:rsidRPr="004C09F6">
        <w:rPr>
          <w:lang w:val="es-CO"/>
        </w:rPr>
        <w:t xml:space="preserve"> de reconstrucción y no deben utilizarse como si fueran una base de datos original ni como evidencia </w:t>
      </w:r>
      <w:r w:rsidR="00CC3FBB">
        <w:rPr>
          <w:lang w:val="es-CO"/>
        </w:rPr>
        <w:t>estática</w:t>
      </w:r>
      <w:r w:rsidRPr="004C09F6">
        <w:rPr>
          <w:lang w:val="es-CO"/>
        </w:rPr>
        <w:t xml:space="preserve"> de la población estudiada. </w:t>
      </w:r>
    </w:p>
    <w:p w14:paraId="3E5B56E0" w14:textId="77777777" w:rsidR="006A764A" w:rsidRPr="004C09F6" w:rsidRDefault="009935C7">
      <w:pPr>
        <w:pStyle w:val="Heading1"/>
        <w:rPr>
          <w:lang w:val="es-CO"/>
        </w:rPr>
      </w:pPr>
      <w:r w:rsidRPr="004C09F6">
        <w:rPr>
          <w:lang w:val="es-CO"/>
        </w:rPr>
        <w:t>10. Conclusión</w:t>
      </w:r>
    </w:p>
    <w:p w14:paraId="5120B49A" w14:textId="77777777" w:rsidR="006A764A" w:rsidRPr="004C09F6" w:rsidRDefault="009935C7">
      <w:pPr>
        <w:rPr>
          <w:lang w:val="es-CO"/>
        </w:rPr>
      </w:pPr>
      <w:r w:rsidRPr="004C09F6">
        <w:rPr>
          <w:lang w:val="es-CO"/>
        </w:rPr>
        <w:t xml:space="preserve">La validación oral permitió revisar la comprensión, pertinencia y navegación del instrumento antes de su aplicación. La retroalimentación fue en general positiva y las observaciones se orientaron a mejoras menores </w:t>
      </w:r>
      <w:r w:rsidRPr="004C09F6">
        <w:rPr>
          <w:lang w:val="es-CO"/>
        </w:rPr>
        <w:lastRenderedPageBreak/>
        <w:t>de claridad. La estructura condicional por facultad y programa fue considerada adecuada para adaptar el formulario a la trayectoria académica de cada participante.</w:t>
      </w:r>
    </w:p>
    <w:sectPr w:rsidR="006A764A" w:rsidRPr="004C09F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28494" w14:textId="77777777" w:rsidR="009935C7" w:rsidRDefault="009935C7">
      <w:pPr>
        <w:spacing w:after="0" w:line="240" w:lineRule="auto"/>
      </w:pPr>
      <w:r>
        <w:separator/>
      </w:r>
    </w:p>
  </w:endnote>
  <w:endnote w:type="continuationSeparator" w:id="0">
    <w:p w14:paraId="2BAD1C26" w14:textId="77777777" w:rsidR="009935C7" w:rsidRDefault="00993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7C98E" w14:textId="77777777" w:rsidR="006A764A" w:rsidRDefault="009935C7">
    <w:pPr>
      <w:pStyle w:val="Footer"/>
      <w:jc w:val="center"/>
    </w:pPr>
    <w:proofErr w:type="spellStart"/>
    <w:r>
      <w:rPr>
        <w:sz w:val="16"/>
      </w:rPr>
      <w:t>Reconstrucción</w:t>
    </w:r>
    <w:proofErr w:type="spellEnd"/>
    <w:r>
      <w:rPr>
        <w:sz w:val="16"/>
      </w:rPr>
      <w:t xml:space="preserve"> </w:t>
    </w:r>
    <w:proofErr w:type="spellStart"/>
    <w:r>
      <w:rPr>
        <w:sz w:val="16"/>
      </w:rPr>
      <w:t>metodológica</w:t>
    </w:r>
    <w:proofErr w:type="spellEnd"/>
    <w:r>
      <w:rPr>
        <w:sz w:val="16"/>
      </w:rPr>
      <w:t xml:space="preserve"> — </w:t>
    </w:r>
    <w:proofErr w:type="spellStart"/>
    <w:r>
      <w:rPr>
        <w:sz w:val="16"/>
      </w:rPr>
      <w:t>datos</w:t>
    </w:r>
    <w:proofErr w:type="spellEnd"/>
    <w:r>
      <w:rPr>
        <w:sz w:val="16"/>
      </w:rPr>
      <w:t xml:space="preserve"> </w:t>
    </w:r>
    <w:proofErr w:type="spellStart"/>
    <w:r>
      <w:rPr>
        <w:sz w:val="16"/>
      </w:rPr>
      <w:t>simulados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DBABE" w14:textId="77777777" w:rsidR="009935C7" w:rsidRDefault="009935C7">
      <w:pPr>
        <w:spacing w:after="0" w:line="240" w:lineRule="auto"/>
      </w:pPr>
      <w:r>
        <w:separator/>
      </w:r>
    </w:p>
  </w:footnote>
  <w:footnote w:type="continuationSeparator" w:id="0">
    <w:p w14:paraId="77BAD5A8" w14:textId="77777777" w:rsidR="009935C7" w:rsidRDefault="00993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502905">
    <w:abstractNumId w:val="8"/>
  </w:num>
  <w:num w:numId="2" w16cid:durableId="174462196">
    <w:abstractNumId w:val="6"/>
  </w:num>
  <w:num w:numId="3" w16cid:durableId="1563253876">
    <w:abstractNumId w:val="5"/>
  </w:num>
  <w:num w:numId="4" w16cid:durableId="1610815385">
    <w:abstractNumId w:val="4"/>
  </w:num>
  <w:num w:numId="5" w16cid:durableId="185951435">
    <w:abstractNumId w:val="7"/>
  </w:num>
  <w:num w:numId="6" w16cid:durableId="873469555">
    <w:abstractNumId w:val="3"/>
  </w:num>
  <w:num w:numId="7" w16cid:durableId="328748859">
    <w:abstractNumId w:val="2"/>
  </w:num>
  <w:num w:numId="8" w16cid:durableId="1320771269">
    <w:abstractNumId w:val="1"/>
  </w:num>
  <w:num w:numId="9" w16cid:durableId="1607274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09F6"/>
    <w:rsid w:val="004E1FB0"/>
    <w:rsid w:val="005651AC"/>
    <w:rsid w:val="006A764A"/>
    <w:rsid w:val="00847F8A"/>
    <w:rsid w:val="009935C7"/>
    <w:rsid w:val="00AA1D8D"/>
    <w:rsid w:val="00B47730"/>
    <w:rsid w:val="00CB0664"/>
    <w:rsid w:val="00CC3FBB"/>
    <w:rsid w:val="00EB42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8017E84-62AA-4F1D-9B5A-EBA570C09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1266</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Nyx x3</cp:lastModifiedBy>
  <cp:revision>6</cp:revision>
  <dcterms:created xsi:type="dcterms:W3CDTF">2013-12-23T23:15:00Z</dcterms:created>
  <dcterms:modified xsi:type="dcterms:W3CDTF">2026-10-01T19:42:00Z</dcterms:modified>
  <cp:category/>
</cp:coreProperties>
</file>