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8DF5" w14:textId="77777777" w:rsidR="00864400" w:rsidRPr="000B69CF" w:rsidRDefault="00000000">
      <w:pPr>
        <w:spacing w:after="40"/>
        <w:jc w:val="center"/>
        <w:rPr>
          <w:lang w:val="es-GT"/>
        </w:rPr>
      </w:pPr>
      <w:r w:rsidRPr="000B69CF">
        <w:rPr>
          <w:rFonts w:ascii="Calibri" w:hAnsi="Calibri"/>
          <w:b/>
          <w:color w:val="102C57"/>
          <w:sz w:val="28"/>
          <w:lang w:val="es-GT"/>
        </w:rPr>
        <w:t>UNIVERSIDAD RAFAEL LANDÍVAR</w:t>
      </w:r>
    </w:p>
    <w:p w14:paraId="7EB4B562" w14:textId="77777777" w:rsidR="00864400" w:rsidRPr="000B69CF" w:rsidRDefault="00000000">
      <w:pPr>
        <w:spacing w:after="280"/>
        <w:jc w:val="center"/>
        <w:rPr>
          <w:lang w:val="es-GT"/>
        </w:rPr>
      </w:pPr>
      <w:r w:rsidRPr="000B69CF">
        <w:rPr>
          <w:rFonts w:ascii="Calibri" w:hAnsi="Calibri"/>
          <w:color w:val="64748B"/>
          <w:sz w:val="20"/>
          <w:lang w:val="es-GT"/>
        </w:rPr>
        <w:t>Facultad de Ingeniería • Ingeniería de Software I • 2do Ciclo 2026</w:t>
      </w:r>
      <w:r w:rsidRPr="000B69CF">
        <w:rPr>
          <w:rFonts w:ascii="Calibri" w:hAnsi="Calibri"/>
          <w:color w:val="64748B"/>
          <w:sz w:val="20"/>
          <w:lang w:val="es-GT"/>
        </w:rPr>
        <w:br/>
        <w:t>Tradición Jesuita en Guatemala</w:t>
      </w:r>
    </w:p>
    <w:tbl>
      <w:tblPr>
        <w:tblW w:w="0" w:type="auto"/>
        <w:jc w:val="center"/>
        <w:tblLayout w:type="fixed"/>
        <w:tblLook w:val="04A0" w:firstRow="1" w:lastRow="0" w:firstColumn="1" w:lastColumn="0" w:noHBand="0" w:noVBand="1"/>
      </w:tblPr>
      <w:tblGrid>
        <w:gridCol w:w="9360"/>
      </w:tblGrid>
      <w:tr w:rsidR="00864400" w:rsidRPr="000B69CF" w14:paraId="01DC9365" w14:textId="77777777">
        <w:trPr>
          <w:jc w:val="center"/>
        </w:trPr>
        <w:tc>
          <w:tcPr>
            <w:tcW w:w="9360" w:type="dxa"/>
            <w:shd w:val="clear" w:color="auto" w:fill="F0F4F8"/>
            <w:tcMar>
              <w:top w:w="140" w:type="dxa"/>
              <w:left w:w="200" w:type="dxa"/>
              <w:bottom w:w="140" w:type="dxa"/>
              <w:right w:w="200" w:type="dxa"/>
            </w:tcMar>
          </w:tcPr>
          <w:p w14:paraId="759F7872" w14:textId="1633818C" w:rsidR="00864400" w:rsidRPr="000B69CF" w:rsidRDefault="00000000">
            <w:pPr>
              <w:jc w:val="center"/>
              <w:rPr>
                <w:lang w:val="es-GT"/>
              </w:rPr>
            </w:pPr>
            <w:r w:rsidRPr="000B69CF">
              <w:rPr>
                <w:rFonts w:ascii="Calibri" w:hAnsi="Calibri"/>
                <w:b/>
                <w:color w:val="102C57"/>
                <w:sz w:val="30"/>
                <w:lang w:val="es-GT"/>
              </w:rPr>
              <w:t>INFORME TÉCNICO DE AVANCE — HITO 2</w:t>
            </w:r>
            <w:r w:rsidRPr="000B69CF">
              <w:rPr>
                <w:rFonts w:ascii="Calibri" w:hAnsi="Calibri"/>
                <w:b/>
                <w:color w:val="102C57"/>
                <w:sz w:val="30"/>
                <w:lang w:val="es-GT"/>
              </w:rPr>
              <w:br/>
            </w:r>
            <w:r w:rsidRPr="000B69CF">
              <w:rPr>
                <w:rFonts w:ascii="Calibri" w:hAnsi="Calibri"/>
                <w:b/>
                <w:color w:val="35598E"/>
                <w:lang w:val="es-GT"/>
              </w:rPr>
              <w:t xml:space="preserve">Tema Asignado: </w:t>
            </w:r>
            <w:proofErr w:type="spellStart"/>
            <w:r w:rsidRPr="000B69CF">
              <w:rPr>
                <w:rFonts w:ascii="Calibri" w:hAnsi="Calibri"/>
                <w:b/>
                <w:color w:val="35598E"/>
                <w:lang w:val="es-GT"/>
              </w:rPr>
              <w:t>DevSecOps</w:t>
            </w:r>
            <w:proofErr w:type="spellEnd"/>
            <w:r w:rsidRPr="000B69CF">
              <w:rPr>
                <w:rFonts w:ascii="Calibri" w:hAnsi="Calibri"/>
                <w:b/>
                <w:color w:val="35598E"/>
                <w:lang w:val="es-GT"/>
              </w:rPr>
              <w:t xml:space="preserve"> | Dominio: </w:t>
            </w:r>
            <w:proofErr w:type="spellStart"/>
            <w:r w:rsidRPr="000B69CF">
              <w:rPr>
                <w:rFonts w:ascii="Calibri" w:hAnsi="Calibri"/>
                <w:b/>
                <w:color w:val="35598E"/>
                <w:lang w:val="es-GT"/>
              </w:rPr>
              <w:t>SecurePay</w:t>
            </w:r>
            <w:proofErr w:type="spellEnd"/>
            <w:r w:rsidRPr="000B69CF">
              <w:rPr>
                <w:rFonts w:ascii="Calibri" w:hAnsi="Calibri"/>
                <w:b/>
                <w:color w:val="35598E"/>
                <w:lang w:val="es-GT"/>
              </w:rPr>
              <w:t xml:space="preserve"> Core</w:t>
            </w:r>
            <w:r w:rsidRPr="000B69CF">
              <w:rPr>
                <w:rFonts w:ascii="Calibri" w:hAnsi="Calibri"/>
                <w:b/>
                <w:color w:val="35598E"/>
                <w:lang w:val="es-GT"/>
              </w:rPr>
              <w:br/>
            </w:r>
          </w:p>
        </w:tc>
      </w:tr>
    </w:tbl>
    <w:p w14:paraId="060F456A" w14:textId="77777777" w:rsidR="00864400" w:rsidRPr="000B69CF" w:rsidRDefault="00864400">
      <w:pPr>
        <w:spacing w:after="80"/>
        <w:rPr>
          <w:lang w:val="es-GT"/>
        </w:rPr>
      </w:pPr>
    </w:p>
    <w:p w14:paraId="12E69E13" w14:textId="77777777" w:rsidR="00864400" w:rsidRPr="000B69CF" w:rsidRDefault="00000000">
      <w:pPr>
        <w:keepNext/>
        <w:spacing w:before="240" w:after="80"/>
        <w:rPr>
          <w:lang w:val="es-GT"/>
        </w:rPr>
      </w:pPr>
      <w:r w:rsidRPr="000B69CF">
        <w:rPr>
          <w:rFonts w:ascii="Calibri" w:hAnsi="Calibri"/>
          <w:b/>
          <w:color w:val="35598E"/>
          <w:sz w:val="25"/>
          <w:lang w:val="es-GT"/>
        </w:rPr>
        <w:t>Datos del Equipo de Trabajo (5 Integrantes)</w:t>
      </w:r>
    </w:p>
    <w:tbl>
      <w:tblPr>
        <w:tblW w:w="0" w:type="auto"/>
        <w:jc w:val="center"/>
        <w:tblLayout w:type="fixed"/>
        <w:tblLook w:val="04A0" w:firstRow="1" w:lastRow="0" w:firstColumn="1" w:lastColumn="0" w:noHBand="0" w:noVBand="1"/>
      </w:tblPr>
      <w:tblGrid>
        <w:gridCol w:w="3120"/>
        <w:gridCol w:w="3120"/>
      </w:tblGrid>
      <w:tr w:rsidR="000B69CF" w:rsidRPr="000B69CF" w14:paraId="76715B04" w14:textId="77777777">
        <w:trPr>
          <w:jc w:val="center"/>
        </w:trPr>
        <w:tc>
          <w:tcPr>
            <w:tcW w:w="3120" w:type="dxa"/>
            <w:shd w:val="clear" w:color="auto" w:fill="102C57"/>
            <w:tcMar>
              <w:top w:w="80" w:type="dxa"/>
              <w:left w:w="100" w:type="dxa"/>
              <w:bottom w:w="80" w:type="dxa"/>
              <w:right w:w="100" w:type="dxa"/>
            </w:tcMar>
          </w:tcPr>
          <w:p w14:paraId="344AE99A" w14:textId="77777777" w:rsidR="000B69CF" w:rsidRDefault="000B69CF">
            <w:r>
              <w:rPr>
                <w:rFonts w:ascii="Calibri" w:hAnsi="Calibri"/>
                <w:b/>
                <w:color w:val="FFFFFF"/>
                <w:sz w:val="19"/>
              </w:rPr>
              <w:t>No.</w:t>
            </w:r>
          </w:p>
        </w:tc>
        <w:tc>
          <w:tcPr>
            <w:tcW w:w="3120" w:type="dxa"/>
            <w:shd w:val="clear" w:color="auto" w:fill="102C57"/>
            <w:tcMar>
              <w:top w:w="80" w:type="dxa"/>
              <w:left w:w="100" w:type="dxa"/>
              <w:bottom w:w="80" w:type="dxa"/>
              <w:right w:w="100" w:type="dxa"/>
            </w:tcMar>
          </w:tcPr>
          <w:p w14:paraId="38F09811" w14:textId="77777777" w:rsidR="000B69CF" w:rsidRDefault="000B69CF">
            <w:r>
              <w:rPr>
                <w:rFonts w:ascii="Calibri" w:hAnsi="Calibri"/>
                <w:b/>
                <w:color w:val="FFFFFF"/>
                <w:sz w:val="19"/>
              </w:rPr>
              <w:t>Nombre Completo y Carné</w:t>
            </w:r>
          </w:p>
        </w:tc>
      </w:tr>
      <w:tr w:rsidR="000B69CF" w14:paraId="4E2E015F" w14:textId="77777777">
        <w:trPr>
          <w:jc w:val="center"/>
        </w:trPr>
        <w:tc>
          <w:tcPr>
            <w:tcW w:w="3120" w:type="dxa"/>
            <w:shd w:val="clear" w:color="auto" w:fill="F1F5F9"/>
            <w:tcMar>
              <w:top w:w="60" w:type="dxa"/>
              <w:left w:w="80" w:type="dxa"/>
              <w:bottom w:w="60" w:type="dxa"/>
              <w:right w:w="80" w:type="dxa"/>
            </w:tcMar>
          </w:tcPr>
          <w:p w14:paraId="75BDA7C1" w14:textId="77777777" w:rsidR="000B69CF" w:rsidRDefault="000B69CF">
            <w:pPr>
              <w:jc w:val="center"/>
            </w:pPr>
            <w:r>
              <w:rPr>
                <w:rFonts w:ascii="Calibri" w:hAnsi="Calibri"/>
                <w:b/>
                <w:color w:val="222222"/>
                <w:sz w:val="18"/>
              </w:rPr>
              <w:t>1</w:t>
            </w:r>
          </w:p>
        </w:tc>
        <w:tc>
          <w:tcPr>
            <w:tcW w:w="3120" w:type="dxa"/>
            <w:shd w:val="clear" w:color="auto" w:fill="F1F5F9"/>
            <w:tcMar>
              <w:top w:w="60" w:type="dxa"/>
              <w:left w:w="80" w:type="dxa"/>
              <w:bottom w:w="60" w:type="dxa"/>
              <w:right w:w="80" w:type="dxa"/>
            </w:tcMar>
          </w:tcPr>
          <w:p w14:paraId="07D993DF" w14:textId="27888B72" w:rsidR="000B69CF" w:rsidRDefault="000B69CF">
            <w:r>
              <w:rPr>
                <w:rFonts w:ascii="Calibri" w:hAnsi="Calibri"/>
                <w:b/>
                <w:color w:val="222222"/>
                <w:sz w:val="18"/>
              </w:rPr>
              <w:t xml:space="preserve">Jonathan Josué García González</w:t>
            </w:r>
          </w:p>
        </w:tc>
      </w:tr>
      <w:tr w:rsidR="000B69CF" w14:paraId="0EC55AF6" w14:textId="77777777">
        <w:trPr>
          <w:jc w:val="center"/>
        </w:trPr>
        <w:tc>
          <w:tcPr>
            <w:tcW w:w="3120" w:type="dxa"/>
            <w:shd w:val="clear" w:color="auto" w:fill="FFFFFF"/>
            <w:tcMar>
              <w:top w:w="60" w:type="dxa"/>
              <w:left w:w="80" w:type="dxa"/>
              <w:bottom w:w="60" w:type="dxa"/>
              <w:right w:w="80" w:type="dxa"/>
            </w:tcMar>
          </w:tcPr>
          <w:p w14:paraId="55F778BF" w14:textId="77777777" w:rsidR="000B69CF" w:rsidRDefault="000B69CF">
            <w:pPr>
              <w:jc w:val="center"/>
            </w:pPr>
            <w:r>
              <w:rPr>
                <w:rFonts w:ascii="Calibri" w:hAnsi="Calibri"/>
                <w:b/>
                <w:color w:val="222222"/>
                <w:sz w:val="18"/>
              </w:rPr>
              <w:t>2</w:t>
            </w:r>
          </w:p>
        </w:tc>
        <w:tc>
          <w:tcPr>
            <w:tcW w:w="3120" w:type="dxa"/>
            <w:shd w:val="clear" w:color="auto" w:fill="FFFFFF"/>
            <w:tcMar>
              <w:top w:w="60" w:type="dxa"/>
              <w:left w:w="80" w:type="dxa"/>
              <w:bottom w:w="60" w:type="dxa"/>
              <w:right w:w="80" w:type="dxa"/>
            </w:tcMar>
          </w:tcPr>
          <w:p w14:paraId="11E00C0F" w14:textId="3C5A6C3B" w:rsidR="000B69CF" w:rsidRDefault="000B69CF">
            <w:r>
              <w:rPr>
                <w:rFonts w:ascii="Calibri" w:hAnsi="Calibri"/>
                <w:b/>
                <w:color w:val="222222"/>
                <w:sz w:val="18"/>
              </w:rPr>
              <w:t xml:space="preserve">José Ricardo Guerra Morales</w:t>
            </w:r>
          </w:p>
        </w:tc>
      </w:tr>
      <w:tr w:rsidR="000B69CF" w14:paraId="773E0C40" w14:textId="77777777">
        <w:trPr>
          <w:jc w:val="center"/>
        </w:trPr>
        <w:tc>
          <w:tcPr>
            <w:tcW w:w="3120" w:type="dxa"/>
            <w:shd w:val="clear" w:color="auto" w:fill="F1F5F9"/>
            <w:tcMar>
              <w:top w:w="60" w:type="dxa"/>
              <w:left w:w="80" w:type="dxa"/>
              <w:bottom w:w="60" w:type="dxa"/>
              <w:right w:w="80" w:type="dxa"/>
            </w:tcMar>
          </w:tcPr>
          <w:p w14:paraId="443F43BE" w14:textId="77777777" w:rsidR="000B69CF" w:rsidRDefault="000B69CF">
            <w:pPr>
              <w:jc w:val="center"/>
            </w:pPr>
            <w:r>
              <w:rPr>
                <w:rFonts w:ascii="Calibri" w:hAnsi="Calibri"/>
                <w:b/>
                <w:color w:val="222222"/>
                <w:sz w:val="18"/>
              </w:rPr>
              <w:t>3</w:t>
            </w:r>
          </w:p>
        </w:tc>
        <w:tc>
          <w:tcPr>
            <w:tcW w:w="3120" w:type="dxa"/>
            <w:shd w:val="clear" w:color="auto" w:fill="F1F5F9"/>
            <w:tcMar>
              <w:top w:w="60" w:type="dxa"/>
              <w:left w:w="80" w:type="dxa"/>
              <w:bottom w:w="60" w:type="dxa"/>
              <w:right w:w="80" w:type="dxa"/>
            </w:tcMar>
          </w:tcPr>
          <w:p w14:paraId="4A16A897" w14:textId="73F6E8C6" w:rsidR="000B69CF" w:rsidRDefault="000B69CF">
            <w:r>
              <w:rPr>
                <w:rFonts w:ascii="Calibri" w:hAnsi="Calibri"/>
                <w:b/>
                <w:color w:val="222222"/>
                <w:sz w:val="18"/>
              </w:rPr>
              <w:t xml:space="preserve">Walter José Herrera Salvatierra</w:t>
            </w:r>
          </w:p>
        </w:tc>
      </w:tr>
      <w:tr w:rsidR="000B69CF" w14:paraId="6FC3D617" w14:textId="77777777">
        <w:trPr>
          <w:jc w:val="center"/>
        </w:trPr>
        <w:tc>
          <w:tcPr>
            <w:tcW w:w="3120" w:type="dxa"/>
            <w:shd w:val="clear" w:color="auto" w:fill="FFFFFF"/>
            <w:tcMar>
              <w:top w:w="60" w:type="dxa"/>
              <w:left w:w="80" w:type="dxa"/>
              <w:bottom w:w="60" w:type="dxa"/>
              <w:right w:w="80" w:type="dxa"/>
            </w:tcMar>
          </w:tcPr>
          <w:p w14:paraId="2268E179" w14:textId="77777777" w:rsidR="000B69CF" w:rsidRDefault="000B69CF">
            <w:pPr>
              <w:jc w:val="center"/>
            </w:pPr>
            <w:r>
              <w:rPr>
                <w:rFonts w:ascii="Calibri" w:hAnsi="Calibri"/>
                <w:b/>
                <w:color w:val="222222"/>
                <w:sz w:val="18"/>
              </w:rPr>
              <w:t>4</w:t>
            </w:r>
          </w:p>
        </w:tc>
        <w:tc>
          <w:tcPr>
            <w:tcW w:w="3120" w:type="dxa"/>
            <w:shd w:val="clear" w:color="auto" w:fill="FFFFFF"/>
            <w:tcMar>
              <w:top w:w="60" w:type="dxa"/>
              <w:left w:w="80" w:type="dxa"/>
              <w:bottom w:w="60" w:type="dxa"/>
              <w:right w:w="80" w:type="dxa"/>
            </w:tcMar>
          </w:tcPr>
          <w:p w14:paraId="2C9E99ED" w14:textId="624CEFDC" w:rsidR="000B69CF" w:rsidRDefault="000B69CF">
            <w:r>
              <w:rPr>
                <w:rFonts w:ascii="Calibri" w:hAnsi="Calibri"/>
                <w:b/>
                <w:color w:val="222222"/>
                <w:sz w:val="18"/>
              </w:rPr>
              <w:t xml:space="preserve">José Daniel Paz Ortega</w:t>
            </w:r>
          </w:p>
        </w:tc>
      </w:tr>
      <w:tr w:rsidR="000B69CF" w14:paraId="7A0F9487" w14:textId="77777777">
        <w:trPr>
          <w:jc w:val="center"/>
        </w:trPr>
        <w:tc>
          <w:tcPr>
            <w:tcW w:w="3120" w:type="dxa"/>
            <w:shd w:val="clear" w:color="auto" w:fill="F1F5F9"/>
            <w:tcMar>
              <w:top w:w="60" w:type="dxa"/>
              <w:left w:w="80" w:type="dxa"/>
              <w:bottom w:w="60" w:type="dxa"/>
              <w:right w:w="80" w:type="dxa"/>
            </w:tcMar>
          </w:tcPr>
          <w:p w14:paraId="46F9240B" w14:textId="77777777" w:rsidR="000B69CF" w:rsidRDefault="000B69CF">
            <w:pPr>
              <w:jc w:val="center"/>
            </w:pPr>
            <w:r>
              <w:rPr>
                <w:rFonts w:ascii="Calibri" w:hAnsi="Calibri"/>
                <w:b/>
                <w:color w:val="222222"/>
                <w:sz w:val="18"/>
              </w:rPr>
              <w:t>5</w:t>
            </w:r>
          </w:p>
        </w:tc>
        <w:tc>
          <w:tcPr>
            <w:tcW w:w="3120" w:type="dxa"/>
            <w:shd w:val="clear" w:color="auto" w:fill="F1F5F9"/>
            <w:tcMar>
              <w:top w:w="60" w:type="dxa"/>
              <w:left w:w="80" w:type="dxa"/>
              <w:bottom w:w="60" w:type="dxa"/>
              <w:right w:w="80" w:type="dxa"/>
            </w:tcMar>
          </w:tcPr>
          <w:p w14:paraId="5EE8A538" w14:textId="3C9AB58C" w:rsidR="000B69CF" w:rsidRDefault="000B69CF">
            <w:r>
              <w:rPr>
                <w:rFonts w:ascii="Calibri" w:hAnsi="Calibri"/>
                <w:b/>
                <w:color w:val="222222"/>
                <w:sz w:val="18"/>
              </w:rPr>
              <w:t xml:space="preserve">Julio Javier Portillo Veliz</w:t>
            </w:r>
          </w:p>
        </w:tc>
      </w:tr>
    </w:tbl>
    <w:p w14:paraId="42C1FDD2" w14:textId="77777777" w:rsidR="00864400" w:rsidRDefault="00864400">
      <w:pPr>
        <w:spacing w:after="120"/>
      </w:pPr>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1. Qué cambiamos después del Hito 1</w:t>
      </w:r>
    </w:p>
    <w:p w14:paraId="3EA56EFA" w14:textId="77777777" w:rsidR="00864400" w:rsidRPr="000B69CF" w:rsidRDefault="00000000">
      <w:pPr>
        <w:spacing w:after="120"/>
        <w:rPr>
          <w:lang w:val="es-GT"/>
        </w:rPr>
      </w:pPr>
      <w:r w:rsidRPr="000B69CF">
        <w:rPr>
          <w:lang w:val="es-GT"/>
        </w:rPr>
        <w:t xml:space="preserve">En el Hito 1 planteamos SecurePay Core, una API de pagos genérica. La observación fue que el contexto era genérico y que el proyecto no resolvía un problema concreto más allá de la teoría de DevSecOps. Estamos de acuerdo: teníamos el pipeline bien pensado, pero no había un negocio real detrás.</w:t>
      </w:r>
      <w:proofErr w:type="gramStart"/>
      <w:proofErr w:type="gramEnd"/>
    </w:p>
    <w:p w14:paraId="3EA56EFA" w14:textId="77777777" w:rsidR="00864400" w:rsidRPr="000B69CF" w:rsidRDefault="00000000">
      <w:pPr>
        <w:spacing w:after="120"/>
        <w:rPr>
          <w:lang w:val="es-GT"/>
        </w:rPr>
      </w:pPr>
      <w:r w:rsidRPr="000B69CF">
        <w:rPr>
          <w:lang w:val="es-GT"/>
        </w:rPr>
        <w:t xml:space="preserve">Para este hito aterrizamos el caso en una farmacia de barrio, Farmacia La Esperanza, en la zona 18 de la Ciudad de Guatemala. La farmacia tiene dos dependientes, recibe la mayor parte de sus pedidos por WhatsApp y hace entregas a domicilio en moto. Mantuvimos el pipeline y la tecnología del Hito 1, pero ahora cada control de seguridad responde a un riesgo que la farmacia sí tiene.</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2. El problema de la farmacia</w:t>
      </w:r>
    </w:p>
    <w:p w14:paraId="3EA56EFA" w14:textId="77777777" w:rsidR="00864400" w:rsidRPr="000B69CF" w:rsidRDefault="00000000">
      <w:pPr>
        <w:spacing w:after="120"/>
        <w:rPr>
          <w:lang w:val="es-GT"/>
        </w:rPr>
      </w:pPr>
      <w:r w:rsidRPr="000B69CF">
        <w:rPr>
          <w:lang w:val="es-GT"/>
        </w:rPr>
        <w:t xml:space="preserve">Hoy los pedidos se anotan en un cuaderno y se cobran al entregar. Esto les genera tres problemas:</w:t>
      </w:r>
      <w:proofErr w:type="gramStart"/>
      <w:proofErr w:type="gramEnd"/>
    </w:p>
    <w:p w14:paraId="3EA56EFA" w14:textId="77777777" w:rsidR="00864400" w:rsidRPr="000B69CF" w:rsidRDefault="00000000">
      <w:pPr>
        <w:spacing w:after="120"/>
        <w:rPr>
          <w:lang w:val="es-GT"/>
        </w:rPr>
      </w:pPr>
      <w:r w:rsidRPr="000B69CF">
        <w:rPr>
          <w:lang w:val="es-GT"/>
        </w:rPr>
        <w:t xml:space="preserve">1. Inventario que no cuadra. Venden productos que ya no tienen y se enteran cuando el motorista ya va en camino.</w:t>
        <w:br/>
        <w:t xml:space="preserve">2. Cobros mal calculados. El precio lo dicta la dependiente de memoria y a veces el cliente reclama un precio que vio antes.</w:t>
        <w:br/>
        <w:t xml:space="preserve">3. Medicamentos controlados. Clonazepam, tramadol y antibióticos solo se pueden vender con receta, y hoy nadie verifica que el número de receta quede registrado. Si hay una inspección, la farmacia no tiene cómo demostrarlo.</w:t>
      </w:r>
      <w:proofErr w:type="gramStart"/>
      <w:proofErr w:type="gramEnd"/>
    </w:p>
    <w:p w14:paraId="3EA56EFA" w14:textId="77777777" w:rsidR="00864400" w:rsidRPr="000B69CF" w:rsidRDefault="00000000">
      <w:pPr>
        <w:spacing w:after="120"/>
        <w:rPr>
          <w:lang w:val="es-GT"/>
        </w:rPr>
      </w:pPr>
      <w:r w:rsidRPr="000B69CF">
        <w:rPr>
          <w:lang w:val="es-GT"/>
        </w:rPr>
        <w:t xml:space="preserve">Además, el sistema guarda teléfonos de clientes, qué medicamentos compran y datos de pago. Una fuga de esa información expone datos de salud de los vecinos. Por eso usamos DevSecOps: cada cambio al código debe pasar controles automáticos antes de llegar al servidor de la farmacia, porque nadie en la farmacia va a revisar el código a mano.</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3. Mini-SRS actualizado</w:t>
      </w:r>
    </w:p>
    <w:tbl>
      <w:tblPr>
        <w:tblW w:w="0" w:type="auto"/>
        <w:jc w:val="center"/>
        <w:tblLayout w:type="fixed"/>
        <w:tblLook w:val="04A0" w:firstRow="1" w:lastRow="0" w:firstColumn="1" w:lastColumn="0" w:noHBand="0" w:noVBand="1"/>
      </w:tblPr>
      <w:tblGrid>
        <w:gridCol w:w="3120"/>
        <w:gridCol w:w="3120"/>
        <w:gridCol w:w="3120"/>
      </w:tblGrid>
      <w:tr w:rsidR="00864400" w:rsidRPr="000B69CF" w14:paraId="0376340E" w14:textId="77777777">
        <w:trPr>
          <w:jc w:val="center"/>
        </w:trPr>
        <w:tc>
          <w:tcPr>
            <w:tcW w:w="3120" w:type="dxa"/>
            <w:shd w:val="clear" w:color="auto" w:fill="102C57"/>
            <w:tcMar>
              <w:top w:w="80" w:type="dxa"/>
              <w:left w:w="100" w:type="dxa"/>
              <w:bottom w:w="80" w:type="dxa"/>
              <w:right w:w="100" w:type="dxa"/>
            </w:tcMar>
          </w:tcPr>
          <w:p w14:paraId="6B9F4C5A" w14:textId="77777777" w:rsidR="00864400" w:rsidRDefault="00000000">
            <w:proofErr w:type="spellStart"/>
            <w:r>
              <w:rPr>
                <w:rFonts w:ascii="Calibri" w:hAnsi="Calibri"/>
                <w:b/>
                <w:color w:val="FFFFFF"/>
                <w:sz w:val="19"/>
              </w:rPr>
              <w:t xml:space="preserve">Id</w:t>
            </w:r>
            <w:proofErr w:type="spellEnd"/>
          </w:p>
        </w:tc>
        <w:tc>
          <w:tcPr>
            <w:tcW w:w="3120" w:type="dxa"/>
            <w:shd w:val="clear" w:color="auto" w:fill="102C57"/>
            <w:tcMar>
              <w:top w:w="80" w:type="dxa"/>
              <w:left w:w="100" w:type="dxa"/>
              <w:bottom w:w="80" w:type="dxa"/>
              <w:right w:w="100" w:type="dxa"/>
            </w:tcMar>
          </w:tcPr>
          <w:p w14:paraId="5941093D" w14:textId="77777777" w:rsidR="00864400" w:rsidRDefault="00000000">
            <w:r>
              <w:rPr>
                <w:rFonts w:ascii="Calibri" w:hAnsi="Calibri"/>
                <w:b/>
                <w:color w:val="FFFFFF"/>
                <w:sz w:val="19"/>
              </w:rPr>
              <w:t xml:space="preserve">Requisito</w:t>
            </w:r>
          </w:p>
        </w:tc>
        <w:tc>
          <w:tcPr>
            <w:tcW w:w="3120" w:type="dxa"/>
            <w:shd w:val="clear" w:color="auto" w:fill="102C57"/>
            <w:tcMar>
              <w:top w:w="80" w:type="dxa"/>
              <w:left w:w="100" w:type="dxa"/>
              <w:bottom w:w="80" w:type="dxa"/>
              <w:right w:w="100" w:type="dxa"/>
            </w:tcMar>
          </w:tcPr>
          <w:p w14:paraId="2F0C3C68" w14:textId="77777777" w:rsidR="00864400" w:rsidRPr="000B69CF" w:rsidRDefault="00000000">
            <w:pPr>
              <w:rPr>
                <w:lang w:val="es-GT"/>
              </w:rPr>
            </w:pPr>
            <w:r w:rsidRPr="000B69CF">
              <w:rPr>
                <w:rFonts w:ascii="Calibri" w:hAnsi="Calibri"/>
                <w:b/>
                <w:color w:val="FFFFFF"/>
                <w:sz w:val="19"/>
                <w:lang w:val="es-GT"/>
              </w:rPr>
              <w:t xml:space="preserve">Criterio de aceptación</w:t>
            </w:r>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RF-01</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Registrar pedido</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POST /api/v1/ventas recibe teléfono, productos y método de pago, y responde 201 con el número de venta y el total.</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RF-02</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Total calculado por el servidor</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El total se calcula con los precios guardados en la base. Si el cliente manda un total, se ignora.</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RF-03</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Bloqueo de controlados</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Un producto marcado como controlado sin número de receta (formato MS-123456) se rechaza con 400.</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RF-04</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Control de existencias</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Si no hay existencias suficientes, la API responde 409 y no registra la venta. Si se vende, se descuenta.</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RNF-01</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Compuertas del pipeline</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Ningún commit llega a imagen ni a despliegue si falla Gitleaks, las pruebas, Semgrep o Trivy (CVE alto o crítico).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RNF-02</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Confidencialidad del cliente</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El teléfono se guarda enmascarado (55****56) y todos los endpoints de datos exigen llave de acceso.</w:t>
            </w:r>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2B84BEE6" w14:textId="77777777" w:rsidR="00864400" w:rsidRPr="000B69CF" w:rsidRDefault="00000000">
      <w:pPr>
        <w:keepNext/>
        <w:spacing w:before="240" w:after="80"/>
        <w:rPr>
          <w:lang w:val="es-GT"/>
        </w:rPr>
      </w:pPr>
      <w:r w:rsidRPr="000B69CF">
        <w:rPr>
          <w:rFonts w:ascii="Calibri" w:hAnsi="Calibri"/>
          <w:b/>
          <w:color w:val="35598E"/>
          <w:sz w:val="25"/>
          <w:lang w:val="es-GT"/>
        </w:rPr>
        <w:t xml:space="preserve">Historia de usuario principal</w:t>
      </w:r>
      <w:proofErr w:type="spellStart"/>
      <w:proofErr w:type="spellEnd"/>
    </w:p>
    <w:tbl>
      <w:tblPr>
        <w:tblW w:w="0" w:type="auto"/>
        <w:jc w:val="center"/>
        <w:tblLayout w:type="fixed"/>
        <w:tblLook w:val="04A0" w:firstRow="1" w:lastRow="0" w:firstColumn="1" w:lastColumn="0" w:noHBand="0" w:noVBand="1"/>
      </w:tblPr>
      <w:tblGrid>
        <w:gridCol w:w="9360"/>
      </w:tblGrid>
      <w:tr w:rsidR="00864400" w:rsidRPr="000B69CF" w14:paraId="59C0AD71" w14:textId="77777777">
        <w:trPr>
          <w:jc w:val="center"/>
        </w:trPr>
        <w:tc>
          <w:tcPr>
            <w:tcW w:w="9360" w:type="dxa"/>
            <w:shd w:val="clear" w:color="auto" w:fill="F8FAFC"/>
            <w:tcMar>
              <w:top w:w="80" w:type="dxa"/>
              <w:left w:w="120" w:type="dxa"/>
              <w:bottom w:w="80" w:type="dxa"/>
              <w:right w:w="120" w:type="dxa"/>
            </w:tcMar>
          </w:tcPr>
          <w:p w14:paraId="116E9116" w14:textId="77777777" w:rsidR="00864400" w:rsidRPr="000B69CF" w:rsidRDefault="00000000">
            <w:pPr>
              <w:rPr>
                <w:lang w:val="es-GT"/>
              </w:rPr>
            </w:pPr>
            <w:r w:rsidRPr="000B69CF">
              <w:rPr>
                <w:b/>
                <w:color w:val="102C57"/>
                <w:lang w:val="es-GT"/>
              </w:rPr>
              <w:t xml:space="preserve">HU-01. Como dependiente de la farmacia, quiero registrar un pedido de WhatsApp y que el sistema me diga el total y si puedo despacharlo, para no vender controlados sin receta ni productos que ya no tengo.</w:t>
              <w:br/>
              <w:t xml:space="preserve">Dado un pedido de 2 cajas de acetaminofén, cuando lo registro, entonces el sistema responde 201 con total Q17.00 y descuenta 2 unidades.</w:t>
              <w:br/>
              <w:t xml:space="preserve">Dado un pedido de clonazepam sin número de receta, cuando lo registro, entonces el sistema lo rechaza con 400 e indica que necesita receta.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2C1FDD2" w14:textId="77777777" w:rsidR="00864400" w:rsidRDefault="00864400">
      <w:pPr>
        <w:spacing w:after="120"/>
      </w:pPr>
    </w:p>
    <w:tbl>
      <w:tblPr>
        <w:tblW w:w="0" w:type="auto"/>
        <w:jc w:val="center"/>
        <w:tblLayout w:type="fixed"/>
        <w:tblLook w:val="04A0" w:firstRow="1" w:lastRow="0" w:firstColumn="1" w:lastColumn="0" w:noHBand="0" w:noVBand="1"/>
      </w:tblPr>
      <w:tblGrid>
        <w:gridCol w:w="9360"/>
      </w:tblGrid>
      <w:tr w:rsidR="00864400" w:rsidRPr="000B69CF" w14:paraId="59C0AD71" w14:textId="77777777">
        <w:trPr>
          <w:jc w:val="center"/>
        </w:trPr>
        <w:tc>
          <w:tcPr>
            <w:tcW w:w="9360" w:type="dxa"/>
            <w:shd w:val="clear" w:color="auto" w:fill="F8FAFC"/>
            <w:tcMar>
              <w:top w:w="80" w:type="dxa"/>
              <w:left w:w="120" w:type="dxa"/>
              <w:bottom w:w="80" w:type="dxa"/>
              <w:right w:w="120" w:type="dxa"/>
            </w:tcMar>
          </w:tcPr>
          <w:p w14:paraId="116E9116" w14:textId="77777777" w:rsidR="00864400" w:rsidRPr="000B69CF" w:rsidRDefault="00000000">
            <w:pPr>
              <w:rPr>
                <w:lang w:val="es-GT"/>
              </w:rPr>
            </w:pPr>
            <w:r w:rsidRPr="000B69CF">
              <w:rPr>
                <w:b/>
                <w:color w:val="102C57"/>
                <w:lang w:val="es-GT"/>
              </w:rPr>
              <w:t xml:space="preserve">HU-02. Como encargado del sistema, quiero que cada cambio pase por controles de seguridad automáticos, para que un error de un compañero no termine en el servidor de la farmacia.</w:t>
              <w:br/>
              <w:t xml:space="preserve">Dado un commit que agrega una dependencia con CVE alto, cuando corre el pipeline, entonces el job de Trivy falla y no se construye la imagen.</w:t>
              <w:br/>
              <w:t xml:space="preserve">Dado un commit que trae una llave en el código, cuando corre el pipeline, entonces Gitleaks lo detecta y el pipeline queda en rojo.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4. Prototipo construido</w:t>
      </w:r>
    </w:p>
    <w:p w14:paraId="3EA56EFA" w14:textId="77777777" w:rsidR="00864400" w:rsidRPr="000B69CF" w:rsidRDefault="00000000">
      <w:pPr>
        <w:spacing w:after="120"/>
        <w:rPr>
          <w:lang w:val="es-GT"/>
        </w:rPr>
      </w:pPr>
      <w:r w:rsidRPr="000B69CF">
        <w:rPr>
          <w:lang w:val="es-GT"/>
        </w:rPr>
        <w:t xml:space="preserve">Repositorio: https://github.com/danielpazortega16/farmacia-devsecops</w:t>
      </w:r>
      <w:proofErr w:type="gramStart"/>
      <w:proofErr w:type="gramEnd"/>
    </w:p>
    <w:p w14:paraId="3EA56EFA" w14:textId="77777777" w:rsidR="00864400" w:rsidRPr="000B69CF" w:rsidRDefault="00000000">
      <w:pPr>
        <w:spacing w:after="120"/>
        <w:rPr>
          <w:lang w:val="es-GT"/>
        </w:rPr>
      </w:pPr>
      <w:r w:rsidRPr="000B69CF">
        <w:rPr>
          <w:lang w:val="es-GT"/>
        </w:rPr>
        <w:t xml:space="preserve">El prototipo es una API en Python con FastAPI y SQLite, empaquetada con Docker. Elegimos una sola funcionalidad de punta a punta: registrar un pedido con todas sus validaciones. Tiene 11 pruebas unitarias que cubren los casos del Mini-SRS.</w:t>
      </w:r>
      <w:proofErr w:type="gramStart"/>
      <w:proofErr w:type="gramEnd"/>
    </w:p>
    <w:tbl>
      <w:tblPr>
        <w:tblW w:w="0" w:type="auto"/>
        <w:jc w:val="center"/>
        <w:tblLayout w:type="fixed"/>
        <w:tblLook w:val="04A0" w:firstRow="1" w:lastRow="0" w:firstColumn="1" w:lastColumn="0" w:noHBand="0" w:noVBand="1"/>
      </w:tblPr>
      <w:tblGrid>
        <w:gridCol w:w="3120"/>
        <w:gridCol w:w="3120"/>
        <w:gridCol w:w="3120"/>
      </w:tblGrid>
      <w:tr w:rsidR="00864400" w:rsidRPr="000B69CF" w14:paraId="0376340E" w14:textId="77777777">
        <w:trPr>
          <w:jc w:val="center"/>
        </w:trPr>
        <w:tc>
          <w:tcPr>
            <w:tcW w:w="3120" w:type="dxa"/>
            <w:shd w:val="clear" w:color="auto" w:fill="102C57"/>
            <w:tcMar>
              <w:top w:w="80" w:type="dxa"/>
              <w:left w:w="100" w:type="dxa"/>
              <w:bottom w:w="80" w:type="dxa"/>
              <w:right w:w="100" w:type="dxa"/>
            </w:tcMar>
          </w:tcPr>
          <w:p w14:paraId="6B9F4C5A" w14:textId="77777777" w:rsidR="00864400" w:rsidRDefault="00000000">
            <w:proofErr w:type="spellStart"/>
            <w:r>
              <w:rPr>
                <w:rFonts w:ascii="Calibri" w:hAnsi="Calibri"/>
                <w:b/>
                <w:color w:val="FFFFFF"/>
                <w:sz w:val="19"/>
              </w:rPr>
              <w:t xml:space="preserve">Endpoint</w:t>
            </w:r>
            <w:proofErr w:type="spellEnd"/>
          </w:p>
        </w:tc>
        <w:tc>
          <w:tcPr>
            <w:tcW w:w="3120" w:type="dxa"/>
            <w:shd w:val="clear" w:color="auto" w:fill="102C57"/>
            <w:tcMar>
              <w:top w:w="80" w:type="dxa"/>
              <w:left w:w="100" w:type="dxa"/>
              <w:bottom w:w="80" w:type="dxa"/>
              <w:right w:w="100" w:type="dxa"/>
            </w:tcMar>
          </w:tcPr>
          <w:p w14:paraId="5941093D" w14:textId="77777777" w:rsidR="00864400" w:rsidRDefault="00000000">
            <w:r>
              <w:rPr>
                <w:rFonts w:ascii="Calibri" w:hAnsi="Calibri"/>
                <w:b/>
                <w:color w:val="FFFFFF"/>
                <w:sz w:val="19"/>
              </w:rPr>
              <w:t xml:space="preserve">Método</w:t>
            </w:r>
          </w:p>
        </w:tc>
        <w:tc>
          <w:tcPr>
            <w:tcW w:w="3120" w:type="dxa"/>
            <w:shd w:val="clear" w:color="auto" w:fill="102C57"/>
            <w:tcMar>
              <w:top w:w="80" w:type="dxa"/>
              <w:left w:w="100" w:type="dxa"/>
              <w:bottom w:w="80" w:type="dxa"/>
              <w:right w:w="100" w:type="dxa"/>
            </w:tcMar>
          </w:tcPr>
          <w:p w14:paraId="2F0C3C68" w14:textId="77777777" w:rsidR="00864400" w:rsidRPr="000B69CF" w:rsidRDefault="00000000">
            <w:pPr>
              <w:rPr>
                <w:lang w:val="es-GT"/>
              </w:rPr>
            </w:pPr>
            <w:r w:rsidRPr="000B69CF">
              <w:rPr>
                <w:rFonts w:ascii="Calibri" w:hAnsi="Calibri"/>
                <w:b/>
                <w:color w:val="FFFFFF"/>
                <w:sz w:val="19"/>
                <w:lang w:val="es-GT"/>
              </w:rPr>
              <w:t xml:space="preserve">Qué hace</w:t>
            </w:r>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/salud</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GET</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Estado del servicio. Lo usa la prueba de humo del despliegue.</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/api/v1/productos</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GET</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Catálogo con precios y existencias.</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/api/v1/ventas</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POST</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Registra el pedido, valida receta y existencias, y calcula el total.</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/api/v1/ventas/{id}</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GET</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Consulta una venta con su detalle.</w:t>
            </w:r>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5. Pipeline DevSecOps</w:t>
      </w:r>
    </w:p>
    <w:p w14:paraId="3EA56EFA" w14:textId="77777777" w:rsidR="00864400" w:rsidRPr="000B69CF" w:rsidRDefault="00000000">
      <w:pPr>
        <w:spacing w:after="120"/>
        <w:rPr>
          <w:lang w:val="es-GT"/>
        </w:rPr>
      </w:pPr>
      <w:r w:rsidRPr="000B69CF">
        <w:rPr>
          <w:lang w:val="es-GT"/>
        </w:rPr>
        <w:t xml:space="preserve">El pipeline está en .github/workflows/devsecops.yml y corre en GitHub Actions con cada push a main y con cada pull request.</w:t>
      </w:r>
      <w:proofErr w:type="gramStart"/>
      <w:proofErr w:type="gramEnd"/>
    </w:p>
    <w:tbl>
      <w:tblPr>
        <w:tblW w:w="0" w:type="auto"/>
        <w:jc w:val="center"/>
        <w:tblLayout w:type="fixed"/>
        <w:tblLook w:val="04A0" w:firstRow="1" w:lastRow="0" w:firstColumn="1" w:lastColumn="0" w:noHBand="0" w:noVBand="1"/>
      </w:tblPr>
      <w:tblGrid>
        <w:gridCol w:w="3120"/>
        <w:gridCol w:w="3120"/>
        <w:gridCol w:w="3120"/>
      </w:tblGrid>
      <w:tr w:rsidR="00864400" w:rsidRPr="000B69CF" w14:paraId="0376340E" w14:textId="77777777">
        <w:trPr>
          <w:jc w:val="center"/>
        </w:trPr>
        <w:tc>
          <w:tcPr>
            <w:tcW w:w="3120" w:type="dxa"/>
            <w:shd w:val="clear" w:color="auto" w:fill="102C57"/>
            <w:tcMar>
              <w:top w:w="80" w:type="dxa"/>
              <w:left w:w="100" w:type="dxa"/>
              <w:bottom w:w="80" w:type="dxa"/>
              <w:right w:w="100" w:type="dxa"/>
            </w:tcMar>
          </w:tcPr>
          <w:p w14:paraId="6B9F4C5A" w14:textId="77777777" w:rsidR="00864400" w:rsidRDefault="00000000">
            <w:proofErr w:type="spellStart"/>
            <w:r>
              <w:rPr>
                <w:rFonts w:ascii="Calibri" w:hAnsi="Calibri"/>
                <w:b/>
                <w:color w:val="FFFFFF"/>
                <w:sz w:val="19"/>
              </w:rPr>
              <w:t xml:space="preserve">Etapa</w:t>
            </w:r>
            <w:proofErr w:type="spellEnd"/>
          </w:p>
        </w:tc>
        <w:tc>
          <w:tcPr>
            <w:tcW w:w="3120" w:type="dxa"/>
            <w:shd w:val="clear" w:color="auto" w:fill="102C57"/>
            <w:tcMar>
              <w:top w:w="80" w:type="dxa"/>
              <w:left w:w="100" w:type="dxa"/>
              <w:bottom w:w="80" w:type="dxa"/>
              <w:right w:w="100" w:type="dxa"/>
            </w:tcMar>
          </w:tcPr>
          <w:p w14:paraId="5941093D" w14:textId="77777777" w:rsidR="00864400" w:rsidRDefault="00000000">
            <w:r>
              <w:rPr>
                <w:rFonts w:ascii="Calibri" w:hAnsi="Calibri"/>
                <w:b/>
                <w:color w:val="FFFFFF"/>
                <w:sz w:val="19"/>
              </w:rPr>
              <w:t xml:space="preserve">Herramienta</w:t>
            </w:r>
          </w:p>
        </w:tc>
        <w:tc>
          <w:tcPr>
            <w:tcW w:w="3120" w:type="dxa"/>
            <w:shd w:val="clear" w:color="auto" w:fill="102C57"/>
            <w:tcMar>
              <w:top w:w="80" w:type="dxa"/>
              <w:left w:w="100" w:type="dxa"/>
              <w:bottom w:w="80" w:type="dxa"/>
              <w:right w:w="100" w:type="dxa"/>
            </w:tcMar>
          </w:tcPr>
          <w:p w14:paraId="2F0C3C68" w14:textId="77777777" w:rsidR="00864400" w:rsidRPr="000B69CF" w:rsidRDefault="00000000">
            <w:pPr>
              <w:rPr>
                <w:lang w:val="es-GT"/>
              </w:rPr>
            </w:pPr>
            <w:r w:rsidRPr="000B69CF">
              <w:rPr>
                <w:rFonts w:ascii="Calibri" w:hAnsi="Calibri"/>
                <w:b/>
                <w:color w:val="FFFFFF"/>
                <w:sz w:val="19"/>
                <w:lang w:val="es-GT"/>
              </w:rPr>
              <w:t xml:space="preserve">Cuándo falla</w:t>
            </w:r>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Secretos</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Gitleaks 8.21</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Encuentra llaves, tokens o contraseñas en cualquier commit del historial.</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Pruebas</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pytest</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Cualquiera de las 11 pruebas falla.</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SAST</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Semgrep (reglas Python y OWASP Top 10)</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Hallazgo de severidad ERROR o WARNING en el código de app/.</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SCA</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Trivy</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Alguna dependencia de requirements.txt tiene un CVE alto o crítico.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Imagen</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Docker + Trivy</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La imagen construida tiene vulnerabilidades críticas.</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Despliegue</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GHCR + contenedor</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La prueba de humo no responde o /api/v1/productos no exige llave.</w:t>
            </w:r>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3EA56EFA" w14:textId="77777777" w:rsidR="00864400" w:rsidRPr="000B69CF" w:rsidRDefault="00000000">
      <w:pPr>
        <w:spacing w:after="120"/>
        <w:rPr>
          <w:lang w:val="es-GT"/>
        </w:rPr>
      </w:pPr>
      <w:r w:rsidRPr="000B69CF">
        <w:rPr>
          <w:lang w:val="es-GT"/>
        </w:rPr>
        <w:t xml:space="preserve">Las cuatro primeras etapas corren en paralelo y el despliegue depende de las cuatro. Así cumplimos el RNF-01: si una sola falla, no se construye nada.</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6. Ensayo de la demo (dry-run)</w:t>
      </w:r>
    </w:p>
    <w:p w14:paraId="3EA56EFA" w14:textId="77777777" w:rsidR="00864400" w:rsidRPr="000B69CF" w:rsidRDefault="00000000">
      <w:pPr>
        <w:spacing w:after="120"/>
        <w:rPr>
          <w:lang w:val="es-GT"/>
        </w:rPr>
      </w:pPr>
      <w:r w:rsidRPr="000B69CF">
        <w:rPr>
          <w:lang w:val="es-GT"/>
        </w:rPr>
        <w:t xml:space="preserve">Hicimos el ensayo siguiendo el guion que está en docs/guion-demo.md del repositorio. El orden es este:</w:t>
      </w:r>
      <w:proofErr w:type="gramStart"/>
      <w:proofErr w:type="gramEnd"/>
    </w:p>
    <w:tbl>
      <w:tblPr>
        <w:tblW w:w="0" w:type="auto"/>
        <w:jc w:val="center"/>
        <w:tblLayout w:type="fixed"/>
        <w:tblLook w:val="04A0" w:firstRow="1" w:lastRow="0" w:firstColumn="1" w:lastColumn="0" w:noHBand="0" w:noVBand="1"/>
      </w:tblPr>
      <w:tblGrid>
        <w:gridCol w:w="3120"/>
        <w:gridCol w:w="3120"/>
        <w:gridCol w:w="3120"/>
      </w:tblGrid>
      <w:tr w:rsidR="00864400" w:rsidRPr="000B69CF" w14:paraId="0376340E" w14:textId="77777777">
        <w:trPr>
          <w:jc w:val="center"/>
        </w:trPr>
        <w:tc>
          <w:tcPr>
            <w:tcW w:w="3120" w:type="dxa"/>
            <w:shd w:val="clear" w:color="auto" w:fill="102C57"/>
            <w:tcMar>
              <w:top w:w="80" w:type="dxa"/>
              <w:left w:w="100" w:type="dxa"/>
              <w:bottom w:w="80" w:type="dxa"/>
              <w:right w:w="100" w:type="dxa"/>
            </w:tcMar>
          </w:tcPr>
          <w:p w14:paraId="6B9F4C5A" w14:textId="77777777" w:rsidR="00864400" w:rsidRDefault="00000000">
            <w:proofErr w:type="spellStart"/>
            <w:r>
              <w:rPr>
                <w:rFonts w:ascii="Calibri" w:hAnsi="Calibri"/>
                <w:b/>
                <w:color w:val="FFFFFF"/>
                <w:sz w:val="19"/>
              </w:rPr>
              <w:t xml:space="preserve">Bloque</w:t>
            </w:r>
            <w:proofErr w:type="spellEnd"/>
          </w:p>
        </w:tc>
        <w:tc>
          <w:tcPr>
            <w:tcW w:w="3120" w:type="dxa"/>
            <w:shd w:val="clear" w:color="auto" w:fill="102C57"/>
            <w:tcMar>
              <w:top w:w="80" w:type="dxa"/>
              <w:left w:w="100" w:type="dxa"/>
              <w:bottom w:w="80" w:type="dxa"/>
              <w:right w:w="100" w:type="dxa"/>
            </w:tcMar>
          </w:tcPr>
          <w:p w14:paraId="5941093D" w14:textId="77777777" w:rsidR="00864400" w:rsidRDefault="00000000">
            <w:r>
              <w:rPr>
                <w:rFonts w:ascii="Calibri" w:hAnsi="Calibri"/>
                <w:b/>
                <w:color w:val="FFFFFF"/>
                <w:sz w:val="19"/>
              </w:rPr>
              <w:t xml:space="preserve">Tiempo</w:t>
            </w:r>
          </w:p>
        </w:tc>
        <w:tc>
          <w:tcPr>
            <w:tcW w:w="3120" w:type="dxa"/>
            <w:shd w:val="clear" w:color="auto" w:fill="102C57"/>
            <w:tcMar>
              <w:top w:w="80" w:type="dxa"/>
              <w:left w:w="100" w:type="dxa"/>
              <w:bottom w:w="80" w:type="dxa"/>
              <w:right w:w="100" w:type="dxa"/>
            </w:tcMar>
          </w:tcPr>
          <w:p w14:paraId="2F0C3C68" w14:textId="77777777" w:rsidR="00864400" w:rsidRPr="000B69CF" w:rsidRDefault="00000000">
            <w:pPr>
              <w:rPr>
                <w:lang w:val="es-GT"/>
              </w:rPr>
            </w:pPr>
            <w:r w:rsidRPr="000B69CF">
              <w:rPr>
                <w:rFonts w:ascii="Calibri" w:hAnsi="Calibri"/>
                <w:b/>
                <w:color w:val="FFFFFF"/>
                <w:sz w:val="19"/>
                <w:lang w:val="es-GT"/>
              </w:rPr>
              <w:t xml:space="preserve">Qué se muestra</w:t>
            </w:r>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La app funcionando</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1.5 min</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Venta válida, total manipulado que se ignora, controlado sin receta (400) y con receta (201).</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Commit limpio</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2 min</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Push a main y el pipeline completo en verde hasta la prueba de humo.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Dependencia vulnerable</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1.5 min</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PR con requests 2.19.0. Trivy lo bloquea y no se construye la imagen.</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Secreto en el código</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1.5 min</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PR con una llave de Stripe falsa. Gitleaks lo detecta.</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Cierre</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0.5 min</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Volver al run en verde y explicar las compuertas.</w:t>
            </w:r>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2B84BEE6" w14:textId="77777777" w:rsidR="00864400" w:rsidRPr="000B69CF" w:rsidRDefault="00000000">
      <w:pPr>
        <w:keepNext/>
        <w:spacing w:before="240" w:after="80"/>
        <w:rPr>
          <w:lang w:val="es-GT"/>
        </w:rPr>
      </w:pPr>
      <w:r w:rsidRPr="000B69CF">
        <w:rPr>
          <w:rFonts w:ascii="Calibri" w:hAnsi="Calibri"/>
          <w:b/>
          <w:color w:val="35598E"/>
          <w:sz w:val="25"/>
          <w:lang w:val="es-GT"/>
        </w:rPr>
        <w:t xml:space="preserve">Lo que aprendimos del ensayo</w:t>
      </w:r>
      <w:proofErr w:type="spellStart"/>
      <w:proofErr w:type="spellEnd"/>
    </w:p>
    <w:p w14:paraId="3EA56EFA" w14:textId="77777777" w:rsidR="00864400" w:rsidRPr="000B69CF" w:rsidRDefault="00000000">
      <w:pPr>
        <w:spacing w:after="120"/>
        <w:rPr>
          <w:lang w:val="es-GT"/>
        </w:rPr>
      </w:pPr>
      <w:r w:rsidRPr="000B69CF">
        <w:rPr>
          <w:lang w:val="es-GT"/>
        </w:rPr>
        <w:t xml:space="preserve">La primera corrida del pipeline tarda un poco más porque descarga las imágenes de Gitleaks y Trivy. Para la presentación vamos a dejar un run reciente abierto en otra pestaña por si la red del salón está lenta.</w:t>
        <w:br/>
        <w:t xml:space="preserve">El ejemplo de la dependencia vulnerable conviene hacerlo como pull request y no directo en main, para que se vea que el despliegue ni siquiera arranca.</w:t>
        <w:br/>
        <w:t xml:space="preserve">Nos falta practicar los tiempos: la parte de la app se nos alargó y hay que recortarla.</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7. Kanban y reparto de tareas</w:t>
      </w:r>
    </w:p>
    <w:p w14:paraId="3EA56EFA" w14:textId="77777777" w:rsidR="00864400" w:rsidRPr="000B69CF" w:rsidRDefault="00000000">
      <w:pPr>
        <w:spacing w:after="120"/>
        <w:rPr>
          <w:lang w:val="es-GT"/>
        </w:rPr>
      </w:pPr>
      <w:r w:rsidRPr="000B69CF">
        <w:rPr>
          <w:lang w:val="es-GT"/>
        </w:rPr>
        <w:t xml:space="preserve">Llevamos el tablero en GitHub Projects, dentro del mismo repositorio. Este es el estado al cierre del Hito 2:</w:t>
      </w:r>
      <w:proofErr w:type="gramStart"/>
      <w:proofErr w:type="gramEnd"/>
    </w:p>
    <w:tbl>
      <w:tblPr>
        <w:tblW w:w="0" w:type="auto"/>
        <w:jc w:val="center"/>
        <w:tblLayout w:type="fixed"/>
        <w:tblLook w:val="04A0" w:firstRow="1" w:lastRow="0" w:firstColumn="1" w:lastColumn="0" w:noHBand="0" w:noVBand="1"/>
      </w:tblPr>
      <w:tblGrid>
        <w:gridCol w:w="3120"/>
        <w:gridCol w:w="3120"/>
        <w:gridCol w:w="3120"/>
      </w:tblGrid>
      <w:tr w:rsidR="00864400" w:rsidRPr="000B69CF" w14:paraId="0376340E" w14:textId="77777777">
        <w:trPr>
          <w:jc w:val="center"/>
        </w:trPr>
        <w:tc>
          <w:tcPr>
            <w:tcW w:w="3120" w:type="dxa"/>
            <w:shd w:val="clear" w:color="auto" w:fill="102C57"/>
            <w:tcMar>
              <w:top w:w="80" w:type="dxa"/>
              <w:left w:w="100" w:type="dxa"/>
              <w:bottom w:w="80" w:type="dxa"/>
              <w:right w:w="100" w:type="dxa"/>
            </w:tcMar>
          </w:tcPr>
          <w:p w14:paraId="6B9F4C5A" w14:textId="77777777" w:rsidR="00864400" w:rsidRDefault="00000000">
            <w:proofErr w:type="spellStart"/>
            <w:r>
              <w:rPr>
                <w:rFonts w:ascii="Calibri" w:hAnsi="Calibri"/>
                <w:b/>
                <w:color w:val="FFFFFF"/>
                <w:sz w:val="19"/>
              </w:rPr>
              <w:t xml:space="preserve">Integrante</w:t>
            </w:r>
            <w:proofErr w:type="spellEnd"/>
          </w:p>
        </w:tc>
        <w:tc>
          <w:tcPr>
            <w:tcW w:w="3120" w:type="dxa"/>
            <w:shd w:val="clear" w:color="auto" w:fill="102C57"/>
            <w:tcMar>
              <w:top w:w="80" w:type="dxa"/>
              <w:left w:w="100" w:type="dxa"/>
              <w:bottom w:w="80" w:type="dxa"/>
              <w:right w:w="100" w:type="dxa"/>
            </w:tcMar>
          </w:tcPr>
          <w:p w14:paraId="5941093D" w14:textId="77777777" w:rsidR="00864400" w:rsidRDefault="00000000">
            <w:r>
              <w:rPr>
                <w:rFonts w:ascii="Calibri" w:hAnsi="Calibri"/>
                <w:b/>
                <w:color w:val="FFFFFF"/>
                <w:sz w:val="19"/>
              </w:rPr>
              <w:t xml:space="preserve">Tareas</w:t>
            </w:r>
          </w:p>
        </w:tc>
        <w:tc>
          <w:tcPr>
            <w:tcW w:w="3120" w:type="dxa"/>
            <w:shd w:val="clear" w:color="auto" w:fill="102C57"/>
            <w:tcMar>
              <w:top w:w="80" w:type="dxa"/>
              <w:left w:w="100" w:type="dxa"/>
              <w:bottom w:w="80" w:type="dxa"/>
              <w:right w:w="100" w:type="dxa"/>
            </w:tcMar>
          </w:tcPr>
          <w:p w14:paraId="2F0C3C68" w14:textId="77777777" w:rsidR="00864400" w:rsidRPr="000B69CF" w:rsidRDefault="00000000">
            <w:pPr>
              <w:rPr>
                <w:lang w:val="es-GT"/>
              </w:rPr>
            </w:pPr>
            <w:r w:rsidRPr="000B69CF">
              <w:rPr>
                <w:rFonts w:ascii="Calibri" w:hAnsi="Calibri"/>
                <w:b/>
                <w:color w:val="FFFFFF"/>
                <w:sz w:val="19"/>
                <w:lang w:val="es-GT"/>
              </w:rPr>
              <w:t xml:space="preserve">Estado</w:t>
            </w:r>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Jonathan García</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Replanteo del problema con la farmacia, Mini-SRS e historias de usuario</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Hecho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José Ricardo Guerra</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Diagrama C4 actualizado y trade-offs</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En progreso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Walter Herrera</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Pruebas unitarias y plan de calidad ISO 25010</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Pruebas hechas, plan en progreso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José Daniel Paz</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API, Dockerfile y pipeline de GitHub Actions</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Hecho</w:t>
            </w:r>
            <w:proofErr w:type="spellStart"/>
            <w:proofErr w:type="spellEnd"/>
            <w:proofErr w:type="spellStart"/>
            <w:proofErr w:type="spellEnd"/>
            <w:proofErr w:type="spellStart"/>
            <w:proofErr w:type="spellEnd"/>
          </w:p>
        </w:tc>
      </w:tr>
      <w:tr w:rsidR="00864400" w:rsidRPr="000B69CF" w14:paraId="13C2FC51" w14:textId="77777777">
        <w:trPr>
          <w:jc w:val="center"/>
        </w:trPr>
        <w:tc>
          <w:tcPr>
            <w:tcW w:w="3120" w:type="dxa"/>
            <w:shd w:val="clear" w:color="auto" w:fill="F1F5F9"/>
            <w:tcMar>
              <w:top w:w="60" w:type="dxa"/>
              <w:left w:w="80" w:type="dxa"/>
              <w:bottom w:w="60" w:type="dxa"/>
              <w:right w:w="80" w:type="dxa"/>
            </w:tcMar>
          </w:tcPr>
          <w:p w14:paraId="68B7C17E" w14:textId="77777777" w:rsidR="00864400" w:rsidRDefault="00000000">
            <w:pPr>
              <w:jc w:val="center"/>
            </w:pPr>
            <w:r>
              <w:rPr>
                <w:rFonts w:ascii="Calibri" w:hAnsi="Calibri"/>
                <w:b/>
                <w:color w:val="222222"/>
                <w:sz w:val="18"/>
              </w:rPr>
              <w:t xml:space="preserve">Julio Portillo</w:t>
            </w:r>
          </w:p>
        </w:tc>
        <w:tc>
          <w:tcPr>
            <w:tcW w:w="3120" w:type="dxa"/>
            <w:shd w:val="clear" w:color="auto" w:fill="F1F5F9"/>
            <w:tcMar>
              <w:top w:w="60" w:type="dxa"/>
              <w:left w:w="80" w:type="dxa"/>
              <w:bottom w:w="60" w:type="dxa"/>
              <w:right w:w="80" w:type="dxa"/>
            </w:tcMar>
          </w:tcPr>
          <w:p w14:paraId="6C86F8C1" w14:textId="77777777" w:rsidR="00864400" w:rsidRPr="000B69CF" w:rsidRDefault="00000000">
            <w:pPr>
              <w:rPr>
                <w:lang w:val="es-GT"/>
              </w:rPr>
            </w:pPr>
            <w:r w:rsidRPr="000B69CF">
              <w:rPr>
                <w:rFonts w:ascii="Calibri" w:hAnsi="Calibri"/>
                <w:color w:val="222222"/>
                <w:sz w:val="18"/>
                <w:lang w:val="es-GT"/>
              </w:rPr>
              <w:t xml:space="preserve">Análisis CIA, riesgos OWASP y casos de la demo de seguridad</w:t>
            </w:r>
          </w:p>
        </w:tc>
        <w:tc>
          <w:tcPr>
            <w:tcW w:w="3120" w:type="dxa"/>
            <w:shd w:val="clear" w:color="auto" w:fill="F1F5F9"/>
            <w:tcMar>
              <w:top w:w="60" w:type="dxa"/>
              <w:left w:w="80" w:type="dxa"/>
              <w:bottom w:w="60" w:type="dxa"/>
              <w:right w:w="80" w:type="dxa"/>
            </w:tcMar>
          </w:tcPr>
          <w:p w14:paraId="1101F93B" w14:textId="77777777" w:rsidR="00864400" w:rsidRPr="000B69CF" w:rsidRDefault="00000000">
            <w:pPr>
              <w:rPr>
                <w:lang w:val="es-GT"/>
              </w:rPr>
            </w:pPr>
            <w:r w:rsidRPr="000B69CF">
              <w:rPr>
                <w:rFonts w:ascii="Calibri" w:hAnsi="Calibri"/>
                <w:color w:val="222222"/>
                <w:sz w:val="18"/>
                <w:lang w:val="es-GT"/>
              </w:rPr>
              <w:t xml:space="preserve">En progreso</w:t>
            </w:r>
            <w:proofErr w:type="spellStart"/>
            <w:proofErr w:type="spellEnd"/>
            <w:proofErr w:type="spellStart"/>
            <w:proofErr w:type="spellEnd"/>
            <w:proofErr w:type="spellStart"/>
            <w:proofErr w:type="spellEnd"/>
          </w:p>
        </w:tc>
      </w:tr>
    </w:tbl>
    <w:p w14:paraId="42C1FDD2" w14:textId="77777777" w:rsidR="00864400" w:rsidRDefault="00864400">
      <w:pPr>
        <w:spacing w:after="120"/>
      </w:pPr>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8. Pendiente para la entrega final</w:t>
      </w:r>
    </w:p>
    <w:p w14:paraId="3EA56EFA" w14:textId="77777777" w:rsidR="00864400" w:rsidRPr="000B69CF" w:rsidRDefault="00000000">
      <w:pPr>
        <w:spacing w:after="120"/>
        <w:rPr>
          <w:lang w:val="es-GT"/>
        </w:rPr>
      </w:pPr>
      <w:r w:rsidRPr="000B69CF">
        <w:rPr>
          <w:lang w:val="es-GT"/>
        </w:rPr>
        <w:t xml:space="preserve">1. Actualizar el diagrama C4 con el caso de la farmacia.</w:t>
        <w:br/>
        <w:t xml:space="preserve">2. Terminar el plan de calidad: seguridad, fiabilidad y mantenibilidad (ISO/IEC 25010) y cómo se prueba cada uno.</w:t>
        <w:br/>
        <w:t xml:space="preserve">3. Terminar el análisis de seguridad: tríada CIA y los riesgos OWASP A01 (control de acceso), A04 (diseño inseguro: total enviado por el cliente) y A06 (componentes vulnerables), con su mitigación.</w:t>
        <w:br/>
        <w:t xml:space="preserve">4. Mover el despliegue de pruebas a un servicio con URL pública.</w:t>
        <w:br/>
        <w:t xml:space="preserve">5. Armar las diapositivas y ensayar con tiempo.</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9. Uso de herramientas de IA</w:t>
      </w:r>
    </w:p>
    <w:p w14:paraId="3EA56EFA" w14:textId="77777777" w:rsidR="00864400" w:rsidRPr="000B69CF" w:rsidRDefault="00000000">
      <w:pPr>
        <w:spacing w:after="120"/>
        <w:rPr>
          <w:lang w:val="es-GT"/>
        </w:rPr>
      </w:pPr>
      <w:r w:rsidRPr="000B69CF">
        <w:rPr>
          <w:lang w:val="es-GT"/>
        </w:rPr>
        <w:t xml:space="preserve">Usamos un asistente de IA como apoyo para revisar la sintaxis del workflow de GitHub Actions, resolver errores de configuración y ordenar la redacción de este informe. Las decisiones del caso, los requisitos y la elección de herramientas son del equipo. Revisamos el código generado con apoyo de la IA, lo corrimos y lo probamos, y cada integrante puede explicar la parte que le toca.</w:t>
      </w:r>
      <w:proofErr w:type="gramStart"/>
      <w:proofErr w:type="gramEnd"/>
    </w:p>
    <w:p w14:paraId="27334805" w14:textId="77777777" w:rsidR="00864400" w:rsidRPr="000B69CF" w:rsidRDefault="00000000">
      <w:pPr>
        <w:keepNext/>
        <w:spacing w:before="320" w:after="120"/>
        <w:rPr>
          <w:lang w:val="es-GT"/>
        </w:rPr>
      </w:pPr>
      <w:r w:rsidRPr="000B69CF">
        <w:rPr>
          <w:rFonts w:ascii="Calibri" w:hAnsi="Calibri"/>
          <w:b/>
          <w:color w:val="102C57"/>
          <w:sz w:val="30"/>
          <w:lang w:val="es-GT"/>
        </w:rPr>
        <w:t xml:space="preserve">10. Referencias</w:t>
      </w:r>
    </w:p>
    <w:p w14:paraId="3EA56EFA" w14:textId="77777777" w:rsidR="00864400" w:rsidRPr="000B69CF" w:rsidRDefault="00000000">
      <w:pPr>
        <w:spacing w:after="120"/>
        <w:rPr>
          <w:lang w:val="es-GT"/>
        </w:rPr>
      </w:pPr>
      <w:r w:rsidRPr="000B69CF">
        <w:rPr>
          <w:lang w:val="es-GT"/>
        </w:rPr>
        <w:t xml:space="preserve">OWASP Foundation. (2021). OWASP Top 10:2021. https://owasp.org/Top10/</w:t>
        <w:br/>
        <w:t xml:space="preserve">ISO/IEC. (2023). ISO/IEC 25010:2023 Systems and software engineering - Product quality model.</w:t>
        <w:br/>
        <w:t xml:space="preserve">GitHub. (2026). GitHub Actions documentation. https://docs.github.com/actions</w:t>
        <w:br/>
        <w:t xml:space="preserve">Aqua Security. Trivy documentation. https://trivy.dev</w:t>
        <w:br/>
        <w:t xml:space="preserve">Semgrep. Semgrep documentation. https://semgrep.dev/docs</w:t>
        <w:br/>
        <w:t xml:space="preserve">Gitleaks. https://github.com/gitleaks/gitleaks</w:t>
        <w:br/>
        <w:t xml:space="preserve">National Institute of Standards and Technology. (2022). Secure Software Development Framework (SSDF) SP 800-218.</w:t>
      </w:r>
      <w:proofErr w:type="gramStart"/>
      <w:proofErr w:type="gramEnd"/>
    </w:p>
    <w:sectPr w:rsidR="00864400" w:rsidRPr="000B69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4709784">
    <w:abstractNumId w:val="8"/>
  </w:num>
  <w:num w:numId="2" w16cid:durableId="1360357272">
    <w:abstractNumId w:val="6"/>
  </w:num>
  <w:num w:numId="3" w16cid:durableId="52194717">
    <w:abstractNumId w:val="5"/>
  </w:num>
  <w:num w:numId="4" w16cid:durableId="213778927">
    <w:abstractNumId w:val="4"/>
  </w:num>
  <w:num w:numId="5" w16cid:durableId="618879770">
    <w:abstractNumId w:val="7"/>
  </w:num>
  <w:num w:numId="6" w16cid:durableId="1444030340">
    <w:abstractNumId w:val="3"/>
  </w:num>
  <w:num w:numId="7" w16cid:durableId="931010614">
    <w:abstractNumId w:val="2"/>
  </w:num>
  <w:num w:numId="8" w16cid:durableId="1047142616">
    <w:abstractNumId w:val="1"/>
  </w:num>
  <w:num w:numId="9" w16cid:durableId="18455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CF"/>
    <w:rsid w:val="0015074B"/>
    <w:rsid w:val="0029639D"/>
    <w:rsid w:val="00326F90"/>
    <w:rsid w:val="00414868"/>
    <w:rsid w:val="008644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3D3B2"/>
  <w14:defaultImageDpi w14:val="300"/>
  <w15:docId w15:val="{2A8F1BA9-0117-4C85-BACE-AF568B67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1134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JAVIER PORTILLO VELIZ</cp:lastModifiedBy>
  <cp:revision>2</cp:revision>
  <dcterms:created xsi:type="dcterms:W3CDTF">2013-12-23T23:15:00Z</dcterms:created>
  <dcterms:modified xsi:type="dcterms:W3CDTF">2026-10-17T05:45:00Z</dcterms:modified>
  <cp:category/>
</cp:coreProperties>
</file>