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D960" w14:textId="16C4ED3F" w:rsidR="00B5196A" w:rsidRDefault="00CA5736">
      <w:pPr>
        <w:pStyle w:val="Title"/>
      </w:pPr>
      <w:r>
        <w:t>Supplemental</w:t>
      </w:r>
      <w:r w:rsidR="001209A3">
        <w:t xml:space="preserve"> Materials to accompany “Overt attentional capture by reward-related stimuli overcomes inhibitory suppression”</w:t>
      </w:r>
    </w:p>
    <w:tbl>
      <w:tblPr>
        <w:tblStyle w:val="Table"/>
        <w:tblW w:w="5000" w:type="pct"/>
        <w:tblLook w:val="07C0" w:firstRow="0" w:lastRow="1" w:firstColumn="1" w:lastColumn="1" w:noHBand="1" w:noVBand="1"/>
      </w:tblPr>
      <w:tblGrid>
        <w:gridCol w:w="9404"/>
      </w:tblGrid>
      <w:tr w:rsidR="00B5196A" w14:paraId="45B7D962" w14:textId="77777777" w:rsidTr="001209A3">
        <w:tc>
          <w:tcPr>
            <w:tcW w:w="0" w:type="auto"/>
            <w:tcBorders>
              <w:top w:val="nil"/>
              <w:bottom w:val="nil"/>
            </w:tcBorders>
          </w:tcPr>
          <w:p w14:paraId="45B7D961" w14:textId="77777777" w:rsidR="00B5196A" w:rsidRDefault="001209A3">
            <w:pPr>
              <w:pStyle w:val="Compact"/>
              <w:jc w:val="center"/>
            </w:pPr>
            <w:r>
              <w:t>Daniel Pearson</w:t>
            </w:r>
            <w:r>
              <w:rPr>
                <w:vertAlign w:val="superscript"/>
              </w:rPr>
              <w:t>1,2</w:t>
            </w:r>
            <w:r>
              <w:t>, Poppy Watson</w:t>
            </w:r>
            <w:r>
              <w:rPr>
                <w:vertAlign w:val="superscript"/>
              </w:rPr>
              <w:t>2</w:t>
            </w:r>
            <w:r>
              <w:t>, Phillip (Xin) Cheng</w:t>
            </w:r>
            <w:r>
              <w:rPr>
                <w:vertAlign w:val="superscript"/>
              </w:rPr>
              <w:t>3</w:t>
            </w:r>
            <w:r>
              <w:t>, &amp; Mike E. Le Pelley</w:t>
            </w:r>
            <w:r>
              <w:rPr>
                <w:vertAlign w:val="superscript"/>
              </w:rPr>
              <w:t>2</w:t>
            </w:r>
          </w:p>
        </w:tc>
      </w:tr>
      <w:tr w:rsidR="00B5196A" w14:paraId="45B7D964" w14:textId="77777777" w:rsidTr="001209A3">
        <w:tc>
          <w:tcPr>
            <w:tcW w:w="0" w:type="auto"/>
            <w:tcBorders>
              <w:top w:val="nil"/>
              <w:bottom w:val="nil"/>
            </w:tcBorders>
          </w:tcPr>
          <w:p w14:paraId="45B7D963" w14:textId="77777777" w:rsidR="00B5196A" w:rsidRDefault="001209A3">
            <w:pPr>
              <w:pStyle w:val="Compact"/>
              <w:jc w:val="center"/>
            </w:pPr>
            <w:r>
              <w:rPr>
                <w:vertAlign w:val="superscript"/>
              </w:rPr>
              <w:t>1</w:t>
            </w:r>
            <w:r>
              <w:t xml:space="preserve"> Institute of Cognitive Neuroscience, University College London</w:t>
            </w:r>
          </w:p>
        </w:tc>
      </w:tr>
      <w:tr w:rsidR="00B5196A" w14:paraId="45B7D966" w14:textId="77777777" w:rsidTr="001209A3">
        <w:tc>
          <w:tcPr>
            <w:tcW w:w="0" w:type="auto"/>
            <w:tcBorders>
              <w:top w:val="nil"/>
              <w:bottom w:val="nil"/>
            </w:tcBorders>
          </w:tcPr>
          <w:p w14:paraId="45B7D965" w14:textId="77777777" w:rsidR="00B5196A" w:rsidRDefault="001209A3">
            <w:pPr>
              <w:pStyle w:val="Compact"/>
              <w:jc w:val="center"/>
            </w:pPr>
            <w:r>
              <w:rPr>
                <w:vertAlign w:val="superscript"/>
              </w:rPr>
              <w:t>2</w:t>
            </w:r>
            <w:r>
              <w:t xml:space="preserve"> School of Psychology, UNSW Sydney</w:t>
            </w:r>
          </w:p>
        </w:tc>
      </w:tr>
      <w:tr w:rsidR="00B5196A" w14:paraId="45B7D968" w14:textId="77777777" w:rsidTr="001209A3">
        <w:tc>
          <w:tcPr>
            <w:tcW w:w="0" w:type="auto"/>
            <w:tcBorders>
              <w:top w:val="nil"/>
              <w:bottom w:val="nil"/>
            </w:tcBorders>
          </w:tcPr>
          <w:p w14:paraId="45B7D967" w14:textId="77777777" w:rsidR="00B5196A" w:rsidRDefault="001209A3">
            <w:pPr>
              <w:pStyle w:val="Compact"/>
              <w:jc w:val="center"/>
            </w:pPr>
            <w:r>
              <w:rPr>
                <w:vertAlign w:val="superscript"/>
              </w:rPr>
              <w:t>3</w:t>
            </w:r>
            <w:r>
              <w:t xml:space="preserve"> Department of Cognitive Science, Macquarie University</w:t>
            </w:r>
          </w:p>
        </w:tc>
      </w:tr>
      <w:tr w:rsidR="00B5196A" w14:paraId="45B7D96A" w14:textId="77777777" w:rsidTr="001209A3">
        <w:tc>
          <w:tcPr>
            <w:tcW w:w="0" w:type="auto"/>
            <w:tcBorders>
              <w:top w:val="nil"/>
              <w:bottom w:val="nil"/>
            </w:tcBorders>
          </w:tcPr>
          <w:p w14:paraId="45B7D969" w14:textId="77777777" w:rsidR="00B5196A" w:rsidRDefault="001209A3">
            <w:pPr>
              <w:pStyle w:val="Compact"/>
              <w:jc w:val="center"/>
            </w:pPr>
            <w:r>
              <w:t>                                                                                                                                                    </w:t>
            </w:r>
          </w:p>
        </w:tc>
      </w:tr>
    </w:tbl>
    <w:p w14:paraId="45B7D96B" w14:textId="77777777" w:rsidR="00B5196A" w:rsidRDefault="001209A3">
      <w:pPr>
        <w:pStyle w:val="BodyText"/>
      </w:pPr>
      <w:r>
        <w:t> </w:t>
      </w:r>
    </w:p>
    <w:p w14:paraId="45B7D96C" w14:textId="77777777" w:rsidR="00B5196A" w:rsidRDefault="001209A3">
      <w:pPr>
        <w:pStyle w:val="BodyText"/>
      </w:pPr>
      <w:r>
        <w:t> </w:t>
      </w:r>
    </w:p>
    <w:p w14:paraId="45B7D96D" w14:textId="77777777" w:rsidR="00B5196A" w:rsidRDefault="001209A3">
      <w:pPr>
        <w:pStyle w:val="BodyText"/>
      </w:pPr>
      <w:r>
        <w:t> </w:t>
      </w:r>
    </w:p>
    <w:p w14:paraId="45B7D96E" w14:textId="77777777" w:rsidR="00B5196A" w:rsidRDefault="001209A3">
      <w:pPr>
        <w:pStyle w:val="BodyText"/>
      </w:pPr>
      <w:r>
        <w:t> </w:t>
      </w:r>
    </w:p>
    <w:p w14:paraId="45B7D96F" w14:textId="77777777" w:rsidR="00B5196A" w:rsidRDefault="001209A3">
      <w:pPr>
        <w:pStyle w:val="BodyText"/>
      </w:pPr>
      <w:r>
        <w:t> </w:t>
      </w:r>
    </w:p>
    <w:p w14:paraId="45B7D970" w14:textId="77777777" w:rsidR="00B5196A" w:rsidRDefault="001209A3">
      <w:pPr>
        <w:pStyle w:val="BodyText"/>
      </w:pPr>
      <w:r>
        <w:t> </w:t>
      </w:r>
    </w:p>
    <w:p w14:paraId="45B7D971" w14:textId="77777777" w:rsidR="00B5196A" w:rsidRDefault="001209A3">
      <w:pPr>
        <w:pStyle w:val="BodyText"/>
      </w:pPr>
      <w:r>
        <w:t> </w:t>
      </w:r>
    </w:p>
    <w:p w14:paraId="45B7D977" w14:textId="4667EBDF" w:rsidR="00B5196A" w:rsidRDefault="00CA5736">
      <w:pPr>
        <w:pStyle w:val="Title"/>
      </w:pPr>
      <w:r>
        <w:lastRenderedPageBreak/>
        <w:t>Supplemental</w:t>
      </w:r>
      <w:r w:rsidR="001209A3">
        <w:t xml:space="preserve"> Materials to accompany “Overt attentional capture by reward-related stimuli overcomes inhibitory suppression”</w:t>
      </w:r>
      <w:bookmarkStart w:id="0" w:name="_GoBack"/>
      <w:bookmarkEnd w:id="0"/>
    </w:p>
    <w:p w14:paraId="45B7D978" w14:textId="77777777" w:rsidR="00B5196A" w:rsidRDefault="001209A3">
      <w:pPr>
        <w:pStyle w:val="Heading1"/>
      </w:pPr>
      <w:bookmarkStart w:id="1" w:name="analysis-of-questionnaire-data"/>
      <w:r>
        <w:t>Analysis of questionnaire data</w:t>
      </w:r>
      <w:bookmarkEnd w:id="1"/>
    </w:p>
    <w:p w14:paraId="45B7D979" w14:textId="77777777" w:rsidR="00B5196A" w:rsidRDefault="001209A3">
      <w:pPr>
        <w:pStyle w:val="FirstParagraph"/>
      </w:pPr>
      <w:r>
        <w:t>After completing the visual search task, participants completed a brief questionnaire which assessed their knowledge of the colour–reward contingencies—i.e., which colour would be followed by high reward, and which colour would be followed by low reward; these relationships were explicitly instructed of at the start of the experiment—and of the omission contingency—i.e., that looking at either distractor would result in the omission of the reward that would otherwise be delivered; this was not explicitly instructed at the start of the experiment. For each distractor colour, participants were asked to indicate which reward value they would receive if they “quickly and accurately moving their eyes to the target” or “looked at the distractor before looking at the target” (out of the options: 0 points, 10 points, or 500 points). After making their choice, participants were asked to rate their confidence in their decision, from 1 (“Not at all confident”) to 5 (“Very confident”).</w:t>
      </w:r>
    </w:p>
    <w:p w14:paraId="45B7D97A" w14:textId="4AFC04B2" w:rsidR="001209A3" w:rsidRDefault="001209A3">
      <w:pPr>
        <w:pStyle w:val="BodyText"/>
      </w:pPr>
      <w:r>
        <w:t xml:space="preserve">These data were converted into a </w:t>
      </w:r>
      <w:r>
        <w:rPr>
          <w:i/>
        </w:rPr>
        <w:t>contingency belief score</w:t>
      </w:r>
      <w:r>
        <w:t xml:space="preserve"> by multiplying their confidence rating by </w:t>
      </w:r>
      <m:oMath>
        <m:r>
          <w:rPr>
            <w:rFonts w:ascii="Cambria Math" w:hAnsi="Cambria Math"/>
          </w:rPr>
          <m:t>+1</m:t>
        </m:r>
      </m:oMath>
      <w:r>
        <w:t xml:space="preserve"> if they selected the correct point value, or </w:t>
      </w:r>
      <m:oMath>
        <m:r>
          <w:rPr>
            <w:rFonts w:ascii="Cambria Math" w:hAnsi="Cambria Math"/>
          </w:rPr>
          <m:t>-1</m:t>
        </m:r>
      </m:oMath>
      <w:r>
        <w:t xml:space="preserve"> if they selected either of the incorrect point values. For example, if a participant responded that they would receive 500 points for quickly and accurately moving their eyes to the target when a high-reward distractor was present in the display with a confidence of 4, their reward contingency belief score for this colour would be 4. If they responded that they would receive 10 points for looking at the high-reward distractor before looking at the target with a confidence of 3, their omission contingency belief score for this colour would be </w:t>
      </w:r>
      <m:oMath>
        <m:r>
          <w:rPr>
            <w:rFonts w:ascii="Cambria Math" w:hAnsi="Cambria Math"/>
          </w:rPr>
          <m:t>-3</m:t>
        </m:r>
      </m:oMath>
      <w:r>
        <w:t>.</w:t>
      </w:r>
    </w:p>
    <w:p w14:paraId="414CF0D6" w14:textId="77777777" w:rsidR="001209A3" w:rsidRDefault="001209A3">
      <w:pPr>
        <w:rPr>
          <w:rFonts w:ascii="Times New Roman" w:hAnsi="Times New Roman"/>
        </w:rPr>
      </w:pPr>
      <w:r>
        <w:lastRenderedPageBreak/>
        <w:br w:type="page"/>
      </w:r>
    </w:p>
    <w:p w14:paraId="45B7D97B" w14:textId="77777777" w:rsidR="00B5196A" w:rsidRDefault="001209A3">
      <w:r>
        <w:rPr>
          <w:noProof/>
          <w:lang w:val="en-GB" w:eastAsia="en-GB"/>
        </w:rPr>
        <w:lastRenderedPageBreak/>
        <w:drawing>
          <wp:inline distT="0" distB="0" distL="0" distR="0" wp14:anchorId="45B7D988" wp14:editId="45B7D989">
            <wp:extent cx="5969000" cy="2898078"/>
            <wp:effectExtent l="0" t="0" r="0" b="0"/>
            <wp:docPr id="1" name="Picture" descr="Figure 1: Scatterplot of capture scores (calculated as explained in main text) against reward contingency belief scores for high-reward (left panel) and low-reward (right panel) distractors."/>
            <wp:cNvGraphicFramePr/>
            <a:graphic xmlns:a="http://schemas.openxmlformats.org/drawingml/2006/main">
              <a:graphicData uri="http://schemas.openxmlformats.org/drawingml/2006/picture">
                <pic:pic xmlns:pic="http://schemas.openxmlformats.org/drawingml/2006/picture">
                  <pic:nvPicPr>
                    <pic:cNvPr id="0" name="Picture" descr="C:/Users/daniel.pearson/OneDrive/Github/vmacfeaturesearch/analysis/figures/reward_contingency_plot.png"/>
                    <pic:cNvPicPr>
                      <a:picLocks noChangeAspect="1" noChangeArrowheads="1"/>
                    </pic:cNvPicPr>
                  </pic:nvPicPr>
                  <pic:blipFill>
                    <a:blip r:embed="rId7"/>
                    <a:stretch>
                      <a:fillRect/>
                    </a:stretch>
                  </pic:blipFill>
                  <pic:spPr bwMode="auto">
                    <a:xfrm>
                      <a:off x="0" y="0"/>
                      <a:ext cx="5969000" cy="2898078"/>
                    </a:xfrm>
                    <a:prstGeom prst="rect">
                      <a:avLst/>
                    </a:prstGeom>
                    <a:noFill/>
                    <a:ln w="9525">
                      <a:noFill/>
                      <a:headEnd/>
                      <a:tailEnd/>
                    </a:ln>
                  </pic:spPr>
                </pic:pic>
              </a:graphicData>
            </a:graphic>
          </wp:inline>
        </w:drawing>
      </w:r>
    </w:p>
    <w:p w14:paraId="45B7D97C" w14:textId="07B0DEA2" w:rsidR="001209A3" w:rsidRDefault="001209A3">
      <w:pPr>
        <w:pStyle w:val="ImageCaption"/>
      </w:pPr>
      <w:r>
        <w:t>Figure 1: Scatterplot of capture scores (calculated as explained in main text) against reward contingency belief scores for high-reward (left panel) and low-reward (right panel) distractors.</w:t>
      </w:r>
    </w:p>
    <w:p w14:paraId="27599E15" w14:textId="77777777" w:rsidR="001209A3" w:rsidRDefault="001209A3">
      <w:pPr>
        <w:rPr>
          <w:rFonts w:ascii="Times New Roman" w:hAnsi="Times New Roman"/>
        </w:rPr>
      </w:pPr>
      <w:r>
        <w:br w:type="page"/>
      </w:r>
    </w:p>
    <w:p w14:paraId="45B7D97D" w14:textId="27286413" w:rsidR="001209A3" w:rsidRDefault="001209A3">
      <w:pPr>
        <w:pStyle w:val="BodyText"/>
      </w:pPr>
      <w:r>
        <w:lastRenderedPageBreak/>
        <w:t xml:space="preserve">Figure 1 shows scatterplots of reward contingency belief scores against capture scores (calculated as described in the main text) on high- and low-reward trials. As expected, the vast majority of participants reported the correct point values that were associated with the high- (5/64) and low-reward distractors (6/64). Consistent with previous findings (Pearson, Donkin, Tran, Most, &amp; Le Pelley, 2015; see also Le Pelley, Mitchell, Beesley, George, &amp; Wills, 2016), there was no significant relationship between participant’s awareness of the colour–reward relationships and capture—high-reward: </w:t>
      </w:r>
      <m:oMath>
        <m:r>
          <w:rPr>
            <w:rFonts w:ascii="Cambria Math" w:hAnsi="Cambria Math"/>
          </w:rPr>
          <m:t>r=</m:t>
        </m:r>
      </m:oMath>
      <w:r>
        <w:t xml:space="preserve"> .227, </w:t>
      </w:r>
      <m:oMath>
        <m:r>
          <w:rPr>
            <w:rFonts w:ascii="Cambria Math" w:hAnsi="Cambria Math"/>
          </w:rPr>
          <m:t>t(62)=1.84</m:t>
        </m:r>
      </m:oMath>
      <w:r>
        <w:t xml:space="preserve">, </w:t>
      </w:r>
      <m:oMath>
        <m:r>
          <w:rPr>
            <w:rFonts w:ascii="Cambria Math" w:hAnsi="Cambria Math"/>
          </w:rPr>
          <m:t>p=.071</m:t>
        </m:r>
      </m:oMath>
      <w:r>
        <w:t xml:space="preserve">; low-reward: </w:t>
      </w:r>
      <m:oMath>
        <m:r>
          <w:rPr>
            <w:rFonts w:ascii="Cambria Math" w:hAnsi="Cambria Math"/>
          </w:rPr>
          <m:t>r=</m:t>
        </m:r>
      </m:oMath>
      <w:r>
        <w:t xml:space="preserve"> -.007, </w:t>
      </w:r>
      <m:oMath>
        <m:r>
          <w:rPr>
            <w:rFonts w:ascii="Cambria Math" w:hAnsi="Cambria Math"/>
          </w:rPr>
          <m:t>t(62)=-0.06</m:t>
        </m:r>
      </m:oMath>
      <w:r>
        <w:t xml:space="preserve">, </w:t>
      </w:r>
      <m:oMath>
        <m:r>
          <w:rPr>
            <w:rFonts w:ascii="Cambria Math" w:hAnsi="Cambria Math"/>
          </w:rPr>
          <m:t>p=.954</m:t>
        </m:r>
      </m:oMath>
      <w:r>
        <w:t>.</w:t>
      </w:r>
    </w:p>
    <w:p w14:paraId="5393F608" w14:textId="77777777" w:rsidR="001209A3" w:rsidRDefault="001209A3">
      <w:pPr>
        <w:rPr>
          <w:rFonts w:ascii="Times New Roman" w:hAnsi="Times New Roman"/>
        </w:rPr>
      </w:pPr>
      <w:r>
        <w:br w:type="page"/>
      </w:r>
    </w:p>
    <w:p w14:paraId="45B7D97E" w14:textId="77777777" w:rsidR="00B5196A" w:rsidRDefault="001209A3">
      <w:r>
        <w:rPr>
          <w:noProof/>
          <w:lang w:val="en-GB" w:eastAsia="en-GB"/>
        </w:rPr>
        <w:lastRenderedPageBreak/>
        <w:drawing>
          <wp:inline distT="0" distB="0" distL="0" distR="0" wp14:anchorId="45B7D98A" wp14:editId="45B7D98B">
            <wp:extent cx="5969000" cy="2898078"/>
            <wp:effectExtent l="0" t="0" r="0" b="0"/>
            <wp:docPr id="2" name="Picture" descr="Figure 2: Scatterplot of capture scores against omission contingency belief scores for high-reward (left panel) and low-reward (right panel) distractors. *** p &lt;.001."/>
            <wp:cNvGraphicFramePr/>
            <a:graphic xmlns:a="http://schemas.openxmlformats.org/drawingml/2006/main">
              <a:graphicData uri="http://schemas.openxmlformats.org/drawingml/2006/picture">
                <pic:pic xmlns:pic="http://schemas.openxmlformats.org/drawingml/2006/picture">
                  <pic:nvPicPr>
                    <pic:cNvPr id="0" name="Picture" descr="C:/Users/daniel.pearson/OneDrive/Github/vmacfeaturesearch/analysis/figures/omission_contingency_plot.png"/>
                    <pic:cNvPicPr>
                      <a:picLocks noChangeAspect="1" noChangeArrowheads="1"/>
                    </pic:cNvPicPr>
                  </pic:nvPicPr>
                  <pic:blipFill>
                    <a:blip r:embed="rId8"/>
                    <a:stretch>
                      <a:fillRect/>
                    </a:stretch>
                  </pic:blipFill>
                  <pic:spPr bwMode="auto">
                    <a:xfrm>
                      <a:off x="0" y="0"/>
                      <a:ext cx="5969000" cy="2898078"/>
                    </a:xfrm>
                    <a:prstGeom prst="rect">
                      <a:avLst/>
                    </a:prstGeom>
                    <a:noFill/>
                    <a:ln w="9525">
                      <a:noFill/>
                      <a:headEnd/>
                      <a:tailEnd/>
                    </a:ln>
                  </pic:spPr>
                </pic:pic>
              </a:graphicData>
            </a:graphic>
          </wp:inline>
        </w:drawing>
      </w:r>
    </w:p>
    <w:p w14:paraId="45B7D97F" w14:textId="5828BA64" w:rsidR="001209A3" w:rsidRDefault="001209A3">
      <w:pPr>
        <w:pStyle w:val="ImageCaption"/>
      </w:pPr>
      <w:r>
        <w:t xml:space="preserve">Figure 2: Scatterplot of capture scores against omission contingency belief scores for high-reward (left panel) and low-reward (right panel) distractors. *** </w:t>
      </w:r>
      <m:oMath>
        <m:r>
          <w:rPr>
            <w:rFonts w:ascii="Cambria Math" w:hAnsi="Cambria Math"/>
          </w:rPr>
          <m:t>p&lt;.001</m:t>
        </m:r>
      </m:oMath>
      <w:r>
        <w:t>.</w:t>
      </w:r>
    </w:p>
    <w:p w14:paraId="2D837030" w14:textId="77777777" w:rsidR="001209A3" w:rsidRDefault="001209A3">
      <w:pPr>
        <w:rPr>
          <w:rFonts w:ascii="Times New Roman" w:hAnsi="Times New Roman"/>
        </w:rPr>
      </w:pPr>
      <w:r>
        <w:br w:type="page"/>
      </w:r>
    </w:p>
    <w:p w14:paraId="45B7D980" w14:textId="77777777" w:rsidR="00B5196A" w:rsidRDefault="001209A3">
      <w:pPr>
        <w:pStyle w:val="BodyText"/>
      </w:pPr>
      <w:r>
        <w:lastRenderedPageBreak/>
        <w:t xml:space="preserve">Figure 2 shows scatterplots of omission contingency belief scores against capture scores on high- and low-reward trials. The majority of participants did not accurately report the omission contingency for the high (30/64) and low-reward distractors (29/64). There was a significant positive correlation between participant’s omission contingency belief score for the high-reward distractor and the degree to which their overt attention was captured by the high-reward distractor, </w:t>
      </w:r>
      <m:oMath>
        <m:r>
          <w:rPr>
            <w:rFonts w:ascii="Cambria Math" w:hAnsi="Cambria Math"/>
          </w:rPr>
          <m:t>r=</m:t>
        </m:r>
      </m:oMath>
      <w:r>
        <w:t xml:space="preserve"> .405, </w:t>
      </w:r>
      <m:oMath>
        <m:r>
          <w:rPr>
            <w:rFonts w:ascii="Cambria Math" w:hAnsi="Cambria Math"/>
          </w:rPr>
          <m:t>t(62)=3.49</m:t>
        </m:r>
      </m:oMath>
      <w:r>
        <w:t xml:space="preserve">, </w:t>
      </w:r>
      <m:oMath>
        <m:r>
          <w:rPr>
            <w:rFonts w:ascii="Cambria Math" w:hAnsi="Cambria Math"/>
          </w:rPr>
          <m:t>p=.001</m:t>
        </m:r>
      </m:oMath>
      <w:r>
        <w:t xml:space="preserve">, such that participants who confidently believed that looking at the high-reward distractor would trigger reward omission were more likely to have their gaze captured by the high-reward distractor. There was no significant correlation between omission contingency belief scores and capture for the low-reward distractor, </w:t>
      </w:r>
      <m:oMath>
        <m:r>
          <w:rPr>
            <w:rFonts w:ascii="Cambria Math" w:hAnsi="Cambria Math"/>
          </w:rPr>
          <m:t>r=</m:t>
        </m:r>
      </m:oMath>
      <w:r>
        <w:t xml:space="preserve"> -.021, </w:t>
      </w:r>
      <m:oMath>
        <m:r>
          <w:rPr>
            <w:rFonts w:ascii="Cambria Math" w:hAnsi="Cambria Math"/>
          </w:rPr>
          <m:t>t(62)=-0.17</m:t>
        </m:r>
      </m:oMath>
      <w:r>
        <w:t xml:space="preserve">, </w:t>
      </w:r>
      <m:oMath>
        <m:r>
          <w:rPr>
            <w:rFonts w:ascii="Cambria Math" w:hAnsi="Cambria Math"/>
          </w:rPr>
          <m:t>p=.867</m:t>
        </m:r>
      </m:oMath>
      <w:r>
        <w:t>.</w:t>
      </w:r>
    </w:p>
    <w:p w14:paraId="45B7D981" w14:textId="6A5A9D8F" w:rsidR="00B5196A" w:rsidRDefault="001209A3">
      <w:pPr>
        <w:pStyle w:val="BodyText"/>
      </w:pPr>
      <w:r>
        <w:t xml:space="preserve">Consistent with previous research (Pearson et al., 2015), these findings suggest that explicit awareness of the omission contingency does not allow participants to reduce the extent to which their gaze is captured by reward-associated distractors. Rather, it seems to suggest that explicit awareness of the omission contingencies counterproductively </w:t>
      </w:r>
      <w:r>
        <w:rPr>
          <w:i/>
        </w:rPr>
        <w:t>increases</w:t>
      </w:r>
      <w:r>
        <w:t xml:space="preserve"> the extent to which gaze is captured by the high-reward distractor. This could be explained by an “attentional white bear” effect (Cunningham &amp; Egeth, 2016; Moher &amp; Egeth, 2012), where participants’ attention is paradoxically drawn to items that have known non-target features. In other words, once participants learn that looking at the high-reward distractor will cause them to lose out on a high-value reward, they intentionally try to avoid looking at the high-reward distractor, which counterproductively causes them to look at the high-reward distractor more often. However, an alternative explanation is that the direction of causality is reversed—those who have had their gaze captured by the high-reward distractor more often have had more opportunity to learn about the omission contingency, and thus can report it more confidently at the end of the experiment. </w:t>
      </w:r>
      <w:r>
        <w:lastRenderedPageBreak/>
        <w:t>As the current findings are correlational in nature, we are unable to tease apart these two accounts. However, it is notable that previous research using an experimental manipulation of awareness of the omission contingency in the VMAC task found evidence to suggest that there was no difference in the size of the VMAC effect between those who were made aware of the omission contingency and those who were not made aware of the omission contingency (Pearson et al., 2015).</w:t>
      </w:r>
    </w:p>
    <w:p w14:paraId="45B7D982" w14:textId="77777777" w:rsidR="00B5196A" w:rsidRDefault="001209A3">
      <w:r>
        <w:br w:type="page"/>
      </w:r>
    </w:p>
    <w:p w14:paraId="45B7D983" w14:textId="77777777" w:rsidR="00B5196A" w:rsidRDefault="001209A3">
      <w:pPr>
        <w:pStyle w:val="Heading1"/>
      </w:pPr>
      <w:bookmarkStart w:id="2" w:name="references"/>
      <w:r>
        <w:lastRenderedPageBreak/>
        <w:t>References</w:t>
      </w:r>
      <w:bookmarkEnd w:id="2"/>
    </w:p>
    <w:p w14:paraId="45B7D984" w14:textId="77777777" w:rsidR="00B5196A" w:rsidRDefault="001209A3">
      <w:pPr>
        <w:pStyle w:val="Bibliography"/>
      </w:pPr>
      <w:bookmarkStart w:id="3" w:name="ref-Cunningham2016"/>
      <w:bookmarkStart w:id="4" w:name="refs"/>
      <w:r>
        <w:t xml:space="preserve">Cunningham, C. A., &amp; Egeth, H. E. (2016). Taming the White Bear: Initial Costs and Eventual Benefits of Distractor Inhibition. </w:t>
      </w:r>
      <w:r>
        <w:rPr>
          <w:i/>
        </w:rPr>
        <w:t>Psychological Science</w:t>
      </w:r>
      <w:r>
        <w:t xml:space="preserve">, </w:t>
      </w:r>
      <w:r>
        <w:rPr>
          <w:i/>
        </w:rPr>
        <w:t>27</w:t>
      </w:r>
      <w:r>
        <w:t xml:space="preserve">(4), 476–485. </w:t>
      </w:r>
      <w:hyperlink r:id="rId9">
        <w:r>
          <w:rPr>
            <w:rStyle w:val="Hyperlink"/>
          </w:rPr>
          <w:t>https://doi.org/10.1177/0956797615626564</w:t>
        </w:r>
      </w:hyperlink>
    </w:p>
    <w:p w14:paraId="45B7D985" w14:textId="77777777" w:rsidR="00B5196A" w:rsidRDefault="001209A3">
      <w:pPr>
        <w:pStyle w:val="Bibliography"/>
      </w:pPr>
      <w:bookmarkStart w:id="5" w:name="ref-LePelleya"/>
      <w:bookmarkEnd w:id="3"/>
      <w:r>
        <w:t xml:space="preserve">Le Pelley, M. E., Mitchell, C. J., Beesley, T., George, D. N., &amp; Wills, A. J. (2016). Attention and associative learning in humans: An integrative review. </w:t>
      </w:r>
      <w:r>
        <w:rPr>
          <w:i/>
        </w:rPr>
        <w:t>Psychological Bulletin</w:t>
      </w:r>
      <w:r>
        <w:t xml:space="preserve">, </w:t>
      </w:r>
      <w:r>
        <w:rPr>
          <w:i/>
        </w:rPr>
        <w:t>142</w:t>
      </w:r>
      <w:r>
        <w:t xml:space="preserve">, 1111–1140. </w:t>
      </w:r>
      <w:hyperlink r:id="rId10">
        <w:r>
          <w:rPr>
            <w:rStyle w:val="Hyperlink"/>
          </w:rPr>
          <w:t>https://doi.org/10.1037/bul0000064</w:t>
        </w:r>
      </w:hyperlink>
    </w:p>
    <w:p w14:paraId="45B7D986" w14:textId="77777777" w:rsidR="00B5196A" w:rsidRDefault="001209A3">
      <w:pPr>
        <w:pStyle w:val="Bibliography"/>
      </w:pPr>
      <w:bookmarkStart w:id="6" w:name="ref-Moher2012"/>
      <w:bookmarkEnd w:id="5"/>
      <w:r>
        <w:t xml:space="preserve">Moher, J., &amp; Egeth, H. E. (2012). The ignoring paradox: Cueing distractor features leads first to selection, then to inhibition of to-be-ignored items. </w:t>
      </w:r>
      <w:r>
        <w:rPr>
          <w:i/>
        </w:rPr>
        <w:t>Attention, Perception, and Psychophysics</w:t>
      </w:r>
      <w:r>
        <w:t xml:space="preserve">, </w:t>
      </w:r>
      <w:r>
        <w:rPr>
          <w:i/>
        </w:rPr>
        <w:t>74</w:t>
      </w:r>
      <w:r>
        <w:t xml:space="preserve">, 1590–1605. </w:t>
      </w:r>
      <w:hyperlink r:id="rId11">
        <w:r>
          <w:rPr>
            <w:rStyle w:val="Hyperlink"/>
          </w:rPr>
          <w:t>https://doi.org/10.3758/s13414-012-0358-0</w:t>
        </w:r>
      </w:hyperlink>
    </w:p>
    <w:p w14:paraId="45B7D987" w14:textId="77777777" w:rsidR="00B5196A" w:rsidRDefault="001209A3">
      <w:pPr>
        <w:pStyle w:val="Bibliography"/>
      </w:pPr>
      <w:bookmarkStart w:id="7" w:name="ref-Pearson2015"/>
      <w:bookmarkEnd w:id="6"/>
      <w:r>
        <w:t xml:space="preserve">Pearson, D., Donkin, C., Tran, S. C., Most, S. B., &amp; Le Pelley, M. E. (2015). Cognitive control and counterproductive oculomotor capture by reward-related stimuli. </w:t>
      </w:r>
      <w:r>
        <w:rPr>
          <w:i/>
        </w:rPr>
        <w:t>Visual Cognition</w:t>
      </w:r>
      <w:r>
        <w:t xml:space="preserve">, </w:t>
      </w:r>
      <w:r>
        <w:rPr>
          <w:i/>
        </w:rPr>
        <w:t>23</w:t>
      </w:r>
      <w:r>
        <w:t xml:space="preserve">, 41–66. </w:t>
      </w:r>
      <w:hyperlink r:id="rId12">
        <w:r>
          <w:rPr>
            <w:rStyle w:val="Hyperlink"/>
          </w:rPr>
          <w:t>https://doi.org/10.1080/13506285.2014.994252</w:t>
        </w:r>
      </w:hyperlink>
    </w:p>
    <w:bookmarkEnd w:id="7"/>
    <w:bookmarkEnd w:id="4"/>
    <w:sectPr w:rsidR="00B5196A"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7D990" w14:textId="77777777" w:rsidR="00A40FD6" w:rsidRDefault="001209A3">
      <w:pPr>
        <w:spacing w:after="0"/>
      </w:pPr>
      <w:r>
        <w:separator/>
      </w:r>
    </w:p>
  </w:endnote>
  <w:endnote w:type="continuationSeparator" w:id="0">
    <w:p w14:paraId="45B7D992" w14:textId="77777777" w:rsidR="00A40FD6" w:rsidRDefault="00120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7D98C" w14:textId="77777777" w:rsidR="00B5196A" w:rsidRDefault="001209A3">
      <w:r>
        <w:separator/>
      </w:r>
    </w:p>
  </w:footnote>
  <w:footnote w:type="continuationSeparator" w:id="0">
    <w:p w14:paraId="45B7D98D" w14:textId="77777777" w:rsidR="00B5196A" w:rsidRDefault="00120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E52EA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09A3"/>
    <w:rsid w:val="004E29B3"/>
    <w:rsid w:val="00590D07"/>
    <w:rsid w:val="00784D58"/>
    <w:rsid w:val="008D6863"/>
    <w:rsid w:val="00A40FD6"/>
    <w:rsid w:val="00B5196A"/>
    <w:rsid w:val="00B86B75"/>
    <w:rsid w:val="00BC48D5"/>
    <w:rsid w:val="00C35741"/>
    <w:rsid w:val="00C36279"/>
    <w:rsid w:val="00CA573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D960"/>
  <w15:docId w15:val="{57475458-79D3-44B7-BFE4-C25EFD1B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80/13506285.2014.9942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12-0358-0" TargetMode="External"/><Relationship Id="rId5" Type="http://schemas.openxmlformats.org/officeDocument/2006/relationships/footnotes" Target="footnotes.xml"/><Relationship Id="rId10" Type="http://schemas.openxmlformats.org/officeDocument/2006/relationships/hyperlink" Target="https://doi.org/10.1037/bul0000064" TargetMode="External"/><Relationship Id="rId4" Type="http://schemas.openxmlformats.org/officeDocument/2006/relationships/webSettings" Target="webSettings.xml"/><Relationship Id="rId9" Type="http://schemas.openxmlformats.org/officeDocument/2006/relationships/hyperlink" Target="https://doi.org/10.1177/09567976156265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1069</Words>
  <Characters>6098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Materials to accompany “Overt attentional capture by reward-related stimuli overcomes inhibitory suppression”</vt:lpstr>
      <vt:lpstr>Untitled</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to accompany “Overt attentional capture by reward-related stimuli overcomes inhibitory suppression”</dc:title>
  <dc:creator>Pearson, Daniel</dc:creator>
  <cp:keywords/>
  <cp:lastModifiedBy>Pearson, Daniel</cp:lastModifiedBy>
  <cp:revision>2</cp:revision>
  <dcterms:created xsi:type="dcterms:W3CDTF">2019-10-28T10:25:00Z</dcterms:created>
  <dcterms:modified xsi:type="dcterms:W3CDTF">2019-10-28T10:25:00Z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 a4paper, noextraspace, 11pt</vt:lpwstr>
  </property>
  <property fmtid="{D5CDD505-2E9C-101B-9397-08002B2CF9AE}" pid="6" name="csl">
    <vt:lpwstr>american-psychological-association-6th-edition_no_first_citation.csl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ocite">
    <vt:lpwstr>~</vt:lpwstr>
  </property>
  <property fmtid="{D5CDD505-2E9C-101B-9397-08002B2CF9AE}" pid="16" name="output">
    <vt:lpwstr>papaja::apa6_docx</vt:lpwstr>
  </property>
  <property fmtid="{D5CDD505-2E9C-101B-9397-08002B2CF9AE}" pid="17" name="shorttitle">
    <vt:lpwstr>Supplementary Materials</vt:lpwstr>
  </property>
  <property fmtid="{D5CDD505-2E9C-101B-9397-08002B2CF9AE}" pid="18" name="tablelist">
    <vt:lpwstr>no</vt:lpwstr>
  </property>
</Properties>
</file>