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40" w:lineRule="auto"/>
      </w:pPr>
      <w:r>
        <w:rPr>
          <w:rFonts w:ascii="Calibri" w:cs="Calibri" w:eastAsia="Calibri" w:hAnsi="Calibri"/>
          <w:b/>
          <w:bCs/>
          <w:color w:val="2C3E50"/>
          <w:sz w:val="34"/>
          <w:szCs w:val="34"/>
        </w:rPr>
        <w:t xml:space="preserve">OpenBedside: an open-source gateway for bedside devices</w:t>
      </w:r>
    </w:p>
    <w:p>
      <w:pPr>
        <w:pBdr>
          <w:bottom w:val="single" w:color="2C3E50" w:sz="12" w:space="8"/>
        </w:pBdr>
        <w:spacing w:after="200"/>
      </w:pPr>
      <w:r>
        <w:rPr>
          <w:rFonts w:ascii="Calibri" w:cs="Calibri" w:eastAsia="Calibri" w:hAnsi="Calibri"/>
          <w:color w:val="5D7A94"/>
          <w:sz w:val="18"/>
          <w:szCs w:val="18"/>
        </w:rPr>
        <w:t xml:space="preserve">What it is, and how to try it. Version 0.2.0, 26 September 2026. Daniel C. Pettus.</w:t>
      </w:r>
    </w:p>
    <w:p>
      <w:pPr>
        <w:pBdr>
          <w:left w:val="single" w:color="5D7A94" w:sz="16" w:space="8"/>
        </w:pBdr>
        <w:shd w:fill="EEF3F7" w:color="auto" w:val="clear"/>
        <w:spacing w:after="140" w:before="60" w:line="262" w:lineRule="auto"/>
        <w:ind w:left="160" w:right="120"/>
      </w:pPr>
      <w:r>
        <w:rPr>
          <w:rFonts w:ascii="Calibri" w:cs="Calibri" w:eastAsia="Calibri" w:hAnsi="Calibri"/>
          <w:b/>
          <w:bCs/>
          <w:color w:val="2C3E50"/>
          <w:sz w:val="19"/>
          <w:szCs w:val="19"/>
        </w:rPr>
        <w:t xml:space="preserve">In one sentence:</w:t>
      </w:r>
      <w:r>
        <w:rPr>
          <w:rFonts w:ascii="Calibri" w:cs="Calibri" w:eastAsia="Calibri" w:hAnsi="Calibri"/>
          <w:color w:val="2C3E50"/>
          <w:sz w:val="19"/>
          <w:szCs w:val="19"/>
        </w:rPr>
        <w:t xml:space="preserve"> a free, open-source gateway that takes data from bedside IV infusion pumps and delivers it to the hospital EHR in standard HL7, so anyone can connect a device by writing one adapter and get store-and-forward, EHR connectivity and an interface activity page for free.</w:t>
      </w:r>
    </w:p>
    <w:p>
      <w:pPr>
        <w:keepNext/>
        <w:pBdr>
          <w:bottom w:val="single" w:color="8FA3B3" w:sz="6" w:space="4"/>
        </w:pBdr>
        <w:spacing w:after="100" w:before="300" w:line="260" w:lineRule="auto"/>
      </w:pPr>
      <w:r>
        <w:rPr>
          <w:rFonts w:ascii="Calibri" w:cs="Calibri" w:eastAsia="Calibri" w:hAnsi="Calibri"/>
          <w:b/>
          <w:bCs/>
          <w:color w:val="2C3E50"/>
          <w:sz w:val="26"/>
          <w:szCs w:val="26"/>
        </w:rPr>
        <w:t xml:space="preserve">Why I built it</w:t>
      </w:r>
    </w:p>
    <w:p>
      <w:pPr>
        <w:spacing w:after="110" w:before="0" w:line="276" w:lineRule="auto"/>
      </w:pPr>
      <w:r>
        <w:rPr>
          <w:rFonts w:ascii="Calibri" w:cs="Calibri" w:eastAsia="Calibri" w:hAnsi="Calibri"/>
          <w:color w:val="243240"/>
          <w:sz w:val="21"/>
          <w:szCs w:val="21"/>
        </w:rPr>
        <w:t xml:space="preserve">My reason is a selfish one, and I would rather say so up front.</w:t>
      </w:r>
    </w:p>
    <w:p>
      <w:pPr>
        <w:spacing w:after="110" w:before="0" w:line="276" w:lineRule="auto"/>
      </w:pPr>
      <w:r>
        <w:rPr>
          <w:rFonts w:ascii="Calibri" w:cs="Calibri" w:eastAsia="Calibri" w:hAnsi="Calibri"/>
          <w:color w:val="243240"/>
          <w:sz w:val="21"/>
          <w:szCs w:val="21"/>
        </w:rPr>
        <w:t xml:space="preserve">I am building </w:t>
      </w:r>
      <w:r>
        <w:rPr>
          <w:rFonts w:ascii="Calibri" w:cs="Calibri" w:eastAsia="Calibri" w:hAnsi="Calibri"/>
          <w:b/>
          <w:bCs/>
          <w:color w:val="243240"/>
          <w:sz w:val="21"/>
          <w:szCs w:val="21"/>
        </w:rPr>
        <w:t xml:space="preserve">AI MedAgent</w:t>
      </w:r>
      <w:r>
        <w:rPr>
          <w:rFonts w:ascii="Calibri" w:cs="Calibri" w:eastAsia="Calibri" w:hAnsi="Calibri"/>
          <w:color w:val="243240"/>
          <w:sz w:val="21"/>
          <w:szCs w:val="21"/>
        </w:rPr>
        <w:t xml:space="preserve">, a medication reasoning engine (aimedagent.net; the public demonstration runs on a simulated patient). A reasoning engine is only as good as what it can see, and it needs two feeds: the EHR and the bedside devices.</w:t>
      </w:r>
    </w:p>
    <w:p>
      <w:pPr>
        <w:spacing w:after="110" w:before="0" w:line="276" w:lineRule="auto"/>
      </w:pPr>
      <w:r>
        <w:rPr>
          <w:rFonts w:ascii="Calibri" w:cs="Calibri" w:eastAsia="Calibri" w:hAnsi="Calibri"/>
          <w:color w:val="243240"/>
          <w:sz w:val="21"/>
          <w:szCs w:val="21"/>
        </w:rPr>
        <w:t xml:space="preserve">The EHR half has a door now. Federal certification rules require certified EHR technology to offer a standardized FHIR API (ONC, 45 CFR 170.315(g)(10)). Access is not free and not always quick, but the door exists and it looks much the same from one EHR to the next.</w:t>
      </w:r>
    </w:p>
    <w:p>
      <w:pPr>
        <w:spacing w:after="110" w:before="0" w:line="276" w:lineRule="auto"/>
      </w:pPr>
      <w:r>
        <w:rPr>
          <w:rFonts w:ascii="Calibri" w:cs="Calibri" w:eastAsia="Calibri" w:hAnsi="Calibri"/>
          <w:color w:val="243240"/>
          <w:sz w:val="21"/>
          <w:szCs w:val="21"/>
        </w:rPr>
        <w:t xml:space="preserve">The device half has no door. Every infusion pump that reports to an EHR does it through its manufacturer's own gateway, in its own protocol, and each one is closed. IV infusions are one of the most important feeds a medication reasoning engine can have, because that is where the drug actually enters the patient, and they are the hardest data to get.</w:t>
      </w:r>
    </w:p>
    <w:p>
      <w:pPr>
        <w:spacing w:after="110" w:before="0" w:line="276" w:lineRule="auto"/>
      </w:pPr>
      <w:r>
        <w:rPr>
          <w:rFonts w:ascii="Calibri" w:cs="Calibri" w:eastAsia="Calibri" w:hAnsi="Calibri"/>
          <w:color w:val="243240"/>
          <w:sz w:val="21"/>
          <w:szCs w:val="21"/>
        </w:rPr>
        <w:t xml:space="preserve">So I am doing the selfish thing in the most useful way I know: opening the device half for everyone, me included. OpenBedside is a </w:t>
      </w:r>
      <w:r>
        <w:rPr>
          <w:rFonts w:ascii="Calibri" w:cs="Calibri" w:eastAsia="Calibri" w:hAnsi="Calibri"/>
          <w:b/>
          <w:bCs/>
          <w:color w:val="243240"/>
          <w:sz w:val="21"/>
          <w:szCs w:val="21"/>
        </w:rPr>
        <w:t xml:space="preserve">free, open-source device gateway. No fees, no royalties, no permission needed.</w:t>
      </w:r>
      <w:r>
        <w:rPr>
          <w:rFonts w:ascii="Calibri" w:cs="Calibri" w:eastAsia="Calibri" w:hAnsi="Calibri"/>
          <w:color w:val="243240"/>
          <w:sz w:val="21"/>
          <w:szCs w:val="21"/>
        </w:rPr>
        <w:t xml:space="preserve"> It starts with IV infusion pumps because that is the feed I need most, and it is built to take ventilators and other devices next.</w:t>
      </w:r>
    </w:p>
    <w:p>
      <w:pPr>
        <w:pBdr>
          <w:left w:val="single" w:color="5D7A94" w:sz="16" w:space="8"/>
        </w:pBdr>
        <w:shd w:fill="EEF3F7" w:color="auto" w:val="clear"/>
        <w:spacing w:after="140" w:before="60" w:line="262" w:lineRule="auto"/>
        <w:ind w:left="160" w:right="120"/>
      </w:pPr>
      <w:r>
        <w:rPr>
          <w:rFonts w:ascii="Calibri" w:cs="Calibri" w:eastAsia="Calibri" w:hAnsi="Calibri"/>
          <w:b/>
          <w:bCs/>
          <w:color w:val="2C3E50"/>
          <w:sz w:val="19"/>
          <w:szCs w:val="19"/>
        </w:rPr>
        <w:t xml:space="preserve">OpenBedside contains no AI MedAgent code and no clinical reasoning.</w:t>
      </w:r>
      <w:r>
        <w:rPr>
          <w:rFonts w:ascii="Calibri" w:cs="Calibri" w:eastAsia="Calibri" w:hAnsi="Calibri"/>
          <w:color w:val="2C3E50"/>
          <w:sz w:val="19"/>
          <w:szCs w:val="19"/>
        </w:rPr>
        <w:t xml:space="preserve"> It is plumbing. It sends standard HL7 to any hospital system that wants it. AI MedAgent is one possible consumer of that data, and not a required one.</w:t>
      </w:r>
    </w:p>
    <w:p>
      <w:pPr>
        <w:keepNext/>
        <w:pBdr>
          <w:bottom w:val="single" w:color="8FA3B3" w:sz="6" w:space="4"/>
        </w:pBdr>
        <w:spacing w:after="100" w:before="300" w:line="260" w:lineRule="auto"/>
      </w:pPr>
      <w:r>
        <w:rPr>
          <w:rFonts w:ascii="Calibri" w:cs="Calibri" w:eastAsia="Calibri" w:hAnsi="Calibri"/>
          <w:b/>
          <w:bCs/>
          <w:color w:val="2C3E50"/>
          <w:sz w:val="26"/>
          <w:szCs w:val="26"/>
        </w:rPr>
        <w:t xml:space="preserve">What it is</w:t>
      </w:r>
    </w:p>
    <w:p>
      <w:pPr>
        <w:tabs>
          <w:tab w:val="left" w:pos="360"/>
        </w:tabs>
        <w:spacing w:after="70" w:before="0" w:line="268" w:lineRule="auto"/>
        <w:ind w:left="360" w:hanging="220"/>
      </w:pPr>
      <w:r>
        <w:rPr>
          <w:rFonts w:ascii="Calibri" w:cs="Calibri" w:eastAsia="Calibri" w:hAnsi="Calibri"/>
          <w:color w:val="5D7A94"/>
          <w:sz w:val="20"/>
          <w:szCs w:val="20"/>
        </w:rPr>
        <w:t xml:space="preserve">•	</w:t>
      </w:r>
      <w:r>
        <w:rPr>
          <w:rFonts w:ascii="Calibri" w:cs="Calibri" w:eastAsia="Calibri" w:hAnsi="Calibri"/>
          <w:b/>
          <w:bCs/>
          <w:color w:val="243240"/>
          <w:sz w:val="20"/>
          <w:szCs w:val="20"/>
        </w:rPr>
        <w:t xml:space="preserve">The internal logic.</w:t>
      </w:r>
      <w:r>
        <w:rPr>
          <w:rFonts w:ascii="Calibri" w:cs="Calibri" w:eastAsia="Calibri" w:hAnsi="Calibri"/>
          <w:color w:val="243240"/>
          <w:sz w:val="20"/>
          <w:szCs w:val="20"/>
        </w:rPr>
        <w:t xml:space="preserve"> A common data model for a pump: device, modules, channels, primary and secondary infusions. It tracks state and works out events from what the device reports: start, stop, complete, rate change, KVO, secondary to primary.</w:t>
      </w:r>
    </w:p>
    <w:p>
      <w:pPr>
        <w:tabs>
          <w:tab w:val="left" w:pos="360"/>
        </w:tabs>
        <w:spacing w:after="70" w:before="0" w:line="268" w:lineRule="auto"/>
        <w:ind w:left="360" w:hanging="220"/>
      </w:pPr>
      <w:r>
        <w:rPr>
          <w:rFonts w:ascii="Calibri" w:cs="Calibri" w:eastAsia="Calibri" w:hAnsi="Calibri"/>
          <w:color w:val="5D7A94"/>
          <w:sz w:val="20"/>
          <w:szCs w:val="20"/>
        </w:rPr>
        <w:t xml:space="preserve">•	</w:t>
      </w:r>
      <w:r>
        <w:rPr>
          <w:rFonts w:ascii="Calibri" w:cs="Calibri" w:eastAsia="Calibri" w:hAnsi="Calibri"/>
          <w:b/>
          <w:bCs/>
          <w:color w:val="243240"/>
          <w:sz w:val="20"/>
          <w:szCs w:val="20"/>
        </w:rPr>
        <w:t xml:space="preserve">Store-and-forward.</w:t>
      </w:r>
      <w:r>
        <w:rPr>
          <w:rFonts w:ascii="Calibri" w:cs="Calibri" w:eastAsia="Calibri" w:hAnsi="Calibri"/>
          <w:color w:val="243240"/>
          <w:sz w:val="20"/>
          <w:szCs w:val="20"/>
        </w:rPr>
        <w:t xml:space="preserve"> Every message is saved to disk before it is sent, delivered in order, and retried until the hospital acknowledges it. A restart or an outage loses nothing.</w:t>
      </w:r>
    </w:p>
    <w:p>
      <w:pPr>
        <w:tabs>
          <w:tab w:val="left" w:pos="360"/>
        </w:tabs>
        <w:spacing w:after="70" w:before="0" w:line="268" w:lineRule="auto"/>
        <w:ind w:left="360" w:hanging="220"/>
      </w:pPr>
      <w:r>
        <w:rPr>
          <w:rFonts w:ascii="Calibri" w:cs="Calibri" w:eastAsia="Calibri" w:hAnsi="Calibri"/>
          <w:color w:val="5D7A94"/>
          <w:sz w:val="20"/>
          <w:szCs w:val="20"/>
        </w:rPr>
        <w:t xml:space="preserve">•	</w:t>
      </w:r>
      <w:r>
        <w:rPr>
          <w:rFonts w:ascii="Calibri" w:cs="Calibri" w:eastAsia="Calibri" w:hAnsi="Calibri"/>
          <w:b/>
          <w:bCs/>
          <w:color w:val="243240"/>
          <w:sz w:val="20"/>
          <w:szCs w:val="20"/>
        </w:rPr>
        <w:t xml:space="preserve">EHR connectivity.</w:t>
      </w:r>
      <w:r>
        <w:rPr>
          <w:rFonts w:ascii="Calibri" w:cs="Calibri" w:eastAsia="Calibri" w:hAnsi="Calibri"/>
          <w:color w:val="243240"/>
          <w:sz w:val="20"/>
          <w:szCs w:val="20"/>
        </w:rPr>
        <w:t xml:space="preserve"> Standard IHE Devices HL7 v2 messages over MLLP, the form hospital interface engines already expect.</w:t>
      </w:r>
    </w:p>
    <w:p>
      <w:pPr>
        <w:tabs>
          <w:tab w:val="left" w:pos="360"/>
        </w:tabs>
        <w:spacing w:after="70" w:before="0" w:line="268" w:lineRule="auto"/>
        <w:ind w:left="360" w:hanging="220"/>
      </w:pPr>
      <w:r>
        <w:rPr>
          <w:rFonts w:ascii="Calibri" w:cs="Calibri" w:eastAsia="Calibri" w:hAnsi="Calibri"/>
          <w:color w:val="5D7A94"/>
          <w:sz w:val="20"/>
          <w:szCs w:val="20"/>
        </w:rPr>
        <w:t xml:space="preserve">•	</w:t>
      </w:r>
      <w:r>
        <w:rPr>
          <w:rFonts w:ascii="Calibri" w:cs="Calibri" w:eastAsia="Calibri" w:hAnsi="Calibri"/>
          <w:b/>
          <w:bCs/>
          <w:color w:val="243240"/>
          <w:sz w:val="20"/>
          <w:szCs w:val="20"/>
        </w:rPr>
        <w:t xml:space="preserve">Device registration.</w:t>
      </w:r>
      <w:r>
        <w:rPr>
          <w:rFonts w:ascii="Calibri" w:cs="Calibri" w:eastAsia="Calibri" w:hAnsi="Calibri"/>
          <w:color w:val="243240"/>
          <w:sz w:val="20"/>
          <w:szCs w:val="20"/>
        </w:rPr>
        <w:t xml:space="preserve"> Nothing is sent until a device is registered, by vendor and serial. The registration says what the nurse scans (serial, asset tag or EUI-64), where the device lives, and how its patient may be found. Pumps and ventilators can both be registered.</w:t>
      </w:r>
    </w:p>
    <w:p>
      <w:pPr>
        <w:tabs>
          <w:tab w:val="left" w:pos="360"/>
        </w:tabs>
        <w:spacing w:after="70" w:before="0" w:line="268" w:lineRule="auto"/>
        <w:ind w:left="360" w:hanging="220"/>
      </w:pPr>
      <w:r>
        <w:rPr>
          <w:rFonts w:ascii="Calibri" w:cs="Calibri" w:eastAsia="Calibri" w:hAnsi="Calibri"/>
          <w:color w:val="5D7A94"/>
          <w:sz w:val="20"/>
          <w:szCs w:val="20"/>
        </w:rPr>
        <w:t xml:space="preserve">•	</w:t>
      </w:r>
      <w:r>
        <w:rPr>
          <w:rFonts w:ascii="Calibri" w:cs="Calibri" w:eastAsia="Calibri" w:hAnsi="Calibri"/>
          <w:b/>
          <w:bCs/>
          <w:color w:val="243240"/>
          <w:sz w:val="20"/>
          <w:szCs w:val="20"/>
        </w:rPr>
        <w:t xml:space="preserve">Patient association.</w:t>
      </w:r>
      <w:r>
        <w:rPr>
          <w:rFonts w:ascii="Calibri" w:cs="Calibri" w:eastAsia="Calibri" w:hAnsi="Calibri"/>
          <w:color w:val="243240"/>
          <w:sz w:val="20"/>
          <w:szCs w:val="20"/>
        </w:rPr>
        <w:t xml:space="preserve"> From the device itself (a wristband scanned at the pump), the hospital ADT feed for the device's bed, or a person. The sources must agree, or no patient is sent. A patient change from ADT while a pump is running waits for a person to confirm, because that is how wrong-patient charting starts.</w:t>
      </w:r>
    </w:p>
    <w:p>
      <w:pPr>
        <w:tabs>
          <w:tab w:val="left" w:pos="360"/>
        </w:tabs>
        <w:spacing w:after="70" w:before="0" w:line="268" w:lineRule="auto"/>
        <w:ind w:left="360" w:hanging="220"/>
      </w:pPr>
      <w:r>
        <w:rPr>
          <w:rFonts w:ascii="Calibri" w:cs="Calibri" w:eastAsia="Calibri" w:hAnsi="Calibri"/>
          <w:color w:val="5D7A94"/>
          <w:sz w:val="20"/>
          <w:szCs w:val="20"/>
        </w:rPr>
        <w:t xml:space="preserve">•	</w:t>
      </w:r>
      <w:r>
        <w:rPr>
          <w:rFonts w:ascii="Calibri" w:cs="Calibri" w:eastAsia="Calibri" w:hAnsi="Calibri"/>
          <w:b/>
          <w:bCs/>
          <w:color w:val="243240"/>
          <w:sz w:val="20"/>
          <w:szCs w:val="20"/>
        </w:rPr>
        <w:t xml:space="preserve">A web page.</w:t>
      </w:r>
      <w:r>
        <w:rPr>
          <w:rFonts w:ascii="Calibri" w:cs="Calibri" w:eastAsia="Calibri" w:hAnsi="Calibri"/>
          <w:color w:val="243240"/>
          <w:sz w:val="20"/>
          <w:szCs w:val="20"/>
        </w:rPr>
        <w:t xml:space="preserve"> Activity: a live view of every device, connection, event and message. Devices: registration. Patients: association and the ADT census. Sign-in protects every change.</w:t>
      </w:r>
    </w:p>
    <w:p>
      <w:pPr>
        <w:tabs>
          <w:tab w:val="left" w:pos="360"/>
        </w:tabs>
        <w:spacing w:after="70" w:before="0" w:line="268" w:lineRule="auto"/>
        <w:ind w:left="360" w:hanging="220"/>
      </w:pPr>
      <w:r>
        <w:rPr>
          <w:rFonts w:ascii="Calibri" w:cs="Calibri" w:eastAsia="Calibri" w:hAnsi="Calibri"/>
          <w:color w:val="5D7A94"/>
          <w:sz w:val="20"/>
          <w:szCs w:val="20"/>
        </w:rPr>
        <w:t xml:space="preserve">•	</w:t>
      </w:r>
      <w:r>
        <w:rPr>
          <w:rFonts w:ascii="Calibri" w:cs="Calibri" w:eastAsia="Calibri" w:hAnsi="Calibri"/>
          <w:b/>
          <w:bCs/>
          <w:color w:val="243240"/>
          <w:sz w:val="20"/>
          <w:szCs w:val="20"/>
        </w:rPr>
        <w:t xml:space="preserve">An adapter kit.</w:t>
      </w:r>
      <w:r>
        <w:rPr>
          <w:rFonts w:ascii="Calibri" w:cs="Calibri" w:eastAsia="Calibri" w:hAnsi="Calibri"/>
          <w:color w:val="243240"/>
          <w:sz w:val="20"/>
          <w:szCs w:val="20"/>
        </w:rPr>
        <w:t xml:space="preserve"> A base class, a complete worked example, a checker that finds mapping mistakes before a hospital does, and a command that writes a starter folder for your device.</w:t>
      </w:r>
    </w:p>
    <w:p>
      <w:pPr>
        <w:keepNext/>
        <w:pBdr>
          <w:bottom w:val="single" w:color="8FA3B3" w:sz="6" w:space="4"/>
        </w:pBdr>
        <w:spacing w:after="100" w:before="300" w:line="260" w:lineRule="auto"/>
      </w:pPr>
      <w:r>
        <w:rPr>
          <w:rFonts w:ascii="Calibri" w:cs="Calibri" w:eastAsia="Calibri" w:hAnsi="Calibri"/>
          <w:b/>
          <w:bCs/>
          <w:color w:val="2C3E50"/>
          <w:sz w:val="26"/>
          <w:szCs w:val="26"/>
        </w:rPr>
        <w:t xml:space="preserve">Open source, for anyone</w:t>
      </w:r>
    </w:p>
    <w:p>
      <w:pPr>
        <w:spacing w:after="110" w:before="0" w:line="276" w:lineRule="auto"/>
      </w:pPr>
      <w:r>
        <w:rPr>
          <w:rFonts w:ascii="Calibri" w:cs="Calibri" w:eastAsia="Calibri" w:hAnsi="Calibri"/>
          <w:color w:val="243240"/>
          <w:sz w:val="21"/>
          <w:szCs w:val="21"/>
        </w:rPr>
        <w:t xml:space="preserve">Nothing in OpenBedside is proprietary. It is released under the </w:t>
      </w:r>
      <w:r>
        <w:rPr>
          <w:rFonts w:ascii="Calibri" w:cs="Calibri" w:eastAsia="Calibri" w:hAnsi="Calibri"/>
          <w:b/>
          <w:bCs/>
          <w:color w:val="243240"/>
          <w:sz w:val="21"/>
          <w:szCs w:val="21"/>
        </w:rPr>
        <w:t xml:space="preserve">Apache License 2.0</w:t>
      </w:r>
      <w:r>
        <w:rPr>
          <w:rFonts w:ascii="Calibri" w:cs="Calibri" w:eastAsia="Calibri" w:hAnsi="Calibri"/>
          <w:color w:val="243240"/>
          <w:sz w:val="21"/>
          <w:szCs w:val="21"/>
        </w:rPr>
        <w:t xml:space="preserve">. Anyone may download it, use it, test it, change it, build it into their own product, and extend it to other devices. Improvements are welcome back, and your own device adapter can stay private if you prefer; the license allows both.</w:t>
      </w:r>
    </w:p>
    <w:p>
      <w:pPr>
        <w:spacing w:after="110" w:before="0" w:line="276" w:lineRule="auto"/>
      </w:pPr>
      <w:r>
        <w:rPr>
          <w:rFonts w:ascii="Calibri" w:cs="Calibri" w:eastAsia="Calibri" w:hAnsi="Calibri"/>
          <w:color w:val="243240"/>
          <w:sz w:val="21"/>
          <w:szCs w:val="21"/>
        </w:rPr>
        <w:t xml:space="preserve">It was designed from public sources: the IHE Devices Technical Framework, ISO/IEEE 11073 nomenclature as published, FDA guidance, and experience. No manufacturer's protocol or code is in it. The worked example uses a fictional pump with an invented protocol.</w:t>
      </w:r>
    </w:p>
    <w:p>
      <w:pPr>
        <w:keepNext/>
        <w:pBdr>
          <w:bottom w:val="single" w:color="8FA3B3" w:sz="6" w:space="4"/>
        </w:pBdr>
        <w:spacing w:after="100" w:before="300" w:line="260" w:lineRule="auto"/>
      </w:pPr>
      <w:r>
        <w:rPr>
          <w:rFonts w:ascii="Calibri" w:cs="Calibri" w:eastAsia="Calibri" w:hAnsi="Calibri"/>
          <w:b/>
          <w:bCs/>
          <w:color w:val="2C3E50"/>
          <w:sz w:val="26"/>
          <w:szCs w:val="26"/>
        </w:rPr>
        <w:t xml:space="preserve">What you write for a new device</w:t>
      </w:r>
    </w:p>
    <w:p>
      <w:pPr>
        <w:spacing w:after="110" w:before="0" w:line="276" w:lineRule="auto"/>
      </w:pPr>
      <w:r>
        <w:rPr>
          <w:rFonts w:ascii="Calibri" w:cs="Calibri" w:eastAsia="Calibri" w:hAnsi="Calibri"/>
          <w:color w:val="243240"/>
          <w:sz w:val="21"/>
          <w:szCs w:val="21"/>
        </w:rPr>
        <w:t xml:space="preserve">Whether you are a manufacturer, a hospital integration team or a researcher, you write one thing: an </w:t>
      </w:r>
      <w:r>
        <w:rPr>
          <w:rFonts w:ascii="Calibri" w:cs="Calibri" w:eastAsia="Calibri" w:hAnsi="Calibri"/>
          <w:b/>
          <w:bCs/>
          <w:color w:val="243240"/>
          <w:sz w:val="21"/>
          <w:szCs w:val="21"/>
        </w:rPr>
        <w:t xml:space="preserve">adapter</w:t>
      </w:r>
      <w:r>
        <w:rPr>
          <w:rFonts w:ascii="Calibri" w:cs="Calibri" w:eastAsia="Calibri" w:hAnsi="Calibri"/>
          <w:color w:val="243240"/>
          <w:sz w:val="21"/>
          <w:szCs w:val="21"/>
        </w:rPr>
        <w:t xml:space="preserve">. Every pump reports the same facts in different words, over a different connection. The adapter is the translation. In the worked example it is about 110 lines of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cantSplit/>
          <w:tblHeader/>
        </w:trPr>
        <w:tc>
          <w:tcPr>
            <w:tcW w:type="dxa" w:w="2600"/>
            <w:tcBorders>
              <w:top w:val="single" w:color="DCE6EC" w:sz="4"/>
              <w:left w:val="single" w:color="DCE6EC" w:sz="4"/>
              <w:bottom w:val="single" w:color="DCE6EC" w:sz="4"/>
              <w:right w:val="single" w:color="DCE6EC" w:sz="4"/>
            </w:tcBorders>
            <w:shd w:fill="2C3E50" w:color="auto" w:val="clear"/>
            <w:tcMar>
              <w:top w:type="dxa" w:w="60"/>
              <w:left w:type="dxa" w:w="90"/>
              <w:bottom w:type="dxa" w:w="60"/>
              <w:right w:type="dxa" w:w="90"/>
            </w:tcMar>
            <w:vAlign w:val="top"/>
          </w:tcPr>
          <w:p>
            <w:pPr>
              <w:keepNext/>
              <w:keepLines/>
              <w:spacing w:after="40" w:before="0" w:line="250" w:lineRule="auto"/>
            </w:pPr>
            <w:r>
              <w:rPr>
                <w:rFonts w:ascii="Calibri" w:cs="Calibri" w:eastAsia="Calibri" w:hAnsi="Calibri"/>
                <w:b/>
                <w:bCs/>
                <w:color w:val="FFFFFF"/>
                <w:sz w:val="17"/>
                <w:szCs w:val="17"/>
              </w:rPr>
              <w:t xml:space="preserve">Part</w:t>
            </w:r>
          </w:p>
        </w:tc>
        <w:tc>
          <w:tcPr>
            <w:tcW w:type="dxa" w:w="6760"/>
            <w:tcBorders>
              <w:top w:val="single" w:color="DCE6EC" w:sz="4"/>
              <w:left w:val="single" w:color="DCE6EC" w:sz="4"/>
              <w:bottom w:val="single" w:color="DCE6EC" w:sz="4"/>
              <w:right w:val="single" w:color="DCE6EC" w:sz="4"/>
            </w:tcBorders>
            <w:shd w:fill="2C3E50" w:color="auto" w:val="clear"/>
            <w:tcMar>
              <w:top w:type="dxa" w:w="60"/>
              <w:left w:type="dxa" w:w="90"/>
              <w:bottom w:type="dxa" w:w="60"/>
              <w:right w:type="dxa" w:w="90"/>
            </w:tcMar>
            <w:vAlign w:val="top"/>
          </w:tcPr>
          <w:p>
            <w:pPr>
              <w:keepNext/>
              <w:keepLines/>
              <w:spacing w:after="40" w:before="0" w:line="250" w:lineRule="auto"/>
            </w:pPr>
            <w:r>
              <w:rPr>
                <w:rFonts w:ascii="Calibri" w:cs="Calibri" w:eastAsia="Calibri" w:hAnsi="Calibri"/>
                <w:b/>
                <w:bCs/>
                <w:color w:val="FFFFFF"/>
                <w:sz w:val="17"/>
                <w:szCs w:val="17"/>
              </w:rPr>
              <w:t xml:space="preserve">What it does</w:t>
            </w:r>
          </w:p>
        </w:tc>
      </w:tr>
      <w:tr>
        <w:trPr>
          <w:cantSplit w:val="false"/>
        </w:trPr>
        <w:tc>
          <w:tcPr>
            <w:tcW w:type="dxa" w:w="2600"/>
            <w:tcBorders>
              <w:top w:val="single" w:color="DCE6EC" w:sz="4"/>
              <w:left w:val="single" w:color="DCE6EC" w:sz="4"/>
              <w:bottom w:val="single" w:color="DCE6EC" w:sz="4"/>
              <w:right w:val="single" w:color="DCE6EC" w:sz="4"/>
            </w:tcBorders>
            <w:tcMar>
              <w:top w:type="dxa" w:w="60"/>
              <w:left w:type="dxa" w:w="90"/>
              <w:bottom w:type="dxa" w:w="60"/>
              <w:right w:type="dxa" w:w="90"/>
            </w:tcMar>
            <w:vAlign w:val="top"/>
          </w:tcPr>
          <w:p>
            <w:pPr>
              <w:keepNext/>
              <w:keepLines/>
              <w:spacing w:after="40" w:before="0" w:line="250" w:lineRule="auto"/>
            </w:pPr>
            <w:r>
              <w:rPr>
                <w:rFonts w:ascii="Calibri" w:cs="Calibri" w:eastAsia="Calibri" w:hAnsi="Calibri"/>
                <w:color w:val="243240"/>
                <w:sz w:val="18"/>
                <w:szCs w:val="18"/>
              </w:rPr>
              <w:t xml:space="preserve">Vocabulary tables</w:t>
            </w:r>
          </w:p>
        </w:tc>
        <w:tc>
          <w:tcPr>
            <w:tcW w:type="dxa" w:w="6760"/>
            <w:tcBorders>
              <w:top w:val="single" w:color="DCE6EC" w:sz="4"/>
              <w:left w:val="single" w:color="DCE6EC" w:sz="4"/>
              <w:bottom w:val="single" w:color="DCE6EC" w:sz="4"/>
              <w:right w:val="single" w:color="DCE6EC" w:sz="4"/>
            </w:tcBorders>
            <w:tcMar>
              <w:top w:type="dxa" w:w="60"/>
              <w:left w:type="dxa" w:w="90"/>
              <w:bottom w:type="dxa" w:w="60"/>
              <w:right w:type="dxa" w:w="90"/>
            </w:tcMar>
            <w:vAlign w:val="top"/>
          </w:tcPr>
          <w:p>
            <w:pPr>
              <w:keepNext/>
              <w:keepLines/>
              <w:spacing w:after="40" w:before="0" w:line="250" w:lineRule="auto"/>
            </w:pPr>
            <w:r>
              <w:rPr>
                <w:rFonts w:ascii="Calibri" w:cs="Calibri" w:eastAsia="Calibri" w:hAnsi="Calibri"/>
                <w:color w:val="243240"/>
                <w:sz w:val="18"/>
                <w:szCs w:val="18"/>
              </w:rPr>
              <w:t xml:space="preserve">Your state names and unit strings mapped to OpenBedside's, in one place</w:t>
            </w:r>
          </w:p>
        </w:tc>
      </w:tr>
      <w:tr>
        <w:trPr>
          <w:cantSplit w:val="false"/>
        </w:trPr>
        <w:tc>
          <w:tcPr>
            <w:tcW w:type="dxa" w:w="2600"/>
            <w:tcBorders>
              <w:top w:val="single" w:color="DCE6EC" w:sz="4"/>
              <w:left w:val="single" w:color="DCE6EC" w:sz="4"/>
              <w:bottom w:val="single" w:color="DCE6EC" w:sz="4"/>
              <w:right w:val="single" w:color="DCE6EC" w:sz="4"/>
            </w:tcBorders>
            <w:shd w:fill="F6F8FA" w:color="auto" w:val="clear"/>
            <w:tcMar>
              <w:top w:type="dxa" w:w="60"/>
              <w:left w:type="dxa" w:w="90"/>
              <w:bottom w:type="dxa" w:w="60"/>
              <w:right w:type="dxa" w:w="90"/>
            </w:tcMar>
            <w:vAlign w:val="top"/>
          </w:tcPr>
          <w:p>
            <w:pPr>
              <w:keepNext w:val="false"/>
              <w:keepLines/>
              <w:spacing w:after="40" w:before="0" w:line="250" w:lineRule="auto"/>
            </w:pPr>
            <w:r>
              <w:rPr>
                <w:rFonts w:ascii="Calibri" w:cs="Calibri" w:eastAsia="Calibri" w:hAnsi="Calibri"/>
                <w:color w:val="243240"/>
                <w:sz w:val="18"/>
                <w:szCs w:val="18"/>
              </w:rPr>
              <w:t xml:space="preserve">Transport</w:t>
            </w:r>
          </w:p>
        </w:tc>
        <w:tc>
          <w:tcPr>
            <w:tcW w:type="dxa" w:w="6760"/>
            <w:tcBorders>
              <w:top w:val="single" w:color="DCE6EC" w:sz="4"/>
              <w:left w:val="single" w:color="DCE6EC" w:sz="4"/>
              <w:bottom w:val="single" w:color="DCE6EC" w:sz="4"/>
              <w:right w:val="single" w:color="DCE6EC" w:sz="4"/>
            </w:tcBorders>
            <w:shd w:fill="F6F8FA" w:color="auto" w:val="clear"/>
            <w:tcMar>
              <w:top w:type="dxa" w:w="60"/>
              <w:left w:type="dxa" w:w="90"/>
              <w:bottom w:type="dxa" w:w="60"/>
              <w:right w:type="dxa" w:w="90"/>
            </w:tcMar>
            <w:vAlign w:val="top"/>
          </w:tcPr>
          <w:p>
            <w:pPr>
              <w:keepNext w:val="false"/>
              <w:keepLines/>
              <w:spacing w:after="40" w:before="0" w:line="250" w:lineRule="auto"/>
            </w:pPr>
            <w:r>
              <w:rPr>
                <w:rFonts w:ascii="Calibri" w:cs="Calibri" w:eastAsia="Calibri" w:hAnsi="Calibri"/>
                <w:color w:val="243240"/>
                <w:sz w:val="18"/>
                <w:szCs w:val="18"/>
              </w:rPr>
              <w:t xml:space="preserve">connect and read_message: TCP, serial, your own device server, whatever your device uses</w:t>
            </w:r>
          </w:p>
        </w:tc>
      </w:tr>
      <w:tr>
        <w:trPr>
          <w:cantSplit w:val="false"/>
        </w:trPr>
        <w:tc>
          <w:tcPr>
            <w:tcW w:type="dxa" w:w="2600"/>
            <w:tcBorders>
              <w:top w:val="single" w:color="DCE6EC" w:sz="4"/>
              <w:left w:val="single" w:color="DCE6EC" w:sz="4"/>
              <w:bottom w:val="single" w:color="DCE6EC" w:sz="4"/>
              <w:right w:val="single" w:color="DCE6EC" w:sz="4"/>
            </w:tcBorders>
            <w:tcMar>
              <w:top w:type="dxa" w:w="60"/>
              <w:left w:type="dxa" w:w="90"/>
              <w:bottom w:type="dxa" w:w="60"/>
              <w:right w:type="dxa" w:w="90"/>
            </w:tcMar>
            <w:vAlign w:val="top"/>
          </w:tcPr>
          <w:p>
            <w:pPr>
              <w:keepNext w:val="false"/>
              <w:keepLines/>
              <w:spacing w:after="40" w:before="0" w:line="250" w:lineRule="auto"/>
            </w:pPr>
            <w:r>
              <w:rPr>
                <w:rFonts w:ascii="Calibri" w:cs="Calibri" w:eastAsia="Calibri" w:hAnsi="Calibri"/>
                <w:color w:val="243240"/>
                <w:sz w:val="18"/>
                <w:szCs w:val="18"/>
              </w:rPr>
              <w:t xml:space="preserve">Translation</w:t>
            </w:r>
          </w:p>
        </w:tc>
        <w:tc>
          <w:tcPr>
            <w:tcW w:type="dxa" w:w="6760"/>
            <w:tcBorders>
              <w:top w:val="single" w:color="DCE6EC" w:sz="4"/>
              <w:left w:val="single" w:color="DCE6EC" w:sz="4"/>
              <w:bottom w:val="single" w:color="DCE6EC" w:sz="4"/>
              <w:right w:val="single" w:color="DCE6EC" w:sz="4"/>
            </w:tcBorders>
            <w:tcMar>
              <w:top w:type="dxa" w:w="60"/>
              <w:left w:type="dxa" w:w="90"/>
              <w:bottom w:type="dxa" w:w="60"/>
              <w:right w:type="dxa" w:w="90"/>
            </w:tcMar>
            <w:vAlign w:val="top"/>
          </w:tcPr>
          <w:p>
            <w:pPr>
              <w:keepNext w:val="false"/>
              <w:keepLines/>
              <w:spacing w:after="40" w:before="0" w:line="250" w:lineRule="auto"/>
            </w:pPr>
            <w:r>
              <w:rPr>
                <w:rFonts w:ascii="Calibri" w:cs="Calibri" w:eastAsia="Calibri" w:hAnsi="Calibri"/>
                <w:color w:val="243240"/>
                <w:sz w:val="18"/>
                <w:szCs w:val="18"/>
              </w:rPr>
              <w:t xml:space="preserve">normalize: one raw message in, one standard snapshot out</w:t>
            </w:r>
          </w:p>
        </w:tc>
      </w:tr>
    </w:tbl>
    <w:p>
      <w:pPr>
        <w:spacing w:after="80" w:before="0"/>
      </w:pPr>
    </w:p>
    <w:p>
      <w:pPr>
        <w:spacing w:after="110" w:before="0" w:line="276" w:lineRule="auto"/>
      </w:pPr>
      <w:r>
        <w:rPr>
          <w:rFonts w:ascii="Calibri" w:cs="Calibri" w:eastAsia="Calibri" w:hAnsi="Calibri"/>
          <w:color w:val="243240"/>
          <w:sz w:val="21"/>
          <w:szCs w:val="21"/>
        </w:rPr>
        <w:t xml:space="preserve">Everything after that, from state and events to delivery and the activity page, is identical for every device.</w:t>
      </w:r>
    </w:p>
    <w:p>
      <w:pPr>
        <w:keepNext/>
        <w:pBdr>
          <w:bottom w:val="single" w:color="8FA3B3" w:sz="6" w:space="4"/>
        </w:pBdr>
        <w:spacing w:after="100" w:before="300" w:line="260" w:lineRule="auto"/>
      </w:pPr>
      <w:r>
        <w:rPr>
          <w:rFonts w:ascii="Calibri" w:cs="Calibri" w:eastAsia="Calibri" w:hAnsi="Calibri"/>
          <w:b/>
          <w:bCs/>
          <w:color w:val="2C3E50"/>
          <w:sz w:val="26"/>
          <w:szCs w:val="26"/>
        </w:rPr>
        <w:t xml:space="preserve">The web page</w:t>
      </w:r>
    </w:p>
    <w:p>
      <w:pPr>
        <w:spacing w:after="110" w:before="0" w:line="276" w:lineRule="auto"/>
      </w:pPr>
      <w:r>
        <w:rPr>
          <w:rFonts w:ascii="Calibri" w:cs="Calibri" w:eastAsia="Calibri" w:hAnsi="Calibri"/>
          <w:color w:val="243240"/>
          <w:sz w:val="21"/>
          <w:szCs w:val="21"/>
        </w:rPr>
        <w:t xml:space="preserve">The worked example running: the fictional ACME pump registered by its asset tag to ICU 204 bed 1, its patient found from a synthetic ADT admit, two modules infusing, a piggyback nearly finished, and every message delivered to the stand-in hospital system and acknowledged.</w:t>
      </w:r>
    </w:p>
    <w:p>
      <w:pPr>
        <w:spacing w:after="120"/>
        <w:jc w:val="center"/>
      </w:pPr>
      <w:r>
        <w:drawing>
          <wp:inline distT="0" distB="0" distL="0" distR="0">
            <wp:extent cx="533400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486275"/>
                    </a:xfrm>
                    <a:prstGeom prst="rect">
                      <a:avLst/>
                    </a:prstGeom>
                  </pic:spPr>
                </pic:pic>
              </a:graphicData>
            </a:graphic>
          </wp:inline>
        </w:drawing>
      </w:r>
    </w:p>
    <w:p>
      <w:pPr>
        <w:spacing w:after="110" w:before="0" w:line="276" w:lineRule="auto"/>
      </w:pPr>
      <w:r>
        <w:rPr>
          <w:rFonts w:ascii="Calibri" w:cs="Calibri" w:eastAsia="Calibri" w:hAnsi="Calibri"/>
          <w:color w:val="243240"/>
          <w:sz w:val="21"/>
          <w:szCs w:val="21"/>
        </w:rPr>
        <w:t xml:space="preserve">Registration, on the Devices page:</w:t>
      </w:r>
    </w:p>
    <w:p>
      <w:pPr>
        <w:spacing w:after="120"/>
        <w:jc w:val="center"/>
      </w:pPr>
      <w:r>
        <w:drawing>
          <wp:inline distT="0" distB="0" distL="0" distR="0">
            <wp:extent cx="5334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86125"/>
                    </a:xfrm>
                    <a:prstGeom prst="rect">
                      <a:avLst/>
                    </a:prstGeom>
                  </pic:spPr>
                </pic:pic>
              </a:graphicData>
            </a:graphic>
          </wp:inline>
        </w:drawing>
      </w:r>
    </w:p>
    <w:p>
      <w:pPr>
        <w:keepNext/>
        <w:pBdr>
          <w:bottom w:val="single" w:color="8FA3B3" w:sz="6" w:space="4"/>
        </w:pBdr>
        <w:spacing w:after="100" w:before="300" w:line="260" w:lineRule="auto"/>
      </w:pPr>
      <w:r>
        <w:rPr>
          <w:rFonts w:ascii="Calibri" w:cs="Calibri" w:eastAsia="Calibri" w:hAnsi="Calibri"/>
          <w:b/>
          <w:bCs/>
          <w:color w:val="2C3E50"/>
          <w:sz w:val="26"/>
          <w:szCs w:val="26"/>
        </w:rPr>
        <w:t xml:space="preserve">Try it in fifteen minutes</w:t>
      </w:r>
    </w:p>
    <w:p>
      <w:pPr>
        <w:tabs>
          <w:tab w:val="left" w:pos="400"/>
        </w:tabs>
        <w:spacing w:after="80" w:before="0" w:line="268" w:lineRule="auto"/>
        <w:ind w:left="400" w:hanging="400"/>
      </w:pPr>
      <w:r>
        <w:rPr>
          <w:rFonts w:ascii="Calibri" w:cs="Calibri" w:eastAsia="Calibri" w:hAnsi="Calibri"/>
          <w:b/>
          <w:bCs/>
          <w:color w:val="1F6E8C"/>
          <w:sz w:val="20"/>
          <w:szCs w:val="20"/>
        </w:rPr>
        <w:t xml:space="preserve">1.	</w:t>
      </w:r>
      <w:r>
        <w:rPr>
          <w:rFonts w:ascii="Calibri" w:cs="Calibri" w:eastAsia="Calibri" w:hAnsi="Calibri"/>
          <w:color w:val="243240"/>
          <w:sz w:val="20"/>
          <w:szCs w:val="20"/>
        </w:rPr>
        <w:t xml:space="preserve">Install Python 3.11 or newer (free, from python.org).</w:t>
      </w:r>
    </w:p>
    <w:p>
      <w:pPr>
        <w:tabs>
          <w:tab w:val="left" w:pos="400"/>
        </w:tabs>
        <w:spacing w:after="80" w:before="0" w:line="268" w:lineRule="auto"/>
        <w:ind w:left="400" w:hanging="400"/>
      </w:pPr>
      <w:r>
        <w:rPr>
          <w:rFonts w:ascii="Calibri" w:cs="Calibri" w:eastAsia="Calibri" w:hAnsi="Calibri"/>
          <w:b/>
          <w:bCs/>
          <w:color w:val="1F6E8C"/>
          <w:sz w:val="20"/>
          <w:szCs w:val="20"/>
        </w:rPr>
        <w:t xml:space="preserve">2.	</w:t>
      </w:r>
      <w:r>
        <w:rPr>
          <w:rFonts w:ascii="Calibri" w:cs="Calibri" w:eastAsia="Calibri" w:hAnsi="Calibri"/>
          <w:color w:val="243240"/>
          <w:sz w:val="20"/>
          <w:szCs w:val="20"/>
        </w:rPr>
        <w:t xml:space="preserve">Put the OpenBedside folder anywhere, and follow START-HERE-install-on-your-Mac.md inside it. Linux is the same, and Windows is covered in the user guide.</w:t>
      </w:r>
    </w:p>
    <w:p>
      <w:pPr>
        <w:tabs>
          <w:tab w:val="left" w:pos="400"/>
        </w:tabs>
        <w:spacing w:after="80" w:before="0" w:line="268" w:lineRule="auto"/>
        <w:ind w:left="400" w:hanging="400"/>
      </w:pPr>
      <w:r>
        <w:rPr>
          <w:rFonts w:ascii="Calibri" w:cs="Calibri" w:eastAsia="Calibri" w:hAnsi="Calibri"/>
          <w:b/>
          <w:bCs/>
          <w:color w:val="1F6E8C"/>
          <w:sz w:val="20"/>
          <w:szCs w:val="20"/>
        </w:rPr>
        <w:t xml:space="preserve">3.	</w:t>
      </w:r>
      <w:r>
        <w:rPr>
          <w:rFonts w:ascii="Calibri" w:cs="Calibri" w:eastAsia="Calibri" w:hAnsi="Calibri"/>
          <w:color w:val="243240"/>
          <w:sz w:val="20"/>
          <w:szCs w:val="20"/>
        </w:rPr>
        <w:t xml:space="preserve">Run </w:t>
      </w:r>
      <w:r>
        <w:rPr>
          <w:rFonts w:ascii="Calibri" w:cs="Calibri" w:eastAsia="Calibri" w:hAnsi="Calibri"/>
          <w:b/>
          <w:bCs/>
          <w:color w:val="243240"/>
          <w:sz w:val="20"/>
          <w:szCs w:val="20"/>
        </w:rPr>
        <w:t xml:space="preserve">openbedside demo</w:t>
      </w:r>
      <w:r>
        <w:rPr>
          <w:rFonts w:ascii="Calibri" w:cs="Calibri" w:eastAsia="Calibri" w:hAnsi="Calibri"/>
          <w:color w:val="243240"/>
          <w:sz w:val="20"/>
          <w:szCs w:val="20"/>
        </w:rPr>
        <w:t xml:space="preserve"> and open http://127.0.0.1:8080. A simulated pump talks to a stand-in hospital system.</w:t>
      </w:r>
    </w:p>
    <w:p>
      <w:pPr>
        <w:tabs>
          <w:tab w:val="left" w:pos="400"/>
        </w:tabs>
        <w:spacing w:after="80" w:before="0" w:line="268" w:lineRule="auto"/>
        <w:ind w:left="400" w:hanging="400"/>
      </w:pPr>
      <w:r>
        <w:rPr>
          <w:rFonts w:ascii="Calibri" w:cs="Calibri" w:eastAsia="Calibri" w:hAnsi="Calibri"/>
          <w:b/>
          <w:bCs/>
          <w:color w:val="1F6E8C"/>
          <w:sz w:val="20"/>
          <w:szCs w:val="20"/>
        </w:rPr>
        <w:t xml:space="preserve">4.	</w:t>
      </w:r>
      <w:r>
        <w:rPr>
          <w:rFonts w:ascii="Calibri" w:cs="Calibri" w:eastAsia="Calibri" w:hAnsi="Calibri"/>
          <w:color w:val="243240"/>
          <w:sz w:val="20"/>
          <w:szCs w:val="20"/>
        </w:rPr>
        <w:t xml:space="preserve">Run the worked example: </w:t>
      </w:r>
      <w:r>
        <w:rPr>
          <w:rFonts w:ascii="Calibri" w:cs="Calibri" w:eastAsia="Calibri" w:hAnsi="Calibri"/>
          <w:b/>
          <w:bCs/>
          <w:color w:val="243240"/>
          <w:sz w:val="20"/>
          <w:szCs w:val="20"/>
        </w:rPr>
        <w:t xml:space="preserve">openbedside fake-pump</w:t>
      </w:r>
      <w:r>
        <w:rPr>
          <w:rFonts w:ascii="Calibri" w:cs="Calibri" w:eastAsia="Calibri" w:hAnsi="Calibri"/>
          <w:color w:val="243240"/>
          <w:sz w:val="20"/>
          <w:szCs w:val="20"/>
        </w:rPr>
        <w:t xml:space="preserve">, </w:t>
      </w:r>
      <w:r>
        <w:rPr>
          <w:rFonts w:ascii="Calibri" w:cs="Calibri" w:eastAsia="Calibri" w:hAnsi="Calibri"/>
          <w:b/>
          <w:bCs/>
          <w:color w:val="243240"/>
          <w:sz w:val="20"/>
          <w:szCs w:val="20"/>
        </w:rPr>
        <w:t xml:space="preserve">openbedside ehr-sim</w:t>
      </w:r>
      <w:r>
        <w:rPr>
          <w:rFonts w:ascii="Calibri" w:cs="Calibri" w:eastAsia="Calibri" w:hAnsi="Calibri"/>
          <w:color w:val="243240"/>
          <w:sz w:val="20"/>
          <w:szCs w:val="20"/>
        </w:rPr>
        <w:t xml:space="preserve">, then </w:t>
      </w:r>
      <w:r>
        <w:rPr>
          <w:rFonts w:ascii="Calibri" w:cs="Calibri" w:eastAsia="Calibri" w:hAnsi="Calibri"/>
          <w:b/>
          <w:bCs/>
          <w:color w:val="243240"/>
          <w:sz w:val="20"/>
          <w:szCs w:val="20"/>
        </w:rPr>
        <w:t xml:space="preserve">openbedside run -c config/acme-example.toml</w:t>
      </w:r>
      <w:r>
        <w:rPr>
          <w:rFonts w:ascii="Calibri" w:cs="Calibri" w:eastAsia="Calibri" w:hAnsi="Calibri"/>
          <w:color w:val="243240"/>
          <w:sz w:val="20"/>
          <w:szCs w:val="20"/>
        </w:rPr>
        <w:t xml:space="preserve">. Register the ACME pump on the Devices page and watch its data start to flow.</w:t>
      </w:r>
    </w:p>
    <w:p>
      <w:pPr>
        <w:keepNext/>
        <w:pBdr>
          <w:bottom w:val="single" w:color="8FA3B3" w:sz="6" w:space="4"/>
        </w:pBdr>
        <w:spacing w:after="100" w:before="300" w:line="260" w:lineRule="auto"/>
      </w:pPr>
      <w:r>
        <w:rPr>
          <w:rFonts w:ascii="Calibri" w:cs="Calibri" w:eastAsia="Calibri" w:hAnsi="Calibri"/>
          <w:b/>
          <w:bCs/>
          <w:color w:val="2C3E50"/>
          <w:sz w:val="26"/>
          <w:szCs w:val="26"/>
        </w:rPr>
        <w:t xml:space="preserve">Connecting your device</w:t>
      </w:r>
    </w:p>
    <w:p>
      <w:pPr>
        <w:spacing w:after="110" w:before="0" w:line="276" w:lineRule="auto"/>
      </w:pPr>
      <w:r>
        <w:rPr>
          <w:rFonts w:ascii="Calibri" w:cs="Calibri" w:eastAsia="Calibri" w:hAnsi="Calibri"/>
          <w:color w:val="243240"/>
          <w:sz w:val="21"/>
          <w:szCs w:val="21"/>
        </w:rPr>
        <w:t xml:space="preserve">The vendor integration guide (docs/VENDOR-INTEGRATION-GUIDE.md) walks through it step by step:</w:t>
      </w:r>
    </w:p>
    <w:p>
      <w:pPr>
        <w:tabs>
          <w:tab w:val="left" w:pos="400"/>
        </w:tabs>
        <w:spacing w:after="80" w:before="0" w:line="268" w:lineRule="auto"/>
        <w:ind w:left="400" w:hanging="400"/>
      </w:pPr>
      <w:r>
        <w:rPr>
          <w:rFonts w:ascii="Calibri" w:cs="Calibri" w:eastAsia="Calibri" w:hAnsi="Calibri"/>
          <w:b/>
          <w:bCs/>
          <w:color w:val="1F6E8C"/>
          <w:sz w:val="20"/>
          <w:szCs w:val="20"/>
        </w:rPr>
        <w:t xml:space="preserve">1.	</w:t>
      </w:r>
      <w:r>
        <w:rPr>
          <w:rFonts w:ascii="Calibri" w:cs="Calibri" w:eastAsia="Calibri" w:hAnsi="Calibri"/>
          <w:color w:val="243240"/>
          <w:sz w:val="20"/>
          <w:szCs w:val="20"/>
        </w:rPr>
        <w:t xml:space="preserve">Fill in the </w:t>
      </w:r>
      <w:r>
        <w:rPr>
          <w:rFonts w:ascii="Calibri" w:cs="Calibri" w:eastAsia="Calibri" w:hAnsi="Calibri"/>
          <w:b/>
          <w:bCs/>
          <w:color w:val="243240"/>
          <w:sz w:val="20"/>
          <w:szCs w:val="20"/>
        </w:rPr>
        <w:t xml:space="preserve">mapping worksheet</w:t>
      </w:r>
      <w:r>
        <w:rPr>
          <w:rFonts w:ascii="Calibri" w:cs="Calibri" w:eastAsia="Calibri" w:hAnsi="Calibri"/>
          <w:color w:val="243240"/>
          <w:sz w:val="20"/>
          <w:szCs w:val="20"/>
        </w:rPr>
        <w:t xml:space="preserve">: transport, identity, every state, every value and unit, piggybacks, and what your device does not send.</w:t>
      </w:r>
    </w:p>
    <w:p>
      <w:pPr>
        <w:tabs>
          <w:tab w:val="left" w:pos="400"/>
        </w:tabs>
        <w:spacing w:after="80" w:before="0" w:line="268" w:lineRule="auto"/>
        <w:ind w:left="400" w:hanging="400"/>
      </w:pPr>
      <w:r>
        <w:rPr>
          <w:rFonts w:ascii="Calibri" w:cs="Calibri" w:eastAsia="Calibri" w:hAnsi="Calibri"/>
          <w:b/>
          <w:bCs/>
          <w:color w:val="1F6E8C"/>
          <w:sz w:val="20"/>
          <w:szCs w:val="20"/>
        </w:rPr>
        <w:t xml:space="preserve">2.	</w:t>
      </w:r>
      <w:r>
        <w:rPr>
          <w:rFonts w:ascii="Calibri" w:cs="Calibri" w:eastAsia="Calibri" w:hAnsi="Calibri"/>
          <w:color w:val="243240"/>
          <w:sz w:val="20"/>
          <w:szCs w:val="20"/>
        </w:rPr>
        <w:t xml:space="preserve">Run </w:t>
      </w:r>
      <w:r>
        <w:rPr>
          <w:rFonts w:ascii="Calibri" w:cs="Calibri" w:eastAsia="Calibri" w:hAnsi="Calibri"/>
          <w:b/>
          <w:bCs/>
          <w:color w:val="243240"/>
          <w:sz w:val="20"/>
          <w:szCs w:val="20"/>
        </w:rPr>
        <w:t xml:space="preserve">openbedside new-adapter yourcompany</w:t>
      </w:r>
      <w:r>
        <w:rPr>
          <w:rFonts w:ascii="Calibri" w:cs="Calibri" w:eastAsia="Calibri" w:hAnsi="Calibri"/>
          <w:color w:val="243240"/>
          <w:sz w:val="20"/>
          <w:szCs w:val="20"/>
        </w:rPr>
        <w:t xml:space="preserve"> to get a starter folder with the adapter, a config, tests and the worksheet.</w:t>
      </w:r>
    </w:p>
    <w:p>
      <w:pPr>
        <w:tabs>
          <w:tab w:val="left" w:pos="400"/>
        </w:tabs>
        <w:spacing w:after="80" w:before="0" w:line="268" w:lineRule="auto"/>
        <w:ind w:left="400" w:hanging="400"/>
      </w:pPr>
      <w:r>
        <w:rPr>
          <w:rFonts w:ascii="Calibri" w:cs="Calibri" w:eastAsia="Calibri" w:hAnsi="Calibri"/>
          <w:b/>
          <w:bCs/>
          <w:color w:val="1F6E8C"/>
          <w:sz w:val="20"/>
          <w:szCs w:val="20"/>
        </w:rPr>
        <w:t xml:space="preserve">3.	</w:t>
      </w:r>
      <w:r>
        <w:rPr>
          <w:rFonts w:ascii="Calibri" w:cs="Calibri" w:eastAsia="Calibri" w:hAnsi="Calibri"/>
          <w:color w:val="243240"/>
          <w:sz w:val="20"/>
          <w:szCs w:val="20"/>
        </w:rPr>
        <w:t xml:space="preserve">Write the four marked sections of the adapter.</w:t>
      </w:r>
    </w:p>
    <w:p>
      <w:pPr>
        <w:tabs>
          <w:tab w:val="left" w:pos="400"/>
        </w:tabs>
        <w:spacing w:after="80" w:before="0" w:line="268" w:lineRule="auto"/>
        <w:ind w:left="400" w:hanging="400"/>
      </w:pPr>
      <w:r>
        <w:rPr>
          <w:rFonts w:ascii="Calibri" w:cs="Calibri" w:eastAsia="Calibri" w:hAnsi="Calibri"/>
          <w:b/>
          <w:bCs/>
          <w:color w:val="1F6E8C"/>
          <w:sz w:val="20"/>
          <w:szCs w:val="20"/>
        </w:rPr>
        <w:t xml:space="preserve">4.	</w:t>
      </w:r>
      <w:r>
        <w:rPr>
          <w:rFonts w:ascii="Calibri" w:cs="Calibri" w:eastAsia="Calibri" w:hAnsi="Calibri"/>
          <w:color w:val="243240"/>
          <w:sz w:val="20"/>
          <w:szCs w:val="20"/>
        </w:rPr>
        <w:t xml:space="preserve">Run </w:t>
      </w:r>
      <w:r>
        <w:rPr>
          <w:rFonts w:ascii="Calibri" w:cs="Calibri" w:eastAsia="Calibri" w:hAnsi="Calibri"/>
          <w:b/>
          <w:bCs/>
          <w:color w:val="243240"/>
          <w:sz w:val="20"/>
          <w:szCs w:val="20"/>
        </w:rPr>
        <w:t xml:space="preserve">openbedside check</w:t>
      </w:r>
      <w:r>
        <w:rPr>
          <w:rFonts w:ascii="Calibri" w:cs="Calibri" w:eastAsia="Calibri" w:hAnsi="Calibri"/>
          <w:color w:val="243240"/>
          <w:sz w:val="20"/>
          <w:szCs w:val="20"/>
        </w:rPr>
        <w:t xml:space="preserve">. It runs your adapter against your device, sends nothing, reports every problem, and shows the exact HL7 message a hospital would receive. Get to PASS.</w:t>
      </w:r>
    </w:p>
    <w:p>
      <w:pPr>
        <w:tabs>
          <w:tab w:val="left" w:pos="400"/>
        </w:tabs>
        <w:spacing w:after="80" w:before="0" w:line="268" w:lineRule="auto"/>
        <w:ind w:left="400" w:hanging="400"/>
      </w:pPr>
      <w:r>
        <w:rPr>
          <w:rFonts w:ascii="Calibri" w:cs="Calibri" w:eastAsia="Calibri" w:hAnsi="Calibri"/>
          <w:b/>
          <w:bCs/>
          <w:color w:val="1F6E8C"/>
          <w:sz w:val="20"/>
          <w:szCs w:val="20"/>
        </w:rPr>
        <w:t xml:space="preserve">5.	</w:t>
      </w:r>
      <w:r>
        <w:rPr>
          <w:rFonts w:ascii="Calibri" w:cs="Calibri" w:eastAsia="Calibri" w:hAnsi="Calibri"/>
          <w:color w:val="243240"/>
          <w:sz w:val="20"/>
          <w:szCs w:val="20"/>
        </w:rPr>
        <w:t xml:space="preserve">Run against the stand-in hospital and watch the activity page.</w:t>
      </w:r>
    </w:p>
    <w:p>
      <w:pPr>
        <w:tabs>
          <w:tab w:val="left" w:pos="400"/>
        </w:tabs>
        <w:spacing w:after="80" w:before="0" w:line="268" w:lineRule="auto"/>
        <w:ind w:left="400" w:hanging="400"/>
      </w:pPr>
      <w:r>
        <w:rPr>
          <w:rFonts w:ascii="Calibri" w:cs="Calibri" w:eastAsia="Calibri" w:hAnsi="Calibri"/>
          <w:b/>
          <w:bCs/>
          <w:color w:val="1F6E8C"/>
          <w:sz w:val="20"/>
          <w:szCs w:val="20"/>
        </w:rPr>
        <w:t xml:space="preserve">6.	</w:t>
      </w:r>
      <w:r>
        <w:rPr>
          <w:rFonts w:ascii="Calibri" w:cs="Calibri" w:eastAsia="Calibri" w:hAnsi="Calibri"/>
          <w:color w:val="243240"/>
          <w:sz w:val="20"/>
          <w:szCs w:val="20"/>
        </w:rPr>
        <w:t xml:space="preserve">Work through the 14 hard cases in the guide: pause, piggyback, KVO, power loss, network loss, hospital system down, gateway restart, clock drift.</w:t>
      </w:r>
    </w:p>
    <w:p>
      <w:pPr>
        <w:tabs>
          <w:tab w:val="left" w:pos="400"/>
        </w:tabs>
        <w:spacing w:after="80" w:before="0" w:line="268" w:lineRule="auto"/>
        <w:ind w:left="400" w:hanging="400"/>
      </w:pPr>
      <w:r>
        <w:rPr>
          <w:rFonts w:ascii="Calibri" w:cs="Calibri" w:eastAsia="Calibri" w:hAnsi="Calibri"/>
          <w:b/>
          <w:bCs/>
          <w:color w:val="1F6E8C"/>
          <w:sz w:val="20"/>
          <w:szCs w:val="20"/>
        </w:rPr>
        <w:t xml:space="preserve">7.	</w:t>
      </w:r>
      <w:r>
        <w:rPr>
          <w:rFonts w:ascii="Calibri" w:cs="Calibri" w:eastAsia="Calibri" w:hAnsi="Calibri"/>
          <w:color w:val="243240"/>
          <w:sz w:val="20"/>
          <w:szCs w:val="20"/>
        </w:rPr>
        <w:t xml:space="preserve">Take the results, the HL7 interface document and your completed worksheet to a hospital's interface team, and connect to their </w:t>
      </w:r>
      <w:r>
        <w:rPr>
          <w:rFonts w:ascii="Calibri" w:cs="Calibri" w:eastAsia="Calibri" w:hAnsi="Calibri"/>
          <w:b/>
          <w:bCs/>
          <w:color w:val="243240"/>
          <w:sz w:val="20"/>
          <w:szCs w:val="20"/>
        </w:rPr>
        <w:t xml:space="preserve">test</w:t>
      </w:r>
      <w:r>
        <w:rPr>
          <w:rFonts w:ascii="Calibri" w:cs="Calibri" w:eastAsia="Calibri" w:hAnsi="Calibri"/>
          <w:color w:val="243240"/>
          <w:sz w:val="20"/>
          <w:szCs w:val="20"/>
        </w:rPr>
        <w:t xml:space="preserve"> system.</w:t>
      </w:r>
    </w:p>
    <w:p>
      <w:pPr>
        <w:keepNext/>
        <w:pBdr>
          <w:bottom w:val="single" w:color="8FA3B3" w:sz="6" w:space="4"/>
        </w:pBdr>
        <w:spacing w:after="100" w:before="300" w:line="260" w:lineRule="auto"/>
      </w:pPr>
      <w:r>
        <w:rPr>
          <w:rFonts w:ascii="Calibri" w:cs="Calibri" w:eastAsia="Calibri" w:hAnsi="Calibri"/>
          <w:b/>
          <w:bCs/>
          <w:color w:val="2C3E50"/>
          <w:sz w:val="26"/>
          <w:szCs w:val="26"/>
        </w:rPr>
        <w:t xml:space="preserve">What it is not</w:t>
      </w:r>
    </w:p>
    <w:p>
      <w:pPr>
        <w:pBdr>
          <w:left w:val="single" w:color="A6453A" w:sz="16" w:space="8"/>
        </w:pBdr>
        <w:shd w:fill="FBF1EF" w:color="auto" w:val="clear"/>
        <w:spacing w:after="140" w:before="60" w:line="262" w:lineRule="auto"/>
        <w:ind w:left="160" w:right="120"/>
      </w:pPr>
      <w:r>
        <w:rPr>
          <w:rFonts w:ascii="Calibri" w:cs="Calibri" w:eastAsia="Calibri" w:hAnsi="Calibri"/>
          <w:b/>
          <w:bCs/>
          <w:color w:val="243240"/>
          <w:sz w:val="19"/>
          <w:szCs w:val="19"/>
        </w:rPr>
        <w:t xml:space="preserve">Not a medical device and not for clinical use.</w:t>
      </w:r>
      <w:r>
        <w:rPr>
          <w:rFonts w:ascii="Calibri" w:cs="Calibri" w:eastAsia="Calibri" w:hAnsi="Calibri"/>
          <w:color w:val="243240"/>
          <w:sz w:val="19"/>
          <w:szCs w:val="19"/>
        </w:rPr>
        <w:t xml:space="preserve"> Status reporting, store-and-forward and message conversion are data functions. Sending programs to a pump and delivering alarms to clinicians are regulated device functions: in this release, auto-programming works only against the simulator, and alarm delivery is out of scope. </w:t>
      </w:r>
      <w:r>
        <w:rPr>
          <w:rFonts w:ascii="Calibri" w:cs="Calibri" w:eastAsia="Calibri" w:hAnsi="Calibri"/>
          <w:b/>
          <w:bCs/>
          <w:color w:val="243240"/>
          <w:sz w:val="19"/>
          <w:szCs w:val="19"/>
        </w:rPr>
        <w:t xml:space="preserve">Synthetic patient data only.</w:t>
      </w:r>
      <w:r>
        <w:rPr>
          <w:rFonts w:ascii="Calibri" w:cs="Calibri" w:eastAsia="Calibri" w:hAnsi="Calibri"/>
          <w:color w:val="243240"/>
          <w:sz w:val="19"/>
          <w:szCs w:val="19"/>
        </w:rPr>
        <w:t xml:space="preserve"> Once real identifiers flow through it, the gateway holds protected health information and needs encryption on its HL7 links, web page and database, and an access log. None of those is in this release yet. Anyone who builds OpenBedside into a product takes on that product's regulatory obligations.</w:t>
      </w:r>
    </w:p>
    <w:p>
      <w:pPr>
        <w:keepNext/>
        <w:pBdr>
          <w:bottom w:val="single" w:color="8FA3B3" w:sz="6" w:space="4"/>
        </w:pBdr>
        <w:spacing w:after="100" w:before="300" w:line="260" w:lineRule="auto"/>
      </w:pPr>
      <w:r>
        <w:rPr>
          <w:rFonts w:ascii="Calibri" w:cs="Calibri" w:eastAsia="Calibri" w:hAnsi="Calibri"/>
          <w:b/>
          <w:bCs/>
          <w:color w:val="2C3E50"/>
          <w:sz w:val="26"/>
          <w:szCs w:val="26"/>
        </w:rPr>
        <w:t xml:space="preserve">Beyond infusion pumps</w:t>
      </w:r>
    </w:p>
    <w:p>
      <w:pPr>
        <w:spacing w:after="110" w:before="0" w:line="276" w:lineRule="auto"/>
      </w:pPr>
      <w:r>
        <w:rPr>
          <w:rFonts w:ascii="Calibri" w:cs="Calibri" w:eastAsia="Calibri" w:hAnsi="Calibri"/>
          <w:color w:val="243240"/>
          <w:sz w:val="21"/>
          <w:szCs w:val="21"/>
        </w:rPr>
        <w:t xml:space="preserve">The outbound message is not pump-specific: IHE's PCD-01 carries data from monitors, ventilators and infusion pumps alike, so a ventilator uses the same message and the same schema pattern. Registration already accepts ventilators. What changes is the data model, the device codes (IHE Devices Technical Framework Volume 3, section 7.2, Device: Ventilator), the containment tree and a simulator. Ventilator support is planned, and it is exactly the kind of contribution the project exists for.</w:t>
      </w:r>
    </w:p>
    <w:p>
      <w:pPr>
        <w:keepNext/>
        <w:pBdr>
          <w:bottom w:val="single" w:color="8FA3B3" w:sz="6" w:space="4"/>
        </w:pBdr>
        <w:spacing w:after="100" w:before="300" w:line="260" w:lineRule="auto"/>
      </w:pPr>
      <w:r>
        <w:rPr>
          <w:rFonts w:ascii="Calibri" w:cs="Calibri" w:eastAsia="Calibri" w:hAnsi="Calibri"/>
          <w:b/>
          <w:bCs/>
          <w:color w:val="2C3E50"/>
          <w:sz w:val="26"/>
          <w:szCs w:val="26"/>
        </w:rPr>
        <w:t xml:space="preserve">What is in the 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560"/>
      </w:tblGrid>
      <w:tr>
        <w:trPr>
          <w:cantSplit/>
          <w:tblHeader/>
        </w:trPr>
        <w:tc>
          <w:tcPr>
            <w:tcW w:type="dxa" w:w="3800"/>
            <w:tcBorders>
              <w:top w:val="single" w:color="DCE6EC" w:sz="4"/>
              <w:left w:val="single" w:color="DCE6EC" w:sz="4"/>
              <w:bottom w:val="single" w:color="DCE6EC" w:sz="4"/>
              <w:right w:val="single" w:color="DCE6EC" w:sz="4"/>
            </w:tcBorders>
            <w:shd w:fill="2C3E50" w:color="auto" w:val="clear"/>
            <w:tcMar>
              <w:top w:type="dxa" w:w="60"/>
              <w:left w:type="dxa" w:w="90"/>
              <w:bottom w:type="dxa" w:w="60"/>
              <w:right w:type="dxa" w:w="90"/>
            </w:tcMar>
            <w:vAlign w:val="top"/>
          </w:tcPr>
          <w:p>
            <w:pPr>
              <w:keepNext/>
              <w:keepLines/>
              <w:spacing w:after="40" w:before="0" w:line="250" w:lineRule="auto"/>
            </w:pPr>
            <w:r>
              <w:rPr>
                <w:rFonts w:ascii="Calibri" w:cs="Calibri" w:eastAsia="Calibri" w:hAnsi="Calibri"/>
                <w:b/>
                <w:bCs/>
                <w:color w:val="FFFFFF"/>
                <w:sz w:val="17"/>
                <w:szCs w:val="17"/>
              </w:rPr>
              <w:t xml:space="preserve">File or folder</w:t>
            </w:r>
          </w:p>
        </w:tc>
        <w:tc>
          <w:tcPr>
            <w:tcW w:type="dxa" w:w="5560"/>
            <w:tcBorders>
              <w:top w:val="single" w:color="DCE6EC" w:sz="4"/>
              <w:left w:val="single" w:color="DCE6EC" w:sz="4"/>
              <w:bottom w:val="single" w:color="DCE6EC" w:sz="4"/>
              <w:right w:val="single" w:color="DCE6EC" w:sz="4"/>
            </w:tcBorders>
            <w:shd w:fill="2C3E50" w:color="auto" w:val="clear"/>
            <w:tcMar>
              <w:top w:type="dxa" w:w="60"/>
              <w:left w:type="dxa" w:w="90"/>
              <w:bottom w:type="dxa" w:w="60"/>
              <w:right w:type="dxa" w:w="90"/>
            </w:tcMar>
            <w:vAlign w:val="top"/>
          </w:tcPr>
          <w:p>
            <w:pPr>
              <w:keepNext/>
              <w:keepLines/>
              <w:spacing w:after="40" w:before="0" w:line="250" w:lineRule="auto"/>
            </w:pPr>
            <w:r>
              <w:rPr>
                <w:rFonts w:ascii="Calibri" w:cs="Calibri" w:eastAsia="Calibri" w:hAnsi="Calibri"/>
                <w:b/>
                <w:bCs/>
                <w:color w:val="FFFFFF"/>
                <w:sz w:val="17"/>
                <w:szCs w:val="17"/>
              </w:rPr>
              <w:t xml:space="preserve">What it is</w:t>
            </w:r>
          </w:p>
        </w:tc>
      </w:tr>
      <w:tr>
        <w:trPr>
          <w:cantSplit w:val="false"/>
        </w:trPr>
        <w:tc>
          <w:tcPr>
            <w:tcW w:type="dxa" w:w="3800"/>
            <w:tcBorders>
              <w:top w:val="single" w:color="DCE6EC" w:sz="4"/>
              <w:left w:val="single" w:color="DCE6EC" w:sz="4"/>
              <w:bottom w:val="single" w:color="DCE6EC" w:sz="4"/>
              <w:right w:val="single" w:color="DCE6EC" w:sz="4"/>
            </w:tcBorders>
            <w:tcMar>
              <w:top w:type="dxa" w:w="60"/>
              <w:left w:type="dxa" w:w="90"/>
              <w:bottom w:type="dxa" w:w="60"/>
              <w:right w:type="dxa" w:w="90"/>
            </w:tcMar>
            <w:vAlign w:val="top"/>
          </w:tcPr>
          <w:p>
            <w:pPr>
              <w:keepNext/>
              <w:keepLines/>
              <w:spacing w:after="40" w:before="0" w:line="250" w:lineRule="auto"/>
            </w:pPr>
            <w:r>
              <w:rPr>
                <w:rFonts w:ascii="Calibri" w:cs="Calibri" w:eastAsia="Calibri" w:hAnsi="Calibri"/>
                <w:color w:val="243240"/>
                <w:sz w:val="18"/>
                <w:szCs w:val="18"/>
              </w:rPr>
              <w:t xml:space="preserve">README.md</w:t>
            </w:r>
          </w:p>
        </w:tc>
        <w:tc>
          <w:tcPr>
            <w:tcW w:type="dxa" w:w="5560"/>
            <w:tcBorders>
              <w:top w:val="single" w:color="DCE6EC" w:sz="4"/>
              <w:left w:val="single" w:color="DCE6EC" w:sz="4"/>
              <w:bottom w:val="single" w:color="DCE6EC" w:sz="4"/>
              <w:right w:val="single" w:color="DCE6EC" w:sz="4"/>
            </w:tcBorders>
            <w:tcMar>
              <w:top w:type="dxa" w:w="60"/>
              <w:left w:type="dxa" w:w="90"/>
              <w:bottom w:type="dxa" w:w="60"/>
              <w:right w:type="dxa" w:w="90"/>
            </w:tcMar>
            <w:vAlign w:val="top"/>
          </w:tcPr>
          <w:p>
            <w:pPr>
              <w:keepNext/>
              <w:keepLines/>
              <w:spacing w:after="40" w:before="0" w:line="250" w:lineRule="auto"/>
            </w:pPr>
            <w:r>
              <w:rPr>
                <w:rFonts w:ascii="Calibri" w:cs="Calibri" w:eastAsia="Calibri" w:hAnsi="Calibri"/>
                <w:color w:val="243240"/>
                <w:sz w:val="18"/>
                <w:szCs w:val="18"/>
              </w:rPr>
              <w:t xml:space="preserve">Why it exists, what it is, commands, where to go next</w:t>
            </w:r>
          </w:p>
        </w:tc>
      </w:tr>
      <w:tr>
        <w:trPr>
          <w:cantSplit w:val="false"/>
        </w:trPr>
        <w:tc>
          <w:tcPr>
            <w:tcW w:type="dxa" w:w="3800"/>
            <w:tcBorders>
              <w:top w:val="single" w:color="DCE6EC" w:sz="4"/>
              <w:left w:val="single" w:color="DCE6EC" w:sz="4"/>
              <w:bottom w:val="single" w:color="DCE6EC" w:sz="4"/>
              <w:right w:val="single" w:color="DCE6EC" w:sz="4"/>
            </w:tcBorders>
            <w:shd w:fill="F6F8FA" w:color="auto" w:val="clear"/>
            <w:tcMar>
              <w:top w:type="dxa" w:w="60"/>
              <w:left w:type="dxa" w:w="90"/>
              <w:bottom w:type="dxa" w:w="60"/>
              <w:right w:type="dxa" w:w="90"/>
            </w:tcMar>
            <w:vAlign w:val="top"/>
          </w:tcPr>
          <w:p>
            <w:pPr>
              <w:keepNext w:val="false"/>
              <w:keepLines/>
              <w:spacing w:after="40" w:before="0" w:line="250" w:lineRule="auto"/>
            </w:pPr>
            <w:r>
              <w:rPr>
                <w:rFonts w:ascii="Calibri" w:cs="Calibri" w:eastAsia="Calibri" w:hAnsi="Calibri"/>
                <w:color w:val="243240"/>
                <w:sz w:val="18"/>
                <w:szCs w:val="18"/>
              </w:rPr>
              <w:t xml:space="preserve">START-HERE-install-on-your-Mac.md</w:t>
            </w:r>
          </w:p>
        </w:tc>
        <w:tc>
          <w:tcPr>
            <w:tcW w:type="dxa" w:w="5560"/>
            <w:tcBorders>
              <w:top w:val="single" w:color="DCE6EC" w:sz="4"/>
              <w:left w:val="single" w:color="DCE6EC" w:sz="4"/>
              <w:bottom w:val="single" w:color="DCE6EC" w:sz="4"/>
              <w:right w:val="single" w:color="DCE6EC" w:sz="4"/>
            </w:tcBorders>
            <w:shd w:fill="F6F8FA" w:color="auto" w:val="clear"/>
            <w:tcMar>
              <w:top w:type="dxa" w:w="60"/>
              <w:left w:type="dxa" w:w="90"/>
              <w:bottom w:type="dxa" w:w="60"/>
              <w:right w:type="dxa" w:w="90"/>
            </w:tcMar>
            <w:vAlign w:val="top"/>
          </w:tcPr>
          <w:p>
            <w:pPr>
              <w:keepNext w:val="false"/>
              <w:keepLines/>
              <w:spacing w:after="40" w:before="0" w:line="250" w:lineRule="auto"/>
            </w:pPr>
            <w:r>
              <w:rPr>
                <w:rFonts w:ascii="Calibri" w:cs="Calibri" w:eastAsia="Calibri" w:hAnsi="Calibri"/>
                <w:color w:val="243240"/>
                <w:sz w:val="18"/>
                <w:szCs w:val="18"/>
              </w:rPr>
              <w:t xml:space="preserve">Install and first run, step by step</w:t>
            </w:r>
          </w:p>
        </w:tc>
      </w:tr>
      <w:tr>
        <w:trPr>
          <w:cantSplit w:val="false"/>
        </w:trPr>
        <w:tc>
          <w:tcPr>
            <w:tcW w:type="dxa" w:w="3800"/>
            <w:tcBorders>
              <w:top w:val="single" w:color="DCE6EC" w:sz="4"/>
              <w:left w:val="single" w:color="DCE6EC" w:sz="4"/>
              <w:bottom w:val="single" w:color="DCE6EC" w:sz="4"/>
              <w:right w:val="single" w:color="DCE6EC" w:sz="4"/>
            </w:tcBorders>
            <w:tcMar>
              <w:top w:type="dxa" w:w="60"/>
              <w:left w:type="dxa" w:w="90"/>
              <w:bottom w:type="dxa" w:w="60"/>
              <w:right w:type="dxa" w:w="90"/>
            </w:tcMar>
            <w:vAlign w:val="top"/>
          </w:tcPr>
          <w:p>
            <w:pPr>
              <w:keepNext w:val="false"/>
              <w:keepLines/>
              <w:spacing w:after="40" w:before="0" w:line="250" w:lineRule="auto"/>
            </w:pPr>
            <w:r>
              <w:rPr>
                <w:rFonts w:ascii="Calibri" w:cs="Calibri" w:eastAsia="Calibri" w:hAnsi="Calibri"/>
                <w:color w:val="243240"/>
                <w:sz w:val="18"/>
                <w:szCs w:val="18"/>
              </w:rPr>
              <w:t xml:space="preserve">docs/VENDOR-INTEGRATION-GUIDE.md</w:t>
            </w:r>
          </w:p>
        </w:tc>
        <w:tc>
          <w:tcPr>
            <w:tcW w:type="dxa" w:w="5560"/>
            <w:tcBorders>
              <w:top w:val="single" w:color="DCE6EC" w:sz="4"/>
              <w:left w:val="single" w:color="DCE6EC" w:sz="4"/>
              <w:bottom w:val="single" w:color="DCE6EC" w:sz="4"/>
              <w:right w:val="single" w:color="DCE6EC" w:sz="4"/>
            </w:tcBorders>
            <w:tcMar>
              <w:top w:type="dxa" w:w="60"/>
              <w:left w:type="dxa" w:w="90"/>
              <w:bottom w:type="dxa" w:w="60"/>
              <w:right w:type="dxa" w:w="90"/>
            </w:tcMar>
            <w:vAlign w:val="top"/>
          </w:tcPr>
          <w:p>
            <w:pPr>
              <w:keepNext w:val="false"/>
              <w:keepLines/>
              <w:spacing w:after="40" w:before="0" w:line="250" w:lineRule="auto"/>
            </w:pPr>
            <w:r>
              <w:rPr>
                <w:rFonts w:ascii="Calibri" w:cs="Calibri" w:eastAsia="Calibri" w:hAnsi="Calibri"/>
                <w:color w:val="243240"/>
                <w:sz w:val="18"/>
                <w:szCs w:val="18"/>
              </w:rPr>
              <w:t xml:space="preserve">Connecting your device. The most important document.</w:t>
            </w:r>
          </w:p>
        </w:tc>
      </w:tr>
      <w:tr>
        <w:trPr>
          <w:cantSplit w:val="false"/>
        </w:trPr>
        <w:tc>
          <w:tcPr>
            <w:tcW w:type="dxa" w:w="3800"/>
            <w:tcBorders>
              <w:top w:val="single" w:color="DCE6EC" w:sz="4"/>
              <w:left w:val="single" w:color="DCE6EC" w:sz="4"/>
              <w:bottom w:val="single" w:color="DCE6EC" w:sz="4"/>
              <w:right w:val="single" w:color="DCE6EC" w:sz="4"/>
            </w:tcBorders>
            <w:shd w:fill="F6F8FA" w:color="auto" w:val="clear"/>
            <w:tcMar>
              <w:top w:type="dxa" w:w="60"/>
              <w:left w:type="dxa" w:w="90"/>
              <w:bottom w:type="dxa" w:w="60"/>
              <w:right w:type="dxa" w:w="90"/>
            </w:tcMar>
            <w:vAlign w:val="top"/>
          </w:tcPr>
          <w:p>
            <w:pPr>
              <w:keepNext w:val="false"/>
              <w:keepLines/>
              <w:spacing w:after="40" w:before="0" w:line="250" w:lineRule="auto"/>
            </w:pPr>
            <w:r>
              <w:rPr>
                <w:rFonts w:ascii="Calibri" w:cs="Calibri" w:eastAsia="Calibri" w:hAnsi="Calibri"/>
                <w:color w:val="243240"/>
                <w:sz w:val="18"/>
                <w:szCs w:val="18"/>
              </w:rPr>
              <w:t xml:space="preserve">docs/MAPPING-WORKSHEET.md</w:t>
            </w:r>
          </w:p>
        </w:tc>
        <w:tc>
          <w:tcPr>
            <w:tcW w:type="dxa" w:w="5560"/>
            <w:tcBorders>
              <w:top w:val="single" w:color="DCE6EC" w:sz="4"/>
              <w:left w:val="single" w:color="DCE6EC" w:sz="4"/>
              <w:bottom w:val="single" w:color="DCE6EC" w:sz="4"/>
              <w:right w:val="single" w:color="DCE6EC" w:sz="4"/>
            </w:tcBorders>
            <w:shd w:fill="F6F8FA" w:color="auto" w:val="clear"/>
            <w:tcMar>
              <w:top w:type="dxa" w:w="60"/>
              <w:left w:type="dxa" w:w="90"/>
              <w:bottom w:type="dxa" w:w="60"/>
              <w:right w:type="dxa" w:w="90"/>
            </w:tcMar>
            <w:vAlign w:val="top"/>
          </w:tcPr>
          <w:p>
            <w:pPr>
              <w:keepNext w:val="false"/>
              <w:keepLines/>
              <w:spacing w:after="40" w:before="0" w:line="250" w:lineRule="auto"/>
            </w:pPr>
            <w:r>
              <w:rPr>
                <w:rFonts w:ascii="Calibri" w:cs="Calibri" w:eastAsia="Calibri" w:hAnsi="Calibri"/>
                <w:color w:val="243240"/>
                <w:sz w:val="18"/>
                <w:szCs w:val="18"/>
              </w:rPr>
              <w:t xml:space="preserve">The worksheet to fill in before writing code</w:t>
            </w:r>
          </w:p>
        </w:tc>
      </w:tr>
      <w:tr>
        <w:trPr>
          <w:cantSplit w:val="false"/>
        </w:trPr>
        <w:tc>
          <w:tcPr>
            <w:tcW w:type="dxa" w:w="3800"/>
            <w:tcBorders>
              <w:top w:val="single" w:color="DCE6EC" w:sz="4"/>
              <w:left w:val="single" w:color="DCE6EC" w:sz="4"/>
              <w:bottom w:val="single" w:color="DCE6EC" w:sz="4"/>
              <w:right w:val="single" w:color="DCE6EC" w:sz="4"/>
            </w:tcBorders>
            <w:tcMar>
              <w:top w:type="dxa" w:w="60"/>
              <w:left w:type="dxa" w:w="90"/>
              <w:bottom w:type="dxa" w:w="60"/>
              <w:right w:type="dxa" w:w="90"/>
            </w:tcMar>
            <w:vAlign w:val="top"/>
          </w:tcPr>
          <w:p>
            <w:pPr>
              <w:keepNext w:val="false"/>
              <w:keepLines/>
              <w:spacing w:after="40" w:before="0" w:line="250" w:lineRule="auto"/>
            </w:pPr>
            <w:r>
              <w:rPr>
                <w:rFonts w:ascii="Calibri" w:cs="Calibri" w:eastAsia="Calibri" w:hAnsi="Calibri"/>
                <w:color w:val="243240"/>
                <w:sz w:val="18"/>
                <w:szCs w:val="18"/>
              </w:rPr>
              <w:t xml:space="preserve">docs/USER-GUIDE.md</w:t>
            </w:r>
          </w:p>
        </w:tc>
        <w:tc>
          <w:tcPr>
            <w:tcW w:type="dxa" w:w="5560"/>
            <w:tcBorders>
              <w:top w:val="single" w:color="DCE6EC" w:sz="4"/>
              <w:left w:val="single" w:color="DCE6EC" w:sz="4"/>
              <w:bottom w:val="single" w:color="DCE6EC" w:sz="4"/>
              <w:right w:val="single" w:color="DCE6EC" w:sz="4"/>
            </w:tcBorders>
            <w:tcMar>
              <w:top w:type="dxa" w:w="60"/>
              <w:left w:type="dxa" w:w="90"/>
              <w:bottom w:type="dxa" w:w="60"/>
              <w:right w:type="dxa" w:w="90"/>
            </w:tcMar>
            <w:vAlign w:val="top"/>
          </w:tcPr>
          <w:p>
            <w:pPr>
              <w:keepNext w:val="false"/>
              <w:keepLines/>
              <w:spacing w:after="40" w:before="0" w:line="250" w:lineRule="auto"/>
            </w:pPr>
            <w:r>
              <w:rPr>
                <w:rFonts w:ascii="Calibri" w:cs="Calibri" w:eastAsia="Calibri" w:hAnsi="Calibri"/>
                <w:color w:val="243240"/>
                <w:sz w:val="18"/>
                <w:szCs w:val="18"/>
              </w:rPr>
              <w:t xml:space="preserve">Running it, the activity page, settings, fixing problems, Windows</w:t>
            </w:r>
          </w:p>
        </w:tc>
      </w:tr>
      <w:tr>
        <w:trPr>
          <w:cantSplit w:val="false"/>
        </w:trPr>
        <w:tc>
          <w:tcPr>
            <w:tcW w:type="dxa" w:w="3800"/>
            <w:tcBorders>
              <w:top w:val="single" w:color="DCE6EC" w:sz="4"/>
              <w:left w:val="single" w:color="DCE6EC" w:sz="4"/>
              <w:bottom w:val="single" w:color="DCE6EC" w:sz="4"/>
              <w:right w:val="single" w:color="DCE6EC" w:sz="4"/>
            </w:tcBorders>
            <w:shd w:fill="F6F8FA" w:color="auto" w:val="clear"/>
            <w:tcMar>
              <w:top w:type="dxa" w:w="60"/>
              <w:left w:type="dxa" w:w="90"/>
              <w:bottom w:type="dxa" w:w="60"/>
              <w:right w:type="dxa" w:w="90"/>
            </w:tcMar>
            <w:vAlign w:val="top"/>
          </w:tcPr>
          <w:p>
            <w:pPr>
              <w:keepNext w:val="false"/>
              <w:keepLines/>
              <w:spacing w:after="40" w:before="0" w:line="250" w:lineRule="auto"/>
            </w:pPr>
            <w:r>
              <w:rPr>
                <w:rFonts w:ascii="Calibri" w:cs="Calibri" w:eastAsia="Calibri" w:hAnsi="Calibri"/>
                <w:color w:val="243240"/>
                <w:sz w:val="18"/>
                <w:szCs w:val="18"/>
              </w:rPr>
              <w:t xml:space="preserve">docs/HL7-INTERFACE.md</w:t>
            </w:r>
          </w:p>
        </w:tc>
        <w:tc>
          <w:tcPr>
            <w:tcW w:type="dxa" w:w="5560"/>
            <w:tcBorders>
              <w:top w:val="single" w:color="DCE6EC" w:sz="4"/>
              <w:left w:val="single" w:color="DCE6EC" w:sz="4"/>
              <w:bottom w:val="single" w:color="DCE6EC" w:sz="4"/>
              <w:right w:val="single" w:color="DCE6EC" w:sz="4"/>
            </w:tcBorders>
            <w:shd w:fill="F6F8FA" w:color="auto" w:val="clear"/>
            <w:tcMar>
              <w:top w:type="dxa" w:w="60"/>
              <w:left w:type="dxa" w:w="90"/>
              <w:bottom w:type="dxa" w:w="60"/>
              <w:right w:type="dxa" w:w="90"/>
            </w:tcMar>
            <w:vAlign w:val="top"/>
          </w:tcPr>
          <w:p>
            <w:pPr>
              <w:keepNext w:val="false"/>
              <w:keepLines/>
              <w:spacing w:after="40" w:before="0" w:line="250" w:lineRule="auto"/>
            </w:pPr>
            <w:r>
              <w:rPr>
                <w:rFonts w:ascii="Calibri" w:cs="Calibri" w:eastAsia="Calibri" w:hAnsi="Calibri"/>
                <w:color w:val="243240"/>
                <w:sz w:val="18"/>
                <w:szCs w:val="18"/>
              </w:rPr>
              <w:t xml:space="preserve">Exactly what the hospital receives and what it may send (ADT), with samples</w:t>
            </w:r>
          </w:p>
        </w:tc>
      </w:tr>
      <w:tr>
        <w:trPr>
          <w:cantSplit w:val="false"/>
        </w:trPr>
        <w:tc>
          <w:tcPr>
            <w:tcW w:type="dxa" w:w="3800"/>
            <w:tcBorders>
              <w:top w:val="single" w:color="DCE6EC" w:sz="4"/>
              <w:left w:val="single" w:color="DCE6EC" w:sz="4"/>
              <w:bottom w:val="single" w:color="DCE6EC" w:sz="4"/>
              <w:right w:val="single" w:color="DCE6EC" w:sz="4"/>
            </w:tcBorders>
            <w:tcMar>
              <w:top w:type="dxa" w:w="60"/>
              <w:left w:type="dxa" w:w="90"/>
              <w:bottom w:type="dxa" w:w="60"/>
              <w:right w:type="dxa" w:w="90"/>
            </w:tcMar>
            <w:vAlign w:val="top"/>
          </w:tcPr>
          <w:p>
            <w:pPr>
              <w:keepNext w:val="false"/>
              <w:keepLines/>
              <w:spacing w:after="40" w:before="0" w:line="250" w:lineRule="auto"/>
            </w:pPr>
            <w:r>
              <w:rPr>
                <w:rFonts w:ascii="Calibri" w:cs="Calibri" w:eastAsia="Calibri" w:hAnsi="Calibri"/>
                <w:color w:val="243240"/>
                <w:sz w:val="18"/>
                <w:szCs w:val="18"/>
              </w:rPr>
              <w:t xml:space="preserve">docs/ARCHITECTURE.md, DECISIONS.md</w:t>
            </w:r>
          </w:p>
        </w:tc>
        <w:tc>
          <w:tcPr>
            <w:tcW w:type="dxa" w:w="5560"/>
            <w:tcBorders>
              <w:top w:val="single" w:color="DCE6EC" w:sz="4"/>
              <w:left w:val="single" w:color="DCE6EC" w:sz="4"/>
              <w:bottom w:val="single" w:color="DCE6EC" w:sz="4"/>
              <w:right w:val="single" w:color="DCE6EC" w:sz="4"/>
            </w:tcBorders>
            <w:tcMar>
              <w:top w:type="dxa" w:w="60"/>
              <w:left w:type="dxa" w:w="90"/>
              <w:bottom w:type="dxa" w:w="60"/>
              <w:right w:type="dxa" w:w="90"/>
            </w:tcMar>
            <w:vAlign w:val="top"/>
          </w:tcPr>
          <w:p>
            <w:pPr>
              <w:keepNext w:val="false"/>
              <w:keepLines/>
              <w:spacing w:after="40" w:before="0" w:line="250" w:lineRule="auto"/>
            </w:pPr>
            <w:r>
              <w:rPr>
                <w:rFonts w:ascii="Calibri" w:cs="Calibri" w:eastAsia="Calibri" w:hAnsi="Calibri"/>
                <w:color w:val="243240"/>
                <w:sz w:val="18"/>
                <w:szCs w:val="18"/>
              </w:rPr>
              <w:t xml:space="preserve">The design and the reasons behind it</w:t>
            </w:r>
          </w:p>
        </w:tc>
      </w:tr>
      <w:tr>
        <w:trPr>
          <w:cantSplit w:val="false"/>
        </w:trPr>
        <w:tc>
          <w:tcPr>
            <w:tcW w:type="dxa" w:w="3800"/>
            <w:tcBorders>
              <w:top w:val="single" w:color="DCE6EC" w:sz="4"/>
              <w:left w:val="single" w:color="DCE6EC" w:sz="4"/>
              <w:bottom w:val="single" w:color="DCE6EC" w:sz="4"/>
              <w:right w:val="single" w:color="DCE6EC" w:sz="4"/>
            </w:tcBorders>
            <w:shd w:fill="F6F8FA" w:color="auto" w:val="clear"/>
            <w:tcMar>
              <w:top w:type="dxa" w:w="60"/>
              <w:left w:type="dxa" w:w="90"/>
              <w:bottom w:type="dxa" w:w="60"/>
              <w:right w:type="dxa" w:w="90"/>
            </w:tcMar>
            <w:vAlign w:val="top"/>
          </w:tcPr>
          <w:p>
            <w:pPr>
              <w:keepNext w:val="false"/>
              <w:keepLines/>
              <w:spacing w:after="40" w:before="0" w:line="250" w:lineRule="auto"/>
            </w:pPr>
            <w:r>
              <w:rPr>
                <w:rFonts w:ascii="Calibri" w:cs="Calibri" w:eastAsia="Calibri" w:hAnsi="Calibri"/>
                <w:color w:val="243240"/>
                <w:sz w:val="18"/>
                <w:szCs w:val="18"/>
              </w:rPr>
              <w:t xml:space="preserve">src/openbedside/</w:t>
            </w:r>
          </w:p>
        </w:tc>
        <w:tc>
          <w:tcPr>
            <w:tcW w:type="dxa" w:w="5560"/>
            <w:tcBorders>
              <w:top w:val="single" w:color="DCE6EC" w:sz="4"/>
              <w:left w:val="single" w:color="DCE6EC" w:sz="4"/>
              <w:bottom w:val="single" w:color="DCE6EC" w:sz="4"/>
              <w:right w:val="single" w:color="DCE6EC" w:sz="4"/>
            </w:tcBorders>
            <w:shd w:fill="F6F8FA" w:color="auto" w:val="clear"/>
            <w:tcMar>
              <w:top w:type="dxa" w:w="60"/>
              <w:left w:type="dxa" w:w="90"/>
              <w:bottom w:type="dxa" w:w="60"/>
              <w:right w:type="dxa" w:w="90"/>
            </w:tcMar>
            <w:vAlign w:val="top"/>
          </w:tcPr>
          <w:p>
            <w:pPr>
              <w:keepNext w:val="false"/>
              <w:keepLines/>
              <w:spacing w:after="40" w:before="0" w:line="250" w:lineRule="auto"/>
            </w:pPr>
            <w:r>
              <w:rPr>
                <w:rFonts w:ascii="Calibri" w:cs="Calibri" w:eastAsia="Calibri" w:hAnsi="Calibri"/>
                <w:color w:val="243240"/>
                <w:sz w:val="18"/>
                <w:szCs w:val="18"/>
              </w:rPr>
              <w:t xml:space="preserve">The gateway, about 3,100 lines of Python, standard library only</w:t>
            </w:r>
          </w:p>
        </w:tc>
      </w:tr>
      <w:tr>
        <w:trPr>
          <w:cantSplit w:val="false"/>
        </w:trPr>
        <w:tc>
          <w:tcPr>
            <w:tcW w:type="dxa" w:w="3800"/>
            <w:tcBorders>
              <w:top w:val="single" w:color="DCE6EC" w:sz="4"/>
              <w:left w:val="single" w:color="DCE6EC" w:sz="4"/>
              <w:bottom w:val="single" w:color="DCE6EC" w:sz="4"/>
              <w:right w:val="single" w:color="DCE6EC" w:sz="4"/>
            </w:tcBorders>
            <w:tcMar>
              <w:top w:type="dxa" w:w="60"/>
              <w:left w:type="dxa" w:w="90"/>
              <w:bottom w:type="dxa" w:w="60"/>
              <w:right w:type="dxa" w:w="90"/>
            </w:tcMar>
            <w:vAlign w:val="top"/>
          </w:tcPr>
          <w:p>
            <w:pPr>
              <w:keepNext w:val="false"/>
              <w:keepLines/>
              <w:spacing w:after="40" w:before="0" w:line="250" w:lineRule="auto"/>
            </w:pPr>
            <w:r>
              <w:rPr>
                <w:rFonts w:ascii="Calibri" w:cs="Calibri" w:eastAsia="Calibri" w:hAnsi="Calibri"/>
                <w:color w:val="243240"/>
                <w:sz w:val="18"/>
                <w:szCs w:val="18"/>
              </w:rPr>
              <w:t xml:space="preserve">src/openbedside/examples/acme_json.py</w:t>
            </w:r>
          </w:p>
        </w:tc>
        <w:tc>
          <w:tcPr>
            <w:tcW w:type="dxa" w:w="5560"/>
            <w:tcBorders>
              <w:top w:val="single" w:color="DCE6EC" w:sz="4"/>
              <w:left w:val="single" w:color="DCE6EC" w:sz="4"/>
              <w:bottom w:val="single" w:color="DCE6EC" w:sz="4"/>
              <w:right w:val="single" w:color="DCE6EC" w:sz="4"/>
            </w:tcBorders>
            <w:tcMar>
              <w:top w:type="dxa" w:w="60"/>
              <w:left w:type="dxa" w:w="90"/>
              <w:bottom w:type="dxa" w:w="60"/>
              <w:right w:type="dxa" w:w="90"/>
            </w:tcMar>
            <w:vAlign w:val="top"/>
          </w:tcPr>
          <w:p>
            <w:pPr>
              <w:keepNext w:val="false"/>
              <w:keepLines/>
              <w:spacing w:after="40" w:before="0" w:line="250" w:lineRule="auto"/>
            </w:pPr>
            <w:r>
              <w:rPr>
                <w:rFonts w:ascii="Calibri" w:cs="Calibri" w:eastAsia="Calibri" w:hAnsi="Calibri"/>
                <w:color w:val="243240"/>
                <w:sz w:val="18"/>
                <w:szCs w:val="18"/>
              </w:rPr>
              <w:t xml:space="preserve">The worked example: a fictional pump and its complete adapter</w:t>
            </w:r>
          </w:p>
        </w:tc>
      </w:tr>
      <w:tr>
        <w:trPr>
          <w:cantSplit w:val="false"/>
        </w:trPr>
        <w:tc>
          <w:tcPr>
            <w:tcW w:type="dxa" w:w="3800"/>
            <w:tcBorders>
              <w:top w:val="single" w:color="DCE6EC" w:sz="4"/>
              <w:left w:val="single" w:color="DCE6EC" w:sz="4"/>
              <w:bottom w:val="single" w:color="DCE6EC" w:sz="4"/>
              <w:right w:val="single" w:color="DCE6EC" w:sz="4"/>
            </w:tcBorders>
            <w:shd w:fill="F6F8FA" w:color="auto" w:val="clear"/>
            <w:tcMar>
              <w:top w:type="dxa" w:w="60"/>
              <w:left w:type="dxa" w:w="90"/>
              <w:bottom w:type="dxa" w:w="60"/>
              <w:right w:type="dxa" w:w="90"/>
            </w:tcMar>
            <w:vAlign w:val="top"/>
          </w:tcPr>
          <w:p>
            <w:pPr>
              <w:keepNext w:val="false"/>
              <w:keepLines/>
              <w:spacing w:after="40" w:before="0" w:line="250" w:lineRule="auto"/>
            </w:pPr>
            <w:r>
              <w:rPr>
                <w:rFonts w:ascii="Calibri" w:cs="Calibri" w:eastAsia="Calibri" w:hAnsi="Calibri"/>
                <w:color w:val="243240"/>
                <w:sz w:val="18"/>
                <w:szCs w:val="18"/>
              </w:rPr>
              <w:t xml:space="preserve">tests/</w:t>
            </w:r>
          </w:p>
        </w:tc>
        <w:tc>
          <w:tcPr>
            <w:tcW w:type="dxa" w:w="5560"/>
            <w:tcBorders>
              <w:top w:val="single" w:color="DCE6EC" w:sz="4"/>
              <w:left w:val="single" w:color="DCE6EC" w:sz="4"/>
              <w:bottom w:val="single" w:color="DCE6EC" w:sz="4"/>
              <w:right w:val="single" w:color="DCE6EC" w:sz="4"/>
            </w:tcBorders>
            <w:shd w:fill="F6F8FA" w:color="auto" w:val="clear"/>
            <w:tcMar>
              <w:top w:type="dxa" w:w="60"/>
              <w:left w:type="dxa" w:w="90"/>
              <w:bottom w:type="dxa" w:w="60"/>
              <w:right w:type="dxa" w:w="90"/>
            </w:tcMar>
            <w:vAlign w:val="top"/>
          </w:tcPr>
          <w:p>
            <w:pPr>
              <w:keepNext w:val="false"/>
              <w:keepLines/>
              <w:spacing w:after="40" w:before="0" w:line="250" w:lineRule="auto"/>
            </w:pPr>
            <w:r>
              <w:rPr>
                <w:rFonts w:ascii="Calibri" w:cs="Calibri" w:eastAsia="Calibri" w:hAnsi="Calibri"/>
                <w:color w:val="243240"/>
                <w:sz w:val="18"/>
                <w:szCs w:val="18"/>
              </w:rPr>
              <w:t xml:space="preserve">36 automated tests</w:t>
            </w:r>
          </w:p>
        </w:tc>
      </w:tr>
      <w:tr>
        <w:trPr>
          <w:cantSplit w:val="false"/>
        </w:trPr>
        <w:tc>
          <w:tcPr>
            <w:tcW w:type="dxa" w:w="3800"/>
            <w:tcBorders>
              <w:top w:val="single" w:color="DCE6EC" w:sz="4"/>
              <w:left w:val="single" w:color="DCE6EC" w:sz="4"/>
              <w:bottom w:val="single" w:color="DCE6EC" w:sz="4"/>
              <w:right w:val="single" w:color="DCE6EC" w:sz="4"/>
            </w:tcBorders>
            <w:tcMar>
              <w:top w:type="dxa" w:w="60"/>
              <w:left w:type="dxa" w:w="90"/>
              <w:bottom w:type="dxa" w:w="60"/>
              <w:right w:type="dxa" w:w="90"/>
            </w:tcMar>
            <w:vAlign w:val="top"/>
          </w:tcPr>
          <w:p>
            <w:pPr>
              <w:keepNext w:val="false"/>
              <w:keepLines/>
              <w:spacing w:after="40" w:before="0" w:line="250" w:lineRule="auto"/>
            </w:pPr>
            <w:r>
              <w:rPr>
                <w:rFonts w:ascii="Calibri" w:cs="Calibri" w:eastAsia="Calibri" w:hAnsi="Calibri"/>
                <w:color w:val="243240"/>
                <w:sz w:val="18"/>
                <w:szCs w:val="18"/>
              </w:rPr>
              <w:t xml:space="preserve">LICENSE, NOTICE, DISCLAIMER.md</w:t>
            </w:r>
          </w:p>
        </w:tc>
        <w:tc>
          <w:tcPr>
            <w:tcW w:type="dxa" w:w="5560"/>
            <w:tcBorders>
              <w:top w:val="single" w:color="DCE6EC" w:sz="4"/>
              <w:left w:val="single" w:color="DCE6EC" w:sz="4"/>
              <w:bottom w:val="single" w:color="DCE6EC" w:sz="4"/>
              <w:right w:val="single" w:color="DCE6EC" w:sz="4"/>
            </w:tcBorders>
            <w:tcMar>
              <w:top w:type="dxa" w:w="60"/>
              <w:left w:type="dxa" w:w="90"/>
              <w:bottom w:type="dxa" w:w="60"/>
              <w:right w:type="dxa" w:w="90"/>
            </w:tcMar>
            <w:vAlign w:val="top"/>
          </w:tcPr>
          <w:p>
            <w:pPr>
              <w:keepNext w:val="false"/>
              <w:keepLines/>
              <w:spacing w:after="40" w:before="0" w:line="250" w:lineRule="auto"/>
            </w:pPr>
            <w:r>
              <w:rPr>
                <w:rFonts w:ascii="Calibri" w:cs="Calibri" w:eastAsia="Calibri" w:hAnsi="Calibri"/>
                <w:color w:val="243240"/>
                <w:sz w:val="18"/>
                <w:szCs w:val="18"/>
              </w:rPr>
              <w:t xml:space="preserve">Apache 2.0, attribution, and the not-a-medical-device statement</w:t>
            </w:r>
          </w:p>
        </w:tc>
      </w:tr>
      <w:tr>
        <w:trPr>
          <w:cantSplit w:val="false"/>
        </w:trPr>
        <w:tc>
          <w:tcPr>
            <w:tcW w:type="dxa" w:w="3800"/>
            <w:tcBorders>
              <w:top w:val="single" w:color="DCE6EC" w:sz="4"/>
              <w:left w:val="single" w:color="DCE6EC" w:sz="4"/>
              <w:bottom w:val="single" w:color="DCE6EC" w:sz="4"/>
              <w:right w:val="single" w:color="DCE6EC" w:sz="4"/>
            </w:tcBorders>
            <w:shd w:fill="F6F8FA" w:color="auto" w:val="clear"/>
            <w:tcMar>
              <w:top w:type="dxa" w:w="60"/>
              <w:left w:type="dxa" w:w="90"/>
              <w:bottom w:type="dxa" w:w="60"/>
              <w:right w:type="dxa" w:w="90"/>
            </w:tcMar>
            <w:vAlign w:val="top"/>
          </w:tcPr>
          <w:p>
            <w:pPr>
              <w:keepNext w:val="false"/>
              <w:keepLines/>
              <w:spacing w:after="40" w:before="0" w:line="250" w:lineRule="auto"/>
            </w:pPr>
            <w:r>
              <w:rPr>
                <w:rFonts w:ascii="Calibri" w:cs="Calibri" w:eastAsia="Calibri" w:hAnsi="Calibri"/>
                <w:color w:val="243240"/>
                <w:sz w:val="18"/>
                <w:szCs w:val="18"/>
              </w:rPr>
              <w:t xml:space="preserve">docs/pdf/</w:t>
            </w:r>
          </w:p>
        </w:tc>
        <w:tc>
          <w:tcPr>
            <w:tcW w:type="dxa" w:w="5560"/>
            <w:tcBorders>
              <w:top w:val="single" w:color="DCE6EC" w:sz="4"/>
              <w:left w:val="single" w:color="DCE6EC" w:sz="4"/>
              <w:bottom w:val="single" w:color="DCE6EC" w:sz="4"/>
              <w:right w:val="single" w:color="DCE6EC" w:sz="4"/>
            </w:tcBorders>
            <w:shd w:fill="F6F8FA" w:color="auto" w:val="clear"/>
            <w:tcMar>
              <w:top w:type="dxa" w:w="60"/>
              <w:left w:type="dxa" w:w="90"/>
              <w:bottom w:type="dxa" w:w="60"/>
              <w:right w:type="dxa" w:w="90"/>
            </w:tcMar>
            <w:vAlign w:val="top"/>
          </w:tcPr>
          <w:p>
            <w:pPr>
              <w:keepNext w:val="false"/>
              <w:keepLines/>
              <w:spacing w:after="40" w:before="0" w:line="250" w:lineRule="auto"/>
            </w:pPr>
            <w:r>
              <w:rPr>
                <w:rFonts w:ascii="Calibri" w:cs="Calibri" w:eastAsia="Calibri" w:hAnsi="Calibri"/>
                <w:color w:val="243240"/>
                <w:sz w:val="18"/>
                <w:szCs w:val="18"/>
              </w:rPr>
              <w:t xml:space="preserve">Every guide above as a PDF, plus the combined OpenBedside Handbook</w:t>
            </w:r>
          </w:p>
        </w:tc>
      </w:tr>
    </w:tbl>
    <w:p>
      <w:pPr>
        <w:spacing w:after="120" w:before="0"/>
      </w:pPr>
    </w:p>
    <w:p>
      <w:pPr>
        <w:spacing w:after="110" w:before="0" w:line="276" w:lineRule="auto"/>
      </w:pPr>
      <w:r>
        <w:rPr>
          <w:rFonts w:ascii="Calibri" w:cs="Calibri" w:eastAsia="Calibri" w:hAnsi="Calibri"/>
          <w:color w:val="5D7A94"/>
          <w:sz w:val="21"/>
          <w:szCs w:val="21"/>
        </w:rPr>
        <w:t xml:space="preserve">Questions, problems and improvements: Daniel C. Pettus, through danielpettus.com.</w:t>
      </w:r>
    </w:p>
    <w:sectPr>
      <w:headerReference w:type="default" r:id="rId7"/>
      <w:footerReference w:type="default" r:id="rId8"/>
      <w:pgSz w:w="12240" w:h="15840" w:orient="portrait"/>
      <w:pgMar w:top="1150" w:right="1440" w:bottom="1000" w:left="1440"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after="0"/>
    </w:pPr>
    <w:r>
      <w:rPr>
        <w:rFonts w:ascii="Calibri" w:cs="Calibri" w:eastAsia="Calibri" w:hAnsi="Calibri"/>
        <w:color w:val="8FA3B3"/>
        <w:sz w:val="15"/>
        <w:szCs w:val="15"/>
      </w:rPr>
      <w:t xml:space="preserve">Not a medical device. Not for clinical use.</w:t>
    </w:r>
    <w:r>
      <w:rPr>
        <w:rFonts w:ascii="Calibri" w:cs="Calibri" w:eastAsia="Calibri" w:hAnsi="Calibri"/>
        <w:color w:val="8FA3B3"/>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pPr>
    <w:r>
      <w:rPr>
        <w:rFonts w:ascii="Calibri" w:cs="Calibri" w:eastAsia="Calibri" w:hAnsi="Calibri"/>
        <w:color w:val="8FA3B3"/>
        <w:sz w:val="15"/>
        <w:szCs w:val="15"/>
      </w:rPr>
      <w:t xml:space="preserve">OpenBedside · open source · Apache 2.0</w:t>
    </w:r>
    <w:r>
      <w:rPr>
        <w:rFonts w:ascii="Calibri" w:cs="Calibri" w:eastAsia="Calibri" w:hAnsi="Calibri"/>
        <w:color w:val="8FA3B3"/>
        <w:sz w:val="15"/>
        <w:szCs w:val="15"/>
      </w:rPr>
      <w:t xml:space="preserve">	Version 0.2.0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2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7d17f813b3d84131cada6f761dc293ac42a806f.png"/><Relationship Id="rId10" Type="http://schemas.openxmlformats.org/officeDocument/2006/relationships/image" Target="media/e26537688daf5153147207bc57a17dd03de2b3e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OpenBedside: what it is</dc:title>
  <dc:creator>Daniel C. Pettus</dc:creator>
  <cp:lastModifiedBy>Un-named</cp:lastModifiedBy>
  <cp:revision>1</cp:revision>
  <dcterms:created xsi:type="dcterms:W3CDTF">2026-09-26T17:47:16.802Z</dcterms:created>
  <dcterms:modified xsi:type="dcterms:W3CDTF">2026-09-26T17:47:16.811Z</dcterms:modified>
</cp:coreProperties>
</file>

<file path=docProps/custom.xml><?xml version="1.0" encoding="utf-8"?>
<Properties xmlns="http://schemas.openxmlformats.org/officeDocument/2006/custom-properties" xmlns:vt="http://schemas.openxmlformats.org/officeDocument/2006/docPropsVTypes"/>
</file>