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Reading helps focus</w:t>
      </w:r>
    </w:p>
    <w:p>
      <w:r>
        <w:t xml:space="preserve">First item</w:t>
      </w:r>
    </w:p>
    <w:p>
      <w:r>
        <w:t xml:space="preserve">Second item</w:t>
      </w:r>
    </w:p>
    <w:tbl>
      <w:tr>
        <w:tc>
          <w:tcPr/>
          <w:p>
            <w:r>
              <w:t xml:space="preserve">R1C1</w:t>
            </w:r>
          </w:p>
        </w:tc>
        <w:tc>
          <w:tcPr/>
          <w:p>
            <w:r>
              <w:t xml:space="preserve">R1C2</w:t>
            </w:r>
          </w:p>
        </w:tc>
      </w:tr>
      <w:tr>
        <w:tc>
          <w:tcPr/>
          <w:p>
            <w:r>
              <w:t xml:space="preserve">R2C1</w:t>
            </w:r>
          </w:p>
        </w:tc>
        <w:tc>
          <w:tcPr/>
          <w:p>
            <w:r>
              <w:t xml:space="preserve">R2C2</w:t>
            </w:r>
          </w:p>
        </w:tc>
      </w:tr>
    </w:tbl>
    <w:sectPr/>
  </w:body>
</w:document>
</file>