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7A4A"/>
          <w:sz w:val="40"/>
          <w:szCs w:val="40"/>
        </w:rPr>
        <w:t xml:space="preserve">Proyecto Transversal</w:t>
      </w:r>
    </w:p>
    <w:p>
      <w:pPr>
        <w:spacing w:after="360" w:before="0"/>
        <w:jc w:val="center"/>
      </w:pPr>
      <w:r>
        <w:rPr>
          <w:rFonts w:ascii="Arial" w:cs="Arial" w:eastAsia="Arial" w:hAnsi="Arial"/>
          <w:color w:val="444444"/>
          <w:sz w:val="26"/>
          <w:szCs w:val="26"/>
        </w:rPr>
        <w:t xml:space="preserve">Enunciado General</w:t>
      </w:r>
    </w:p>
    <w:p>
      <w:pPr>
        <w:pStyle w:val="Heading1"/>
      </w:pPr>
      <w:r>
        <w:rPr>
          <w:rFonts w:ascii="Arial" w:cs="Arial" w:eastAsia="Arial" w:hAnsi="Arial"/>
          <w:b/>
          <w:bCs/>
          <w:color w:val="1A7A4A"/>
          <w:sz w:val="28"/>
          <w:szCs w:val="28"/>
        </w:rPr>
        <w:t xml:space="preserve">Propósito</w:t>
      </w:r>
    </w:p>
    <w:p>
      <w:r>
        <w:rPr>
          <w:rFonts w:ascii="Arial" w:cs="Arial" w:eastAsia="Arial" w:hAnsi="Arial"/>
          <w:sz w:val="22"/>
          <w:szCs w:val="22"/>
        </w:rPr>
        <w:t xml:space="preserve">Este proyecto transversal es el eje central del curso de Metodologías de Innovación: Design Thinking y Lean Startup. A lo largo de ocho semanas, cada equipo recorre el ciclo completo de gestión de producto — desde la investigación de usuario hasta la iteración de una propuesta de valor — aplicando de manera integrada los marcos de Design Thinking y Lean Startup.</w:t>
      </w:r>
    </w:p>
    <w:p>
      <w:r>
        <w:rPr>
          <w:sz w:val="22"/>
          <w:szCs w:val="22"/>
        </w:rPr>
        <w:t xml:space="preserve"/>
      </w:r>
    </w:p>
    <w:p>
      <w:r>
        <w:rPr>
          <w:rFonts w:ascii="Arial" w:cs="Arial" w:eastAsia="Arial" w:hAnsi="Arial"/>
          <w:sz w:val="22"/>
          <w:szCs w:val="22"/>
        </w:rPr>
        <w:t xml:space="preserve">El propósito del proyecto no es entregar un MVP funcional al finalizar el curso. El propósito es desarrollar comprensión práctica del proceso: aprender a definir el problema correcto, a tomar decisiones de producto con base en evidencia, y a argumentar esas decisiones de manera coherente. La comprensión se demuestra en la acción — en cómo el equipo razona, decide y ajusta semana a semana.</w:t>
      </w:r>
    </w:p>
    <w:p>
      <w:r>
        <w:rPr>
          <w:sz w:val="22"/>
          <w:szCs w:val="22"/>
        </w:rPr>
        <w:t xml:space="preserve"/>
      </w:r>
    </w:p>
    <w:p>
      <w:r>
        <w:rPr>
          <w:rFonts w:ascii="Arial" w:cs="Arial" w:eastAsia="Arial" w:hAnsi="Arial"/>
          <w:sz w:val="22"/>
          <w:szCs w:val="22"/>
        </w:rPr>
        <w:t xml:space="preserve">Los equipos trabajan en grupos de tres estudiantes. Cada grupo elige uno de siete contextos estratégicos predefinidos al inicio del curso, y trabaja con ese contexto durante las ocho semanas. El contexto no cambia; lo que evoluciona es la comprensión del equipo sobre el problema, el usuario y la solución.</w:t>
      </w:r>
    </w:p>
    <w:p>
      <w:r>
        <w:rPr>
          <w:sz w:val="22"/>
          <w:szCs w:val="22"/>
        </w:rPr>
        <w:t xml:space="preserve"/>
      </w:r>
    </w:p>
    <w:p>
      <w:pPr>
        <w:pStyle w:val="Heading1"/>
      </w:pPr>
      <w:r>
        <w:rPr>
          <w:rFonts w:ascii="Arial" w:cs="Arial" w:eastAsia="Arial" w:hAnsi="Arial"/>
          <w:b/>
          <w:bCs/>
          <w:color w:val="1A7A4A"/>
          <w:sz w:val="28"/>
          <w:szCs w:val="28"/>
        </w:rPr>
        <w:t xml:space="preserve">Contextos Estratégicos Predefinidos</w:t>
      </w:r>
    </w:p>
    <w:p>
      <w:r>
        <w:rPr>
          <w:rFonts w:ascii="Arial" w:cs="Arial" w:eastAsia="Arial" w:hAnsi="Arial"/>
          <w:sz w:val="22"/>
          <w:szCs w:val="22"/>
        </w:rPr>
        <w:t xml:space="preserve">Los siete contextos disponibles para este semestre son los siguientes. Cada contexto incluye un brief estratégico detallado — disponible como documento separado — que describe la empresa, su capacidad core y una hipótesis de oportunidad que el equipo deberá explorar. El brief no declara qué construir: plantea desde dónde vale la pena buscar.</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rPr>
          <w:tblHeader/>
        </w:trPr>
        <w:tc>
          <w:tcPr>
            <w:tcW w:type="dxa" w:w="1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25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Empresa</w:t>
            </w:r>
          </w:p>
        </w:tc>
        <w:tc>
          <w:tcPr>
            <w:tcW w:type="dxa" w:w="5526"/>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Hipótesis de oportunidad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Netflix</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 capacidad de Netflix de crear deseo a través del contenido podría generar valor en dimensiones que hoy no está capturando. ¿Cuáles? ¿Para quién? ¿En qué momento de la experiencia?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MercadoLibre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 infraestructura de confianza de MercadoLibre podría ser diferencial en formatos emergentes de venta donde los nuevos entrantes construyen esa confianza desde cero. ¿Cuáles formatos? ¿Para qué usuarios?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Rappi</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Hay categorías donde la diferencia entre 'en minutos' y 'en horas' cambia cualitativamente el problema que se resuelve. ¿Cuáles son esas categorías? ¿Para quién es crítica esa urgencia?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Duolingo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El motor de cambio de comportamiento de Duolingo podría aplicarse a dominios donde la brecha entre saber qué hacer y hacerlo es grande y costosa. ¿Cuáles dominios? ¿Para quién?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LinkedIn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El grafo de trayectorias profesionales de LinkedIn podría resolver tensiones del mercado laboral que hoy no están siendo resueltas. ¿Cuáles tensiones? ¿Para quién son más agudas?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Spotify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El grafo de identidad auditiva de Spotify —el yo sin filtro— podría generar valor en dimensiones de la vida humana más allá del entretenimiento. ¿Cuáles? ¿Para quién? ¿Bajo qué condiciones?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Uber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 arquitectura de confianza entre extraños de Uber podría ser diferencial en mercados de servicios donde ese es el problema central. ¿Cuáles mercados? ¿Para quién es más crítica esa confianza?</w:t>
            </w:r>
          </w:p>
        </w:tc>
      </w:tr>
    </w:tbl>
    <w:p>
      <w:r>
        <w:rPr>
          <w:sz w:val="22"/>
          <w:szCs w:val="22"/>
        </w:rPr>
        <w:t xml:space="preserve"/>
      </w:r>
    </w:p>
    <w:p>
      <w:r>
        <w:rPr>
          <w:rFonts w:ascii="Arial" w:cs="Arial" w:eastAsia="Arial" w:hAnsi="Arial"/>
          <w:sz w:val="22"/>
          <w:szCs w:val="22"/>
        </w:rPr>
        <w:t xml:space="preserve">La elección del contexto es libre, pero definitiva al finalizar la Semana 1. Dos grupos pueden elegir el mismo contexto — las soluciones serán distintas porque los equipos llegarán a hallazgos y decisiones diferentes.</w:t>
      </w:r>
    </w:p>
    <w:p>
      <w:r>
        <w:rPr>
          <w:sz w:val="22"/>
          <w:szCs w:val="22"/>
        </w:rPr>
        <w:t xml:space="preserve"/>
      </w:r>
    </w:p>
    <w:p>
      <w:pPr>
        <w:pStyle w:val="Heading1"/>
      </w:pPr>
      <w:r>
        <w:rPr>
          <w:rFonts w:ascii="Arial" w:cs="Arial" w:eastAsia="Arial" w:hAnsi="Arial"/>
          <w:b/>
          <w:bCs/>
          <w:color w:val="1A7A4A"/>
          <w:sz w:val="28"/>
          <w:szCs w:val="28"/>
        </w:rPr>
        <w:t xml:space="preserve">Metodología</w:t>
      </w:r>
    </w:p>
    <w:p>
      <w:r>
        <w:rPr>
          <w:rFonts w:ascii="Arial" w:cs="Arial" w:eastAsia="Arial" w:hAnsi="Arial"/>
          <w:sz w:val="22"/>
          <w:szCs w:val="22"/>
        </w:rPr>
        <w:t xml:space="preserve">El proyecto recorre el ciclo completo de product management en ocho semanas, articulando Design Thinking en las primeras semanas y Lean Startup en las siguientes:</w:t>
      </w:r>
    </w:p>
    <w:p>
      <w:r>
        <w:rPr>
          <w:sz w:val="22"/>
          <w:szCs w:val="22"/>
        </w:rPr>
        <w:t xml:space="preserve"/>
      </w:r>
    </w:p>
    <w:p>
      <w:pPr>
        <w:pStyle w:val="ListParagraph"/>
        <w:numPr>
          <w:ilvl w:val="0"/>
          <w:numId w:val="2"/>
        </w:numPr>
      </w:pPr>
      <w:r>
        <w:rPr>
          <w:rFonts w:ascii="Arial" w:cs="Arial" w:eastAsia="Arial" w:hAnsi="Arial"/>
          <w:sz w:val="22"/>
          <w:szCs w:val="22"/>
        </w:rPr>
        <w:t xml:space="preserve">Semanas 1-3 (Discovery y Definición): el equipo entiende el contexto estratégico, investiga al usuario real, mapea su experiencia y organiza los problemas identificados en un árbol de oportunidades. La pregunta guía es: ¿Cuál es el problema correcto para resolver?</w:t>
      </w:r>
    </w:p>
    <w:p>
      <w:pPr>
        <w:pStyle w:val="ListParagraph"/>
        <w:numPr>
          <w:ilvl w:val="0"/>
          <w:numId w:val="2"/>
        </w:numPr>
      </w:pPr>
      <w:r>
        <w:rPr>
          <w:rFonts w:ascii="Arial" w:cs="Arial" w:eastAsia="Arial" w:hAnsi="Arial"/>
          <w:sz w:val="22"/>
          <w:szCs w:val="22"/>
        </w:rPr>
        <w:t xml:space="preserve">Semana 4 (Validación de supuestos): antes de construir una solución, el equipo identifica los supuestos más riesgosos detrás de la idea elegida y diseña experimentos lean para probarlos. La pregunta guía es: ¿Qué tendría que ser verdad para que esta solución funcione?</w:t>
      </w:r>
    </w:p>
    <w:p>
      <w:pPr>
        <w:pStyle w:val="ListParagraph"/>
        <w:numPr>
          <w:ilvl w:val="0"/>
          <w:numId w:val="2"/>
        </w:numPr>
      </w:pPr>
      <w:r>
        <w:rPr>
          <w:rFonts w:ascii="Arial" w:cs="Arial" w:eastAsia="Arial" w:hAnsi="Arial"/>
          <w:sz w:val="22"/>
          <w:szCs w:val="22"/>
        </w:rPr>
        <w:t xml:space="preserve">Semana 5 (Visión de producto): el equipo define la propuesta de valor usando la Matriz Kano y establece qué debe, qué debería y qué podría incluir la solución.</w:t>
      </w:r>
    </w:p>
    <w:p>
      <w:pPr>
        <w:pStyle w:val="ListParagraph"/>
        <w:numPr>
          <w:ilvl w:val="0"/>
          <w:numId w:val="2"/>
        </w:numPr>
      </w:pPr>
      <w:r>
        <w:rPr>
          <w:rFonts w:ascii="Arial" w:cs="Arial" w:eastAsia="Arial" w:hAnsi="Arial"/>
          <w:sz w:val="22"/>
          <w:szCs w:val="22"/>
        </w:rPr>
        <w:t xml:space="preserve">Semanas 6-7 (Prototipado y testeo): se construyen y prueban un prototipo de marketing (para validar demanda) y un prototipo de producto (para validar usabilidad y valor). Siguiendo a Dan Olsen, estos dos tipos de prototipo tienen propósitos distintos y se ejecutan en ese orden.</w:t>
      </w:r>
    </w:p>
    <w:p>
      <w:pPr>
        <w:pStyle w:val="ListParagraph"/>
        <w:numPr>
          <w:ilvl w:val="0"/>
          <w:numId w:val="2"/>
        </w:numPr>
      </w:pPr>
      <w:r>
        <w:rPr>
          <w:rFonts w:ascii="Arial" w:cs="Arial" w:eastAsia="Arial" w:hAnsi="Arial"/>
          <w:sz w:val="22"/>
          <w:szCs w:val="22"/>
        </w:rPr>
        <w:t xml:space="preserve">Semana 8 (Síntesis y comunicación): el equipo sintetiza el recorrido completo en un video y evalúa el trabajo de otros equipos.</w:t>
      </w:r>
    </w:p>
    <w:p>
      <w:r>
        <w:rPr>
          <w:sz w:val="22"/>
          <w:szCs w:val="22"/>
        </w:rPr>
        <w:t xml:space="preserve"/>
      </w:r>
    </w:p>
    <w:p>
      <w:pPr>
        <w:pStyle w:val="Heading2"/>
      </w:pPr>
      <w:r>
        <w:rPr>
          <w:rFonts w:ascii="Arial" w:cs="Arial" w:eastAsia="Arial" w:hAnsi="Arial"/>
          <w:b/>
          <w:bCs/>
          <w:color w:val="1A7A4A"/>
          <w:sz w:val="24"/>
          <w:szCs w:val="24"/>
        </w:rPr>
        <w:t xml:space="preserve">El Rol de la Inteligencia Artificial</w:t>
      </w:r>
    </w:p>
    <w:p>
      <w:r>
        <w:rPr>
          <w:rFonts w:ascii="Arial" w:cs="Arial" w:eastAsia="Arial" w:hAnsi="Arial"/>
          <w:sz w:val="22"/>
          <w:szCs w:val="22"/>
        </w:rPr>
        <w:t xml:space="preserve">La IA es una herramienta obligatoria del proyecto — no como generadora de respuestas, sino como interlocutora del proceso. Se espera que los equipos usen IA para estructurar análisis, explorar marcos conceptuales, formular preguntas de investigación y organizar síntesis. Sin embargo, las decisiones clave del proyecto — qué problema priorizar, qué supuesto probar, cuándo pivotar, qué solución construir — deben ser del equipo, argumentadas con base en la evidencia recogida.</w:t>
      </w:r>
    </w:p>
    <w:p>
      <w:r>
        <w:rPr>
          <w:sz w:val="22"/>
          <w:szCs w:val="22"/>
        </w:rPr>
        <w:t xml:space="preserve"/>
      </w:r>
    </w:p>
    <w:p>
      <w:r>
        <w:rPr>
          <w:rFonts w:ascii="Arial" w:cs="Arial" w:eastAsia="Arial" w:hAnsi="Arial"/>
          <w:sz w:val="22"/>
          <w:szCs w:val="22"/>
        </w:rPr>
        <w:t xml:space="preserve">El sistema de evaluación del curso está diseñado específicamente para distinguir entre el trabajo de la IA y la comprensión del equipo. La evaluación no evalúa el documento — evalúa el razonamiento del equipo sobre ese documento.</w:t>
      </w:r>
    </w:p>
    <w:p>
      <w:r>
        <w:rPr>
          <w:sz w:val="22"/>
          <w:szCs w:val="22"/>
        </w:rPr>
        <w:t xml:space="preserve"/>
      </w:r>
    </w:p>
    <w:p>
      <w:pPr>
        <w:pStyle w:val="Heading1"/>
      </w:pPr>
      <w:r>
        <w:rPr>
          <w:rFonts w:ascii="Arial" w:cs="Arial" w:eastAsia="Arial" w:hAnsi="Arial"/>
          <w:b/>
          <w:bCs/>
          <w:color w:val="1A7A4A"/>
          <w:sz w:val="28"/>
          <w:szCs w:val="28"/>
        </w:rPr>
        <w:t xml:space="preserve">Sistema de Entregas</w:t>
      </w:r>
    </w:p>
    <w:p>
      <w:pPr>
        <w:pStyle w:val="Heading2"/>
      </w:pPr>
      <w:r>
        <w:rPr>
          <w:rFonts w:ascii="Arial" w:cs="Arial" w:eastAsia="Arial" w:hAnsi="Arial"/>
          <w:b/>
          <w:bCs/>
          <w:color w:val="1A7A4A"/>
          <w:sz w:val="24"/>
          <w:szCs w:val="24"/>
        </w:rPr>
        <w:t xml:space="preserve">Entregas semanales</w:t>
      </w:r>
    </w:p>
    <w:p>
      <w:r>
        <w:rPr>
          <w:rFonts w:ascii="Arial" w:cs="Arial" w:eastAsia="Arial" w:hAnsi="Arial"/>
          <w:sz w:val="22"/>
          <w:szCs w:val="22"/>
        </w:rPr>
        <w:t xml:space="preserve">Cada semana, el equipo genera un entregable definido en el enunciado específico de esa semana. Los enunciados semanales (S1 a S8) son los documentos de referencia para cada actividad — este documento general presenta el arco del proyecto, pero el detalle de cada semana está en los enunciados individuales.</w:t>
      </w:r>
    </w:p>
    <w:p>
      <w:r>
        <w:rPr>
          <w:sz w:val="22"/>
          <w:szCs w:val="22"/>
        </w:rPr>
        <w:t xml:space="preserve"/>
      </w:r>
    </w:p>
    <w:p>
      <w:r>
        <w:rPr>
          <w:rFonts w:ascii="Arial" w:cs="Arial" w:eastAsia="Arial" w:hAnsi="Arial"/>
          <w:sz w:val="22"/>
          <w:szCs w:val="22"/>
        </w:rPr>
        <w:t xml:space="preserve">Los entregables se envían en formato PDF al correo del curso antes de la medianoche del domingo de cada semana. A partir de la Semana 2, las entregas sumativas incluyen el proceso TutorIA descrito a continuación.</w:t>
      </w:r>
    </w:p>
    <w:p>
      <w:r>
        <w:rPr>
          <w:sz w:val="22"/>
          <w:szCs w:val="22"/>
        </w:rPr>
        <w:t xml:space="preserve"/>
      </w:r>
    </w:p>
    <w:p>
      <w:pPr>
        <w:pStyle w:val="Heading2"/>
      </w:pPr>
      <w:r>
        <w:rPr>
          <w:rFonts w:ascii="Arial" w:cs="Arial" w:eastAsia="Arial" w:hAnsi="Arial"/>
          <w:b/>
          <w:bCs/>
          <w:color w:val="1A7A4A"/>
          <w:sz w:val="24"/>
          <w:szCs w:val="24"/>
        </w:rPr>
        <w:t xml:space="preserve">Sistema TutorIA (entregas sumativas)</w:t>
      </w:r>
    </w:p>
    <w:p>
      <w:r>
        <w:rPr>
          <w:rFonts w:ascii="Arial" w:cs="Arial" w:eastAsia="Arial" w:hAnsi="Arial"/>
          <w:sz w:val="22"/>
          <w:szCs w:val="22"/>
        </w:rPr>
        <w:t xml:space="preserve">Las cuatro entregas sumativas (S2, S4, S6, S8) incluyen el siguiente proceso de evaluación mediada por IA:</w:t>
      </w:r>
    </w:p>
    <w:p>
      <w:r>
        <w:rPr>
          <w:sz w:val="22"/>
          <w:szCs w:val="22"/>
        </w:rPr>
        <w:t xml:space="preserve"/>
      </w:r>
    </w:p>
    <w:p>
      <w:pPr>
        <w:pStyle w:val="ListParagraph"/>
        <w:numPr>
          <w:ilvl w:val="0"/>
          <w:numId w:val="3"/>
        </w:numPr>
      </w:pPr>
      <w:r>
        <w:rPr>
          <w:rFonts w:ascii="Arial" w:cs="Arial" w:eastAsia="Arial" w:hAnsi="Arial"/>
          <w:sz w:val="22"/>
          <w:szCs w:val="22"/>
        </w:rPr>
        <w:t xml:space="preserve">El equipo envía el documento en PDF a la plataforma TutorIA.</w:t>
      </w:r>
    </w:p>
    <w:p>
      <w:pPr>
        <w:pStyle w:val="ListParagraph"/>
        <w:numPr>
          <w:ilvl w:val="0"/>
          <w:numId w:val="3"/>
        </w:numPr>
      </w:pPr>
      <w:r>
        <w:rPr>
          <w:rFonts w:ascii="Arial" w:cs="Arial" w:eastAsia="Arial" w:hAnsi="Arial"/>
          <w:sz w:val="22"/>
          <w:szCs w:val="22"/>
        </w:rPr>
        <w:t xml:space="preserve">TutorIA genera cinco preguntas específicas sobre el proceso descrito en el documento (máximo 30 minutos después de la entrega).</w:t>
      </w:r>
    </w:p>
    <w:p>
      <w:pPr>
        <w:pStyle w:val="ListParagraph"/>
        <w:numPr>
          <w:ilvl w:val="0"/>
          <w:numId w:val="3"/>
        </w:numPr>
      </w:pPr>
      <w:r>
        <w:rPr>
          <w:rFonts w:ascii="Arial" w:cs="Arial" w:eastAsia="Arial" w:hAnsi="Arial"/>
          <w:sz w:val="22"/>
          <w:szCs w:val="22"/>
        </w:rPr>
        <w:t xml:space="preserve">El equipo responde por escrito las cinco preguntas en un máximo de 30 minutos.</w:t>
      </w:r>
    </w:p>
    <w:p>
      <w:pPr>
        <w:pStyle w:val="ListParagraph"/>
        <w:numPr>
          <w:ilvl w:val="0"/>
          <w:numId w:val="3"/>
        </w:numPr>
      </w:pPr>
      <w:r>
        <w:rPr>
          <w:rFonts w:ascii="Arial" w:cs="Arial" w:eastAsia="Arial" w:hAnsi="Arial"/>
          <w:sz w:val="22"/>
          <w:szCs w:val="22"/>
        </w:rPr>
        <w:t xml:space="preserve">Las respuestas hacen parte de la calificación sumativa.</w:t>
      </w:r>
    </w:p>
    <w:p>
      <w:r>
        <w:rPr>
          <w:sz w:val="22"/>
          <w:szCs w:val="22"/>
        </w:rPr>
        <w:t xml:space="preserve"/>
      </w:r>
    </w:p>
    <w:p>
      <w:r>
        <w:rPr>
          <w:rFonts w:ascii="Arial" w:cs="Arial" w:eastAsia="Arial" w:hAnsi="Arial"/>
          <w:sz w:val="22"/>
          <w:szCs w:val="22"/>
        </w:rPr>
        <w:t xml:space="preserve">Las preguntas de TutorIA no evalúan el documento: evalúan el proceso del equipo detrás del documento. Pueden indagar sobre decisiones que no se tomaron, contradicciones entre evidencia y conclusiones, especificidad de los hallazgos, o la justificación de los momentos de pivote.</w:t>
      </w:r>
    </w:p>
    <w:p>
      <w:r>
        <w:rPr>
          <w:sz w:val="22"/>
          <w:szCs w:val="22"/>
        </w:rPr>
        <w:t xml:space="preserve"/>
      </w:r>
    </w:p>
    <w:p>
      <w:pPr>
        <w:pStyle w:val="Heading1"/>
      </w:pPr>
      <w:r>
        <w:rPr>
          <w:rFonts w:ascii="Arial" w:cs="Arial" w:eastAsia="Arial" w:hAnsi="Arial"/>
          <w:b/>
          <w:bCs/>
          <w:color w:val="1A7A4A"/>
          <w:sz w:val="28"/>
          <w:szCs w:val="28"/>
        </w:rPr>
        <w:t xml:space="preserve">Descripción del Proyecto por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800"/>
        <w:gridCol w:w="2826"/>
      </w:tblGrid>
      <w:tr>
        <w:trPr>
          <w:tblHeader/>
        </w:trPr>
        <w:tc>
          <w:tcPr>
            <w:tcW w:type="dxa" w:w="13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Semana</w:t>
            </w:r>
          </w:p>
        </w:tc>
        <w:tc>
          <w:tcPr>
            <w:tcW w:type="dxa" w:w="11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Tipo</w:t>
            </w:r>
          </w:p>
        </w:tc>
        <w:tc>
          <w:tcPr>
            <w:tcW w:type="dxa" w:w="3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Actividad central</w:t>
            </w:r>
          </w:p>
        </w:tc>
        <w:tc>
          <w:tcPr>
            <w:tcW w:type="dxa" w:w="2826"/>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Entregable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Semana 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4A"/>
                <w:sz w:val="20"/>
                <w:szCs w:val="20"/>
              </w:rPr>
              <w:t xml:space="preserve">Formativa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equipo lee el brief estratégico del contexto elegido y toma posición frente a él: ¿Cuál es la capacidad core de la empresa? ¿La hipótesis de oportunidad está bien fundamentada? ¿A qué usuario apunta? El objetivo es que el equipo se apropie del contexto y formule su propia hipótesis inicial sobre el problema a explorar.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Documento de posicionamiento estratégico (máx. 2 páginas). Sin nota.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Semana 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4A"/>
                <w:sz w:val="20"/>
                <w:szCs w:val="20"/>
              </w:rPr>
              <w:t xml:space="preserve">Sumativa (15%)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equipo ejecuta una investigación cualitativa de usuario: 5-6 entrevistas en profundidad, síntesis de hallazgos, construcción de user persona basado en evidencia, Customer Journey Map y mapas de empatía por pain point crítico. La investigación debe explorar el espacio de oportunidad del brief — no confirmar una solución, sino entender el problema del usuario.</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Reporte ejecutivo de research + artefactos de empatía + proceso TutorIA.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Semana 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4A"/>
                <w:sz w:val="20"/>
                <w:szCs w:val="20"/>
              </w:rPr>
              <w:t xml:space="preserve">Formativa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 base en los hallazgos del research, el equipo construye un Opportunity Solution Tree (OST), prioriza las oportunidades de mayor impacto y selecciona tres ideas de solución con argumentación explícita. El énfasis está en la coherencia entre los datos del usuario y las oportunidades elegidas.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OST visual + 1 página de razonamiento. Sin nota.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Semana 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4A"/>
                <w:sz w:val="20"/>
                <w:szCs w:val="20"/>
              </w:rPr>
              <w:t xml:space="preserve">Sumativa (15%)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equipo mapea los supuestos implícitos en su solución, identifica el más riesgoso, diseña un experimento lean para probarlo, lo ejecuta y toma una decisión fundamentada: perseverar, ajustar o descartar. El registro del proceso de decisión es tan importante como la decisión misma.</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Mapa de supuestos + diseño y resultado del experimento + decisión argumentada + proceso TutorIA.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Semana 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4A"/>
                <w:sz w:val="20"/>
                <w:szCs w:val="20"/>
              </w:rPr>
              <w:t xml:space="preserve">Formativa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equipo aplica la Matriz Kano para clasificar los atributos de su solución (must-haves, performance features, delighters) y define el supuesto de valor crítico que guiará el prototipo de marketing de la semana siguiente.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Matriz Kano + supuesto de valor crítico (máx. 2 páginas). Sin nota.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Semana 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4A"/>
                <w:sz w:val="20"/>
                <w:szCs w:val="20"/>
              </w:rPr>
              <w:t xml:space="preserve">Sumativa (15%)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equipo formula una hipótesis de crecimiento, diseña y construye un prototipo de marketing (landing page, video de concepto u otro artefacto de comunicación de valor), lo prueba cualitativamente con 5-8 usuarios y cuantitativamente con 50+ exposiciones, y analiza los resultados.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Hipótesis de crecimiento + prototipo de marketing + resultados de los dos tests + análisis + proceso TutorIA.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Semana 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4A"/>
                <w:sz w:val="20"/>
                <w:szCs w:val="20"/>
              </w:rPr>
              <w:t xml:space="preserve">Formativa grupal + Sumativa individual (25%)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equipo construye un prototipo funcional de alta fidelidad, lo más cercano posible al producto real, y conduce un test de usabilidad con 5-6 usuarios usando la técnica think-aloud. En paralelo, cada estudiante realiza su evaluación oral individual con un agente de voz que evalúa comprensión del proceso y capacidad de argumentar decisiones.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Prototipo de producto + hallazgos del test de usabilidad (grupal, sin nota). Evaluación oral individual (25% — sumativa).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Semana 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4A"/>
                <w:sz w:val="20"/>
                <w:szCs w:val="20"/>
              </w:rPr>
              <w:t xml:space="preserve">Sumativa (15% video + 15% documento)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equipo graba un video de máximo 3 minutos tipo pitch dirigido al C-level de la organización elegida: propuesta de valor, evidencia de usuario y decisiones clave del proceso. Además, realiza la coevaluación del trabajo de dos equipos y envía un resumen escrito del proyecto que activa el proceso TutorIA.</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final + coevaluación de dos equipos + resumen escrito + proceso TutorIA.</w:t>
            </w:r>
          </w:p>
        </w:tc>
      </w:tr>
    </w:tbl>
    <w:p>
      <w:r>
        <w:rPr>
          <w:sz w:val="22"/>
          <w:szCs w:val="22"/>
        </w:rPr>
        <w:t xml:space="preserve"/>
      </w:r>
    </w:p>
    <w:p>
      <w:pPr>
        <w:pStyle w:val="Heading1"/>
      </w:pPr>
      <w:r>
        <w:rPr>
          <w:rFonts w:ascii="Arial" w:cs="Arial" w:eastAsia="Arial" w:hAnsi="Arial"/>
          <w:b/>
          <w:bCs/>
          <w:color w:val="1A7A4A"/>
          <w:sz w:val="28"/>
          <w:szCs w:val="28"/>
        </w:rPr>
        <w:t xml:space="preserve">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26"/>
        <w:gridCol w:w="4800"/>
      </w:tblGrid>
      <w:tr>
        <w:trPr>
          <w:tblHeader/>
        </w:trPr>
        <w:tc>
          <w:tcPr>
            <w:tcW w:type="dxa" w:w="3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Componente</w:t>
            </w:r>
          </w:p>
        </w:tc>
        <w:tc>
          <w:tcPr>
            <w:tcW w:type="dxa" w:w="1226"/>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Peso</w:t>
            </w:r>
          </w:p>
        </w:tc>
        <w:tc>
          <w:tcPr>
            <w:tcW w:type="dxa" w:w="4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Semana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Entrega sumativa — Investigación de Usuario</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Entrega sumativa — Validación de Supuestos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Entrega sumativa — Prototipo de Marketing</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Entrega sumativa — Síntesis del Proyecto</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Evaluación oral individual (agente de voz)</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Video final grupal</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Total</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100%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bl>
    <w:p>
      <w:r>
        <w:rPr>
          <w:sz w:val="22"/>
          <w:szCs w:val="22"/>
        </w:rPr>
        <w:t xml:space="preserve"/>
      </w:r>
    </w:p>
    <w:p>
      <w:r>
        <w:rPr>
          <w:rFonts w:ascii="Arial" w:cs="Arial" w:eastAsia="Arial" w:hAnsi="Arial"/>
          <w:sz w:val="22"/>
          <w:szCs w:val="22"/>
        </w:rPr>
        <w:t xml:space="preserve">Las semanas 1, 3 y 5 tienen entregas formativas: generan retroalimentación pero no tienen nota. Se espera su entrega porque alimentan directamente las semanas sumativas. El incumplimiento de las entregas formativas no genera sanción directa, pero compromete la calidad de las entregas sumativas.</w:t>
      </w:r>
    </w:p>
    <w:p>
      <w:r>
        <w:rPr>
          <w:sz w:val="22"/>
          <w:szCs w:val="22"/>
        </w:rPr>
        <w:t xml:space="preserve"/>
      </w:r>
    </w:p>
    <w:p>
      <w:pPr>
        <w:pStyle w:val="Heading1"/>
      </w:pPr>
      <w:r>
        <w:rPr>
          <w:rFonts w:ascii="Arial" w:cs="Arial" w:eastAsia="Arial" w:hAnsi="Arial"/>
          <w:b/>
          <w:bCs/>
          <w:color w:val="1A7A4A"/>
          <w:sz w:val="28"/>
          <w:szCs w:val="28"/>
        </w:rPr>
        <w:t xml:space="preserve">Consideraciones Finales</w:t>
      </w:r>
    </w:p>
    <w:p>
      <w:pPr>
        <w:pStyle w:val="ListParagraph"/>
        <w:numPr>
          <w:ilvl w:val="0"/>
          <w:numId w:val="2"/>
        </w:numPr>
      </w:pPr>
      <w:r>
        <w:rPr>
          <w:rFonts w:ascii="Arial" w:cs="Arial" w:eastAsia="Arial" w:hAnsi="Arial"/>
          <w:sz w:val="22"/>
          <w:szCs w:val="22"/>
        </w:rPr>
        <w:t xml:space="preserve">El proyecto es grupal durante todo el curso, con excepción de la evaluación oral de la Semana 7, que es estrictamente individual.</w:t>
      </w:r>
    </w:p>
    <w:p>
      <w:pPr>
        <w:pStyle w:val="ListParagraph"/>
        <w:numPr>
          <w:ilvl w:val="0"/>
          <w:numId w:val="2"/>
        </w:numPr>
      </w:pPr>
      <w:r>
        <w:rPr>
          <w:rFonts w:ascii="Arial" w:cs="Arial" w:eastAsia="Arial" w:hAnsi="Arial"/>
          <w:sz w:val="22"/>
          <w:szCs w:val="22"/>
        </w:rPr>
        <w:t xml:space="preserve">El contexto estratégico elegido no cambia a lo largo del curso. Si un equipo descubre que la hipótesis de oportunidad no se sostiene con la evidencia de usuario, debe argumentar esa conclusión con datos — eso también es un aprendizaje válido y evaluable.</w:t>
      </w:r>
    </w:p>
    <w:p>
      <w:pPr>
        <w:pStyle w:val="ListParagraph"/>
        <w:numPr>
          <w:ilvl w:val="0"/>
          <w:numId w:val="2"/>
        </w:numPr>
      </w:pPr>
      <w:r>
        <w:rPr>
          <w:rFonts w:ascii="Arial" w:cs="Arial" w:eastAsia="Arial" w:hAnsi="Arial"/>
          <w:sz w:val="22"/>
          <w:szCs w:val="22"/>
        </w:rPr>
        <w:t xml:space="preserve">La coherencia entre semanas importa. Las decisiones del equipo en S3 deben ser coherentes con los hallazgos de S2; las decisiones de S6 deben ser coherentes con S4 y S5. El equipo debe ser capaz de explicar la lógica de su recorrido en cualquier momento.</w:t>
      </w:r>
    </w:p>
    <w:p>
      <w:pPr>
        <w:pStyle w:val="ListParagraph"/>
        <w:numPr>
          <w:ilvl w:val="0"/>
          <w:numId w:val="2"/>
        </w:numPr>
      </w:pPr>
      <w:r>
        <w:rPr>
          <w:rFonts w:ascii="Arial" w:cs="Arial" w:eastAsia="Arial" w:hAnsi="Arial"/>
          <w:sz w:val="22"/>
          <w:szCs w:val="22"/>
        </w:rPr>
        <w:t xml:space="preserve">La inteligencia artificial debe usarse con criterio y transparencia. Su uso indiscriminado sin juicio propio es detectado por el sistema de evaluación y compromete la calificación.</w:t>
      </w:r>
    </w:p>
    <w:p>
      <w:r>
        <w:rPr>
          <w:sz w:val="22"/>
          <w:szCs w:val="2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4" w:space="1"/>
      </w:pBd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Metodologías de Innovación: Design Thinking y Lean Startup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1"/>
      </w:pBdr>
    </w:pPr>
    <w:r>
      <w:rPr>
        <w:rFonts w:ascii="Arial" w:cs="Arial" w:eastAsia="Arial" w:hAnsi="Arial"/>
        <w:color w:val="555555"/>
        <w:sz w:val="18"/>
        <w:szCs w:val="18"/>
      </w:rPr>
      <w:t xml:space="preserve">Enunciado General del Proyecto Transversal · DTLS 2026  |  Universidad de los Andes — MISO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7A4A"/>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A7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2026-03-22T22:12:30.172Z</dcterms:created>
  <dcterms:modified xsi:type="dcterms:W3CDTF">2026-03-22T22:12:30.177Z</dcterms:modified>
</cp:coreProperties>
</file>

<file path=docProps/custom.xml><?xml version="1.0" encoding="utf-8"?>
<Properties xmlns="http://schemas.openxmlformats.org/officeDocument/2006/custom-properties" xmlns:vt="http://schemas.openxmlformats.org/officeDocument/2006/docPropsVTypes"/>
</file>