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75B6"/>
          <w:sz w:val="40"/>
          <w:szCs w:val="40"/>
        </w:rPr>
        <w:t xml:space="preserve">Programa del Curso</w:t>
      </w:r>
    </w:p>
    <w:p>
      <w:pPr>
        <w:spacing w:after="360" w:before="0"/>
        <w:jc w:val="center"/>
      </w:pPr>
      <w:r>
        <w:rPr>
          <w:rFonts w:ascii="Arial" w:cs="Arial" w:eastAsia="Arial" w:hAnsi="Arial"/>
          <w:color w:val="444444"/>
          <w:sz w:val="26"/>
          <w:szCs w:val="26"/>
        </w:rPr>
        <w:t xml:space="preserve">Metodologías de Innovación: Design Thinking y Lean Startup</w:t>
      </w:r>
    </w:p>
    <w:p>
      <w:pPr>
        <w:pStyle w:val="Heading1"/>
      </w:pPr>
      <w:r>
        <w:rPr>
          <w:rFonts w:ascii="Arial" w:cs="Arial" w:eastAsia="Arial" w:hAnsi="Arial"/>
          <w:b/>
          <w:bCs/>
          <w:color w:val="2E75B6"/>
          <w:sz w:val="28"/>
          <w:szCs w:val="28"/>
        </w:rPr>
        <w:t xml:space="preserve">Generalidades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Curso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Metodologías de Innovación: Design Thinking y Lean Startup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Créditos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Duración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semanas (aproximadamente 12 horas de dedicación por semana)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Modalidad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 virtual — Maestría en Ingeniería de Software (MISO)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Profesor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Daniel Fonseca Arciniegas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Correo docente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d.fonseca1@uniandes.edu.co</w:t>
            </w:r>
          </w:p>
        </w:tc>
      </w:tr>
    </w:tbl>
    <w:p>
      <w:r>
        <w:rPr>
          <w:sz w:val="22"/>
          <w:szCs w:val="22"/>
        </w:rPr>
        <w:t xml:space="preserve"/>
      </w:r>
    </w:p>
    <w:p>
      <w:pPr>
        <w:pStyle w:val="Heading1"/>
      </w:pPr>
      <w:r>
        <w:rPr>
          <w:rFonts w:ascii="Arial" w:cs="Arial" w:eastAsia="Arial" w:hAnsi="Arial"/>
          <w:b/>
          <w:bCs/>
          <w:color w:val="2E75B6"/>
          <w:sz w:val="28"/>
          <w:szCs w:val="28"/>
        </w:rPr>
        <w:t xml:space="preserve">Descripción del Curso</w:t>
      </w:r>
    </w:p>
    <w:p>
      <w:r>
        <w:rPr>
          <w:rFonts w:ascii="Arial" w:cs="Arial" w:eastAsia="Arial" w:hAnsi="Arial"/>
          <w:sz w:val="22"/>
          <w:szCs w:val="22"/>
        </w:rPr>
        <w:t xml:space="preserve">En la economía digital del Siglo XXI, construir un producto con impacto real es uno de los desafíos más complejos que enfrentan los profesionales de tecnología. No basta con escribir código de calidad: es necesario entender a los usuarios, definir el problema correcto, validar supuestos antes de construir, y aprender a tomar decisiones bajo incertidumbre. Este curso aborda esa competencia de manera práctica y progresiva.</w:t>
      </w:r>
    </w:p>
    <w:p>
      <w:r>
        <w:rPr>
          <w:sz w:val="22"/>
          <w:szCs w:val="22"/>
        </w:rPr>
        <w:t xml:space="preserve"/>
      </w:r>
    </w:p>
    <w:p>
      <w:r>
        <w:rPr>
          <w:rFonts w:ascii="Arial" w:cs="Arial" w:eastAsia="Arial" w:hAnsi="Arial"/>
          <w:sz w:val="22"/>
          <w:szCs w:val="22"/>
        </w:rPr>
        <w:t xml:space="preserve">El curso combina Design Thinking y Lean Startup no como disciplinas separadas, sino como un marco integrado de gestión de producto end-to-end: desde el research de usuario hasta la iteración del producto. El eje pedagógico es el Enfoque de Enseñanza para la Comprensión (EpC, Harvard Project Zero), que entiende la comprensión no como acumulación de conceptos, sino como la capacidad de actuar flexiblemente con lo que se sabe. En consecuencia, el proyecto transversal no es un ejercicio de aplicación — es el espacio donde ocurre el aprendizaje real.</w:t>
      </w:r>
    </w:p>
    <w:p>
      <w:r>
        <w:rPr>
          <w:sz w:val="22"/>
          <w:szCs w:val="22"/>
        </w:rPr>
        <w:t xml:space="preserve"/>
      </w:r>
    </w:p>
    <w:p>
      <w:r>
        <w:rPr>
          <w:rFonts w:ascii="Arial" w:cs="Arial" w:eastAsia="Arial" w:hAnsi="Arial"/>
          <w:sz w:val="22"/>
          <w:szCs w:val="22"/>
        </w:rPr>
        <w:t xml:space="preserve">Los estudiantes trabajan en equipos de tres personas sobre uno de siete contextos estratégicos predefinidos, basados en empresas tecnológicas de referencia global y latinoamericana (Netflix, MercadoLibre, Rappi, Duolingo, LinkedIn, Spotify y Uber). Cada contexto incluye un diagnóstico estratégico estructurado según el marco de Richard Rumelt y un pivote estratégico concreto. Este punto de partida compartido garantiza que todos los equipos puedan concentrarse en aprender el proceso de product management, y no en tareas preparatorias.</w:t>
      </w:r>
    </w:p>
    <w:p>
      <w:r>
        <w:rPr>
          <w:sz w:val="22"/>
          <w:szCs w:val="22"/>
        </w:rPr>
        <w:t xml:space="preserve"/>
      </w:r>
    </w:p>
    <w:p>
      <w:r>
        <w:rPr>
          <w:rFonts w:ascii="Arial" w:cs="Arial" w:eastAsia="Arial" w:hAnsi="Arial"/>
          <w:sz w:val="22"/>
          <w:szCs w:val="22"/>
        </w:rPr>
        <w:t xml:space="preserve">La inteligencia artificial es una herramienta obligatoria del curso — no como sustituto del juicio del estudiante, sino como brújula metodológica. Se espera que los estudiantes usen IA para explorar, cuestionar y estructurar, pero que las decisiones clave del proceso sean propias, argumentadas y trazables.</w:t>
      </w:r>
    </w:p>
    <w:p>
      <w:r>
        <w:rPr>
          <w:sz w:val="22"/>
          <w:szCs w:val="22"/>
        </w:rPr>
        <w:t xml:space="preserve"/>
      </w:r>
    </w:p>
    <w:p>
      <w:pPr>
        <w:pStyle w:val="Heading1"/>
      </w:pPr>
      <w:r>
        <w:rPr>
          <w:rFonts w:ascii="Arial" w:cs="Arial" w:eastAsia="Arial" w:hAnsi="Arial"/>
          <w:b/>
          <w:bCs/>
          <w:color w:val="2E75B6"/>
          <w:sz w:val="28"/>
          <w:szCs w:val="28"/>
        </w:rPr>
        <w:t xml:space="preserve">Objetivos del Curso</w:t>
      </w:r>
    </w:p>
    <w:p>
      <w:pPr>
        <w:pStyle w:val="ListParagraph"/>
        <w:numPr>
          <w:ilvl w:val="0"/>
          <w:numId w:val="2"/>
        </w:numPr>
      </w:pPr>
      <w:r>
        <w:rPr>
          <w:rFonts w:ascii="Arial" w:cs="Arial" w:eastAsia="Arial" w:hAnsi="Arial"/>
          <w:sz w:val="22"/>
          <w:szCs w:val="22"/>
        </w:rPr>
        <w:t xml:space="preserve">Comprender el ciclo completo de gestión de producto — desde el research de usuario hasta la iteración — a través de la aplicación práctica de Design Thinking y Lean Startup en un contexto estratégico real.</w:t>
      </w:r>
    </w:p>
    <w:p>
      <w:pPr>
        <w:pStyle w:val="ListParagraph"/>
        <w:numPr>
          <w:ilvl w:val="0"/>
          <w:numId w:val="2"/>
        </w:numPr>
      </w:pPr>
      <w:r>
        <w:rPr>
          <w:rFonts w:ascii="Arial" w:cs="Arial" w:eastAsia="Arial" w:hAnsi="Arial"/>
          <w:sz w:val="22"/>
          <w:szCs w:val="22"/>
        </w:rPr>
        <w:t xml:space="preserve">Desarrollar la capacidad de tomar decisiones de producto bajo incertidumbre, integrando evidencia de usuario, validación de supuestos y criterios estratégicos.</w:t>
      </w:r>
    </w:p>
    <w:p>
      <w:pPr>
        <w:pStyle w:val="ListParagraph"/>
        <w:numPr>
          <w:ilvl w:val="0"/>
          <w:numId w:val="2"/>
        </w:numPr>
      </w:pPr>
      <w:r>
        <w:rPr>
          <w:rFonts w:ascii="Arial" w:cs="Arial" w:eastAsia="Arial" w:hAnsi="Arial"/>
          <w:sz w:val="22"/>
          <w:szCs w:val="22"/>
        </w:rPr>
        <w:t xml:space="preserve">Construir comprensión práctica (no solo declarativa) del proceso de innovación centrado en el usuario, usando la inteligencia artificial como apoyo metodológico con criterio propio.</w:t>
      </w:r>
    </w:p>
    <w:p>
      <w:r>
        <w:rPr>
          <w:sz w:val="22"/>
          <w:szCs w:val="22"/>
        </w:rPr>
        <w:t xml:space="preserve"/>
      </w:r>
    </w:p>
    <w:p>
      <w:pPr>
        <w:pStyle w:val="Heading1"/>
      </w:pPr>
      <w:r>
        <w:rPr>
          <w:rFonts w:ascii="Arial" w:cs="Arial" w:eastAsia="Arial" w:hAnsi="Arial"/>
          <w:b/>
          <w:bCs/>
          <w:color w:val="2E75B6"/>
          <w:sz w:val="28"/>
          <w:szCs w:val="28"/>
        </w:rPr>
        <w:t xml:space="preserve">Estructura del Curso</w:t>
      </w:r>
    </w:p>
    <w:p>
      <w:r>
        <w:rPr>
          <w:rFonts w:ascii="Arial" w:cs="Arial" w:eastAsia="Arial" w:hAnsi="Arial"/>
          <w:sz w:val="22"/>
          <w:szCs w:val="22"/>
        </w:rPr>
        <w:t xml:space="preserve">El curso organiza sus contenidos en ocho semanas secuenciales. Cada semana combina materiales de aprendizaje (videos, lecturas, infografías, podcasts) con una actividad de proyecto. Los materiales tienen como propósito dar al estudiante el marco conceptual necesario para ejecutar la actividad de esa semana — no son un fin en sí mismos. El proyecto transversal es el hilo conductor de todo el curso.</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51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Módulo</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Semana</w:t>
            </w:r>
          </w:p>
        </w:tc>
        <w:tc>
          <w:tcPr>
            <w:tcW w:type="dxa" w:w="51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Objetivos de Aprendizaje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Contexto Estratégico e Hipótesis Inicial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1</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Comprender qué es una estrategia sólida según Rumelt: diagnóstico, política guía y acciones coherentes.</w:t>
            </w:r>
          </w:p>
          <w:p>
            <w:pPr>
              <w:pStyle w:val="ListParagraph"/>
              <w:numPr>
                <w:ilvl w:val="0"/>
                <w:numId w:val="3"/>
              </w:numPr>
            </w:pPr>
            <w:r>
              <w:rPr>
                <w:rFonts w:ascii="Arial" w:cs="Arial" w:eastAsia="Arial" w:hAnsi="Arial"/>
                <w:sz w:val="20"/>
                <w:szCs w:val="20"/>
              </w:rPr>
              <w:t xml:space="preserve">Identificar la capacidad core de la empresa elegida y articularla con el pivote estratégico propuesto.</w:t>
            </w:r>
          </w:p>
          <w:p>
            <w:pPr>
              <w:pStyle w:val="ListParagraph"/>
              <w:numPr>
                <w:ilvl w:val="0"/>
                <w:numId w:val="3"/>
              </w:numPr>
            </w:pPr>
            <w:r>
              <w:rPr>
                <w:rFonts w:ascii="Arial" w:cs="Arial" w:eastAsia="Arial" w:hAnsi="Arial"/>
                <w:sz w:val="20"/>
                <w:szCs w:val="20"/>
              </w:rPr>
              <w:t xml:space="preserve">Formular una hipótesis inicial de usuario conectada con el objetivo estratégico del contexto asignado.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Investigación de Usuario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Diseñar y ejecutar un plan de investigación cualitativa centrado en el usuario del contexto estratégico.</w:t>
            </w:r>
          </w:p>
          <w:p>
            <w:pPr>
              <w:pStyle w:val="ListParagraph"/>
              <w:numPr>
                <w:ilvl w:val="0"/>
                <w:numId w:val="3"/>
              </w:numPr>
            </w:pPr>
            <w:r>
              <w:rPr>
                <w:rFonts w:ascii="Arial" w:cs="Arial" w:eastAsia="Arial" w:hAnsi="Arial"/>
                <w:sz w:val="20"/>
                <w:szCs w:val="20"/>
              </w:rPr>
              <w:t xml:space="preserve">Aplicar técnicas de entrevista (The Mom Test) para capturar evidencia real, no suposiciones.</w:t>
            </w:r>
          </w:p>
          <w:p>
            <w:pPr>
              <w:pStyle w:val="ListParagraph"/>
              <w:numPr>
                <w:ilvl w:val="0"/>
                <w:numId w:val="3"/>
              </w:numPr>
            </w:pPr>
            <w:r>
              <w:rPr>
                <w:rFonts w:ascii="Arial" w:cs="Arial" w:eastAsia="Arial" w:hAnsi="Arial"/>
                <w:sz w:val="20"/>
                <w:szCs w:val="20"/>
              </w:rPr>
              <w:t xml:space="preserve">Construir artefactos de empatía: user persona basado en evidencia, Customer Journey Map y mapas de empatía por pain point crítico.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Definición de Oportunidades e Ideación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Construir un Opportunity Solution Tree (OST) que organice jerárquicamente los problemas identificados.</w:t>
            </w:r>
          </w:p>
          <w:p>
            <w:pPr>
              <w:pStyle w:val="ListParagraph"/>
              <w:numPr>
                <w:ilvl w:val="0"/>
                <w:numId w:val="3"/>
              </w:numPr>
            </w:pPr>
            <w:r>
              <w:rPr>
                <w:rFonts w:ascii="Arial" w:cs="Arial" w:eastAsia="Arial" w:hAnsi="Arial"/>
                <w:sz w:val="20"/>
                <w:szCs w:val="20"/>
              </w:rPr>
              <w:t xml:space="preserve">Priorizar las oportunidades de innovación con base en el potencial de impacto y la coherencia con el objetivo estratégico.</w:t>
            </w:r>
          </w:p>
          <w:p>
            <w:pPr>
              <w:pStyle w:val="ListParagraph"/>
              <w:numPr>
                <w:ilvl w:val="0"/>
                <w:numId w:val="3"/>
              </w:numPr>
            </w:pPr>
            <w:r>
              <w:rPr>
                <w:rFonts w:ascii="Arial" w:cs="Arial" w:eastAsia="Arial" w:hAnsi="Arial"/>
                <w:sz w:val="20"/>
                <w:szCs w:val="20"/>
              </w:rPr>
              <w:t xml:space="preserve">Generar y seleccionar ideas de solución con criterio, argumentando la elección con base en la evidencia de research.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Validación de Supuestos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Mapear los supuestos implícitos en la solución propuesta e identificar los de mayor riesgo.</w:t>
            </w:r>
          </w:p>
          <w:p>
            <w:pPr>
              <w:pStyle w:val="ListParagraph"/>
              <w:numPr>
                <w:ilvl w:val="0"/>
                <w:numId w:val="3"/>
              </w:numPr>
            </w:pPr>
            <w:r>
              <w:rPr>
                <w:rFonts w:ascii="Arial" w:cs="Arial" w:eastAsia="Arial" w:hAnsi="Arial"/>
                <w:sz w:val="20"/>
                <w:szCs w:val="20"/>
              </w:rPr>
              <w:t xml:space="preserve">Diseñar y ejecutar experimentos lean para probar los supuestos más críticos.</w:t>
            </w:r>
          </w:p>
          <w:p>
            <w:pPr>
              <w:pStyle w:val="ListParagraph"/>
              <w:numPr>
                <w:ilvl w:val="0"/>
                <w:numId w:val="3"/>
              </w:numPr>
            </w:pPr>
            <w:r>
              <w:rPr>
                <w:rFonts w:ascii="Arial" w:cs="Arial" w:eastAsia="Arial" w:hAnsi="Arial"/>
                <w:sz w:val="20"/>
                <w:szCs w:val="20"/>
              </w:rPr>
              <w:t xml:space="preserve">Tomar una decisión fundamentada: perseverar, ajustar o descartar la solución con base en la evidencia obtenida.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Visión de Producto y Propuesta de Valor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Comprender la Matriz Kano y clasificar los atributos de la solución en must-haves, performance features y delighters.</w:t>
            </w:r>
          </w:p>
          <w:p>
            <w:pPr>
              <w:pStyle w:val="ListParagraph"/>
              <w:numPr>
                <w:ilvl w:val="0"/>
                <w:numId w:val="3"/>
              </w:numPr>
            </w:pPr>
            <w:r>
              <w:rPr>
                <w:rFonts w:ascii="Arial" w:cs="Arial" w:eastAsia="Arial" w:hAnsi="Arial"/>
                <w:sz w:val="20"/>
                <w:szCs w:val="20"/>
              </w:rPr>
              <w:t xml:space="preserve">Definir la propuesta de valor del producto con base en los hallazgos de research y los resultados de validación.</w:t>
            </w:r>
          </w:p>
          <w:p>
            <w:pPr>
              <w:pStyle w:val="ListParagraph"/>
              <w:numPr>
                <w:ilvl w:val="0"/>
                <w:numId w:val="3"/>
              </w:numPr>
            </w:pPr>
            <w:r>
              <w:rPr>
                <w:rFonts w:ascii="Arial" w:cs="Arial" w:eastAsia="Arial" w:hAnsi="Arial"/>
                <w:sz w:val="20"/>
                <w:szCs w:val="20"/>
              </w:rPr>
              <w:t xml:space="preserve">Identificar el supuesto de valor crítico que debe probarse en el siguiente prototipo.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Prototipo de Marketing y MVP de Crecimiento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Comprender la diferencia entre prototipo de marketing y prototipo de producto (Dan Olsen), y por qué primero se construye el de marketing.</w:t>
            </w:r>
          </w:p>
          <w:p>
            <w:pPr>
              <w:pStyle w:val="ListParagraph"/>
              <w:numPr>
                <w:ilvl w:val="0"/>
                <w:numId w:val="3"/>
              </w:numPr>
            </w:pPr>
            <w:r>
              <w:rPr>
                <w:rFonts w:ascii="Arial" w:cs="Arial" w:eastAsia="Arial" w:hAnsi="Arial"/>
                <w:sz w:val="20"/>
                <w:szCs w:val="20"/>
              </w:rPr>
              <w:t xml:space="preserve">Formular una hipótesis de crecimiento y diseñar un prototipo de marketing que la pruebe cualitativamente (5-8 usuarios) y cuantitativamente (50+ exposiciones).</w:t>
            </w:r>
          </w:p>
          <w:p>
            <w:pPr>
              <w:pStyle w:val="ListParagraph"/>
              <w:numPr>
                <w:ilvl w:val="0"/>
                <w:numId w:val="3"/>
              </w:numPr>
            </w:pPr>
            <w:r>
              <w:rPr>
                <w:rFonts w:ascii="Arial" w:cs="Arial" w:eastAsia="Arial" w:hAnsi="Arial"/>
                <w:sz w:val="20"/>
                <w:szCs w:val="20"/>
              </w:rPr>
              <w:t xml:space="preserve">Analizar los resultados del experimento de marketing para tomar decisiones de producto.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Prototipo de Producto y Evaluación Individual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Construir un prototipo funcional de alta fidelidad que permita al usuario recorrer el flujo completo de la funcionalidad propuesta, lo más cercano posible al producto real.</w:t>
            </w:r>
          </w:p>
          <w:p>
            <w:pPr>
              <w:pStyle w:val="ListParagraph"/>
              <w:numPr>
                <w:ilvl w:val="0"/>
                <w:numId w:val="3"/>
              </w:numPr>
            </w:pPr>
            <w:r>
              <w:rPr>
                <w:rFonts w:ascii="Arial" w:cs="Arial" w:eastAsia="Arial" w:hAnsi="Arial"/>
                <w:sz w:val="20"/>
                <w:szCs w:val="20"/>
              </w:rPr>
              <w:t xml:space="preserve">Ejecutar un test de usabilidad con 5-6 usuarios aplicando la técnica de think-aloud.</w:t>
            </w:r>
          </w:p>
          <w:p>
            <w:pPr>
              <w:pStyle w:val="ListParagraph"/>
              <w:numPr>
                <w:ilvl w:val="0"/>
                <w:numId w:val="3"/>
              </w:numPr>
            </w:pPr>
            <w:r>
              <w:rPr>
                <w:rFonts w:ascii="Arial" w:cs="Arial" w:eastAsia="Arial" w:hAnsi="Arial"/>
                <w:sz w:val="20"/>
                <w:szCs w:val="20"/>
              </w:rPr>
              <w:t xml:space="preserve">Demostrar comprensión individual del proceso del proyecto a través de una evaluación oral con un agente de voz.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Síntesis, Comunicación y Coevaluación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pPr>
            <w:r>
              <w:rPr>
                <w:rFonts w:ascii="Arial" w:cs="Arial" w:eastAsia="Arial" w:hAnsi="Arial"/>
                <w:sz w:val="20"/>
                <w:szCs w:val="20"/>
              </w:rPr>
              <w:t xml:space="preserve">Sintetizar el recorrido del proyecto en un video tipo pitch (5-7 minutos) que comunique el proceso de aprendizaje y las decisiones tomadas.</w:t>
            </w:r>
          </w:p>
          <w:p>
            <w:pPr>
              <w:pStyle w:val="ListParagraph"/>
              <w:numPr>
                <w:ilvl w:val="0"/>
                <w:numId w:val="3"/>
              </w:numPr>
            </w:pPr>
            <w:r>
              <w:rPr>
                <w:rFonts w:ascii="Arial" w:cs="Arial" w:eastAsia="Arial" w:hAnsi="Arial"/>
                <w:sz w:val="20"/>
                <w:szCs w:val="20"/>
              </w:rPr>
              <w:t xml:space="preserve">Evaluar críticamente el trabajo de otros equipos aplicando los criterios del curso.</w:t>
            </w:r>
          </w:p>
          <w:p>
            <w:pPr>
              <w:pStyle w:val="ListParagraph"/>
              <w:numPr>
                <w:ilvl w:val="0"/>
                <w:numId w:val="3"/>
              </w:numPr>
            </w:pPr>
            <w:r>
              <w:rPr>
                <w:rFonts w:ascii="Arial" w:cs="Arial" w:eastAsia="Arial" w:hAnsi="Arial"/>
                <w:sz w:val="20"/>
                <w:szCs w:val="20"/>
              </w:rPr>
              <w:t xml:space="preserve">Reflexionar sobre las decisiones clave del proceso y articular los aprendizajes centrales del curso.</w:t>
            </w:r>
          </w:p>
        </w:tc>
      </w:tr>
    </w:tbl>
    <w:p>
      <w:r>
        <w:rPr>
          <w:sz w:val="22"/>
          <w:szCs w:val="22"/>
        </w:rPr>
        <w:t xml:space="preserve"/>
      </w:r>
    </w:p>
    <w:p>
      <w:pPr>
        <w:pStyle w:val="Heading1"/>
      </w:pPr>
      <w:r>
        <w:rPr>
          <w:rFonts w:ascii="Arial" w:cs="Arial" w:eastAsia="Arial" w:hAnsi="Arial"/>
          <w:b/>
          <w:bCs/>
          <w:color w:val="2E75B6"/>
          <w:sz w:val="28"/>
          <w:szCs w:val="28"/>
        </w:rPr>
        <w:t xml:space="preserve">Actividades de Aprendizaje</w:t>
      </w:r>
    </w:p>
    <w:p>
      <w:r>
        <w:rPr>
          <w:rFonts w:ascii="Arial" w:cs="Arial" w:eastAsia="Arial" w:hAnsi="Arial"/>
          <w:sz w:val="22"/>
          <w:szCs w:val="22"/>
        </w:rPr>
        <w:t xml:space="preserve">Para alcanzar los objetivos del curso, cada semana incluye una combinación de los siguientes recursos:</w:t>
      </w:r>
    </w:p>
    <w:p>
      <w:r>
        <w:rPr>
          <w:sz w:val="22"/>
          <w:szCs w:val="22"/>
        </w:rPr>
        <w:t xml:space="preserve"/>
      </w:r>
    </w:p>
    <w:p>
      <w:pPr>
        <w:pStyle w:val="ListParagraph"/>
        <w:numPr>
          <w:ilvl w:val="0"/>
          <w:numId w:val="2"/>
        </w:numPr>
      </w:pPr>
      <w:r>
        <w:rPr>
          <w:rFonts w:ascii="Arial" w:cs="Arial" w:eastAsia="Arial" w:hAnsi="Arial"/>
          <w:sz w:val="22"/>
          <w:szCs w:val="22"/>
        </w:rPr>
        <w:t xml:space="preserve">Videos conceptuales: presentan los conceptos clave de la semana, con énfasis en su aplicación al proyecto.</w:t>
      </w:r>
    </w:p>
    <w:p>
      <w:pPr>
        <w:pStyle w:val="ListParagraph"/>
        <w:numPr>
          <w:ilvl w:val="0"/>
          <w:numId w:val="2"/>
        </w:numPr>
      </w:pPr>
      <w:r>
        <w:rPr>
          <w:rFonts w:ascii="Arial" w:cs="Arial" w:eastAsia="Arial" w:hAnsi="Arial"/>
          <w:sz w:val="22"/>
          <w:szCs w:val="22"/>
        </w:rPr>
        <w:t xml:space="preserve">Lecturas: textos seleccionados de las referencias del curso (Continuous Discovery Habits de Teresa Torres; The Lean Product Playbook de Dan Olsen) y materiales complementarios.</w:t>
      </w:r>
    </w:p>
    <w:p>
      <w:pPr>
        <w:pStyle w:val="ListParagraph"/>
        <w:numPr>
          <w:ilvl w:val="0"/>
          <w:numId w:val="2"/>
        </w:numPr>
      </w:pPr>
      <w:r>
        <w:rPr>
          <w:rFonts w:ascii="Arial" w:cs="Arial" w:eastAsia="Arial" w:hAnsi="Arial"/>
          <w:sz w:val="22"/>
          <w:szCs w:val="22"/>
        </w:rPr>
        <w:t xml:space="preserve">Podcasts del profesor: audios cortos con orientaciones específicas para las actividades de la semana.</w:t>
      </w:r>
    </w:p>
    <w:p>
      <w:pPr>
        <w:pStyle w:val="ListParagraph"/>
        <w:numPr>
          <w:ilvl w:val="0"/>
          <w:numId w:val="2"/>
        </w:numPr>
      </w:pPr>
      <w:r>
        <w:rPr>
          <w:rFonts w:ascii="Arial" w:cs="Arial" w:eastAsia="Arial" w:hAnsi="Arial"/>
          <w:sz w:val="22"/>
          <w:szCs w:val="22"/>
        </w:rPr>
        <w:t xml:space="preserve">Infografías y presentaciones: síntesis visuales de marcos y herramientas concretas.</w:t>
      </w:r>
    </w:p>
    <w:p>
      <w:pPr>
        <w:pStyle w:val="ListParagraph"/>
        <w:numPr>
          <w:ilvl w:val="0"/>
          <w:numId w:val="2"/>
        </w:numPr>
      </w:pPr>
      <w:r>
        <w:rPr>
          <w:rFonts w:ascii="Arial" w:cs="Arial" w:eastAsia="Arial" w:hAnsi="Arial"/>
          <w:sz w:val="22"/>
          <w:szCs w:val="22"/>
        </w:rPr>
        <w:t xml:space="preserve">Sesiones sincrónicas: espacios en vivo para resolver dudas, trabajar en ejercicios grupales y recibir retroalimentación sobre el avance del proyecto.</w:t>
      </w:r>
    </w:p>
    <w:p>
      <w:r>
        <w:rPr>
          <w:sz w:val="22"/>
          <w:szCs w:val="22"/>
        </w:rPr>
        <w:t xml:space="preserve"/>
      </w:r>
    </w:p>
    <w:p>
      <w:pPr>
        <w:pStyle w:val="Heading1"/>
      </w:pPr>
      <w:r>
        <w:rPr>
          <w:rFonts w:ascii="Arial" w:cs="Arial" w:eastAsia="Arial" w:hAnsi="Arial"/>
          <w:b/>
          <w:bCs/>
          <w:color w:val="2E75B6"/>
          <w:sz w:val="28"/>
          <w:szCs w:val="28"/>
        </w:rPr>
        <w:t xml:space="preserve">Evaluación</w:t>
      </w:r>
    </w:p>
    <w:p>
      <w:r>
        <w:rPr>
          <w:rFonts w:ascii="Arial" w:cs="Arial" w:eastAsia="Arial" w:hAnsi="Arial"/>
          <w:sz w:val="22"/>
          <w:szCs w:val="22"/>
        </w:rPr>
        <w:t xml:space="preserve">La evaluación del curso está diseñada para medir comprensión real, no solo entrega de artefactos. El sistema combina cuatro entregas sumativas grupales, una evaluación oral individual y un video final grupal:</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26"/>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Peso</w:t>
            </w:r>
          </w:p>
        </w:tc>
        <w:tc>
          <w:tcPr>
            <w:tcW w:type="dxa" w:w="46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Descripción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S2 — Investigación de Usuario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Reporte ejecutivo de research: user persona, CJM y mapas de empatía. Incluye proceso TutorIA: 5 preguntas generadas por IA con 30 minutos de respuesta.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S4 — Validación de Supuestos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Mapa de supuestos, experimento ejecutado y decisión fundamentada (perseverar / ajustar / descartar). Incluye proceso TutorIA.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S6 — Prototipo de Marketing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Hipótesis de crecimiento, prototipo de marketing, resultados cualitativos y cuantitativos, análisis. Incluye proceso TutorIA.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Entrega sumativa S8 — Síntesis del Proyecto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Resumen escrito del recorrido completo + coevaluación de dos equipos. Incluye proceso TutorIA sobre el documento y el video.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Evaluación oral individual (agente de voz)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7. Cada estudiante responde a un agente de voz que evalúa comprensión del proceso, capacidad de argumentar decisiones y razonamiento contrafactual.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Video final grupal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15%</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Semana 8. Video de máximo 3 minutos tipo pitch dirigido al C-level de la organización elegida: propuesta de valor, evidencia de usuario y decisiones clave del proceso.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100%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
            </w:r>
          </w:p>
        </w:tc>
      </w:tr>
    </w:tbl>
    <w:p>
      <w:r>
        <w:rPr>
          <w:sz w:val="22"/>
          <w:szCs w:val="22"/>
        </w:rPr>
        <w:t xml:space="preserve"/>
      </w:r>
    </w:p>
    <w:p>
      <w:r>
        <w:rPr>
          <w:rFonts w:ascii="Arial" w:cs="Arial" w:eastAsia="Arial" w:hAnsi="Arial"/>
          <w:sz w:val="22"/>
          <w:szCs w:val="22"/>
        </w:rPr>
        <w:t xml:space="preserve">Las semanas 1, 3 y 5 tienen entregas formativas: el equipo recibe retroalimentación del proceso TutorIA pero no reciben nota. Se espera que estas entregas se realicen, ya que alimentan directamente las entregas sumativas subsiguientes.</w:t>
      </w:r>
    </w:p>
    <w:p>
      <w:r>
        <w:rPr>
          <w:sz w:val="22"/>
          <w:szCs w:val="22"/>
        </w:rPr>
        <w:t xml:space="preserve"/>
      </w:r>
    </w:p>
    <w:p>
      <w:pPr>
        <w:pStyle w:val="Heading2"/>
      </w:pPr>
      <w:r>
        <w:rPr>
          <w:rFonts w:ascii="Arial" w:cs="Arial" w:eastAsia="Arial" w:hAnsi="Arial"/>
          <w:b/>
          <w:bCs/>
          <w:color w:val="2E75B6"/>
          <w:sz w:val="24"/>
          <w:szCs w:val="24"/>
        </w:rPr>
        <w:t xml:space="preserve">Sistema TutorIA</w:t>
      </w:r>
    </w:p>
    <w:p>
      <w:r>
        <w:rPr>
          <w:rFonts w:ascii="Arial" w:cs="Arial" w:eastAsia="Arial" w:hAnsi="Arial"/>
          <w:sz w:val="22"/>
          <w:szCs w:val="22"/>
        </w:rPr>
        <w:t xml:space="preserve">Las cuatro entregas sumativas incluyen el siguiente proceso de evaluación mediada por IA: el equipo envía el documento en PDF a la plataforma de TutorIA, que en un plazo máximo de 30 minutos genera cinco preguntas específicas sobre el proceso descrito en el documento. Estas preguntas no evalúan el documento en sí — evalúan las decisiones, los razonamientos y el proceso del equipo detrás del documento. El equipo tiene 30 minutos para responder por escrito. Las respuestas son parte de la nota sumativa.</w:t>
      </w:r>
    </w:p>
    <w:p>
      <w:r>
        <w:rPr>
          <w:sz w:val="22"/>
          <w:szCs w:val="22"/>
        </w:rPr>
        <w:t xml:space="preserve"/>
      </w:r>
    </w:p>
    <w:p>
      <w:r>
        <w:rPr>
          <w:rFonts w:ascii="Arial" w:cs="Arial" w:eastAsia="Arial" w:hAnsi="Arial"/>
          <w:sz w:val="22"/>
          <w:szCs w:val="22"/>
        </w:rPr>
        <w:t xml:space="preserve">Las preguntas de TutorIA pueden explorar: decisiones que no se tomaron y sus consecuencias, contradicciones entre evidencia y conclusiones, especificidad de los hallazgos, coherencia entre el objetivo estratégico y las oportunidades identificadas, y justificación de los momentos de pivote o perseverancia.</w:t>
      </w:r>
    </w:p>
    <w:p>
      <w:r>
        <w:rPr>
          <w:sz w:val="22"/>
          <w:szCs w:val="22"/>
        </w:rPr>
        <w:t xml:space="preserve"/>
      </w:r>
    </w:p>
    <w:p>
      <w:pPr>
        <w:pStyle w:val="Heading1"/>
      </w:pPr>
      <w:r>
        <w:rPr>
          <w:rFonts w:ascii="Arial" w:cs="Arial" w:eastAsia="Arial" w:hAnsi="Arial"/>
          <w:b/>
          <w:bCs/>
          <w:color w:val="2E75B6"/>
          <w:sz w:val="28"/>
          <w:szCs w:val="28"/>
        </w:rPr>
        <w:t xml:space="preserve">Sesiones Sincrónicas</w:t>
      </w:r>
    </w:p>
    <w:p>
      <w:r>
        <w:rPr>
          <w:rFonts w:ascii="Arial" w:cs="Arial" w:eastAsia="Arial" w:hAnsi="Arial"/>
          <w:sz w:val="22"/>
          <w:szCs w:val="22"/>
        </w:rPr>
        <w:t xml:space="preserve">Las sesiones sincrónicas se realizan todos los martes, del 23 de marzo al 11 de mayo, de 5:30 pm a 7:00 pm. En estas sesiones se trabajan los temas de la semana, se resuelven dudas sobre el proyecto y se realizan ejercicios prácticos en plenaria o en grupos pequeños.</w:t>
      </w:r>
    </w:p>
    <w:p>
      <w:r>
        <w:rPr>
          <w:sz w:val="22"/>
          <w:szCs w:val="22"/>
        </w:rPr>
        <w:t xml:space="preserve"/>
      </w:r>
    </w:p>
    <w:p>
      <w:pPr>
        <w:pStyle w:val="ListParagraph"/>
        <w:numPr>
          <w:ilvl w:val="0"/>
          <w:numId w:val="2"/>
        </w:numPr>
      </w:pPr>
      <w:r>
        <w:rPr>
          <w:rFonts w:ascii="Arial" w:cs="Arial" w:eastAsia="Arial" w:hAnsi="Arial"/>
          <w:sz w:val="22"/>
          <w:szCs w:val="22"/>
        </w:rPr>
        <w:t xml:space="preserve">Martes 5:30 pm a 7:00 pm — del 23 de marzo al 11 de mayo de 2026</w:t>
      </w:r>
    </w:p>
    <w:p>
      <w:r>
        <w:rPr>
          <w:sz w:val="22"/>
          <w:szCs w:val="22"/>
        </w:rPr>
        <w:t xml:space="preserve"/>
      </w:r>
    </w:p>
    <w:p>
      <w:pPr>
        <w:pStyle w:val="Heading1"/>
      </w:pPr>
      <w:r>
        <w:rPr>
          <w:rFonts w:ascii="Arial" w:cs="Arial" w:eastAsia="Arial" w:hAnsi="Arial"/>
          <w:b/>
          <w:bCs/>
          <w:color w:val="2E75B6"/>
          <w:sz w:val="28"/>
          <w:szCs w:val="28"/>
        </w:rPr>
        <w:t xml:space="preserve">Equipo Docente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26"/>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Nombre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Correo electrónico</w:t>
            </w:r>
          </w:p>
        </w:tc>
        <w:tc>
          <w:tcPr>
            <w:tcW w:type="dxa" w:w="2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Daniel Fonseca Arciniegas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d.fonseca1@uniandes.edu.co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Profesor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Laura Ospina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ll.ospina@uniandes.edu.co</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Tutora</w:t>
            </w:r>
          </w:p>
        </w:tc>
      </w:tr>
    </w:tbl>
    <w:p>
      <w:r>
        <w:rPr>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Metodologías de Innovación: Design Thinking y Lean Startup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Programa del Curso · DTLS 2026  |  Universidad de los Andes — MISO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28"/>
      <w:szCs w:val="28"/>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2026-03-22T21:46:15.899Z</dcterms:created>
  <dcterms:modified xsi:type="dcterms:W3CDTF">2026-03-22T21:46:15.916Z</dcterms:modified>
</cp:coreProperties>
</file>

<file path=docProps/custom.xml><?xml version="1.0" encoding="utf-8"?>
<Properties xmlns="http://schemas.openxmlformats.org/officeDocument/2006/custom-properties" xmlns:vt="http://schemas.openxmlformats.org/officeDocument/2006/docPropsVTypes"/>
</file>