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El rol de la IA en la enseñanza de metodologías de producto: una propuesta pedagógica</w:t>
      </w:r>
    </w:p>
    <w:p>
      <w:pPr>
        <w:spacing w:after="0" w:before="60"/>
      </w:pPr>
      <w:r>
        <w:rPr>
          <w:rFonts w:ascii="Arial" w:cs="Arial" w:eastAsia="Arial" w:hAnsi="Arial"/>
          <w:sz w:val="22"/>
          <w:szCs w:val="22"/>
        </w:rPr>
        <w:t xml:space="preserve"/>
      </w:r>
    </w:p>
    <w:p>
      <w:pPr>
        <w:spacing w:after="80" w:before="80" w:line="280" w:lineRule="auto"/>
      </w:pPr>
      <w:r>
        <w:rPr>
          <w:rFonts w:ascii="Arial" w:cs="Arial" w:eastAsia="Arial" w:hAnsi="Arial"/>
          <w:b/>
          <w:bCs/>
          <w:sz w:val="22"/>
          <w:szCs w:val="22"/>
        </w:rPr>
        <w:t xml:space="preserve">Autor: </w:t>
      </w:r>
      <w:r>
        <w:rPr>
          <w:rFonts w:ascii="Arial" w:cs="Arial" w:eastAsia="Arial" w:hAnsi="Arial"/>
          <w:sz w:val="22"/>
          <w:szCs w:val="22"/>
        </w:rPr>
        <w:t xml:space="preserve">Daniel Fonseca</w:t>
      </w:r>
    </w:p>
    <w:p>
      <w:pPr>
        <w:spacing w:after="80" w:before="80" w:line="280" w:lineRule="auto"/>
      </w:pPr>
      <w:r>
        <w:rPr>
          <w:rFonts w:ascii="Arial" w:cs="Arial" w:eastAsia="Arial" w:hAnsi="Arial"/>
          <w:b/>
          <w:bCs/>
          <w:sz w:val="22"/>
          <w:szCs w:val="22"/>
        </w:rPr>
        <w:t xml:space="preserve">Contexto: </w:t>
      </w:r>
      <w:r>
        <w:rPr>
          <w:rFonts w:ascii="Arial" w:cs="Arial" w:eastAsia="Arial" w:hAnsi="Arial"/>
          <w:sz w:val="22"/>
          <w:szCs w:val="22"/>
        </w:rPr>
        <w:t xml:space="preserve">Clase DTLS, Maestría en Ingeniería de Software, Universidad de los Andes</w:t>
      </w:r>
    </w:p>
    <w:p>
      <w:pPr>
        <w:spacing w:after="80" w:before="80" w:line="280" w:lineRule="auto"/>
      </w:pPr>
      <w:r>
        <w:rPr>
          <w:rFonts w:ascii="Arial" w:cs="Arial" w:eastAsia="Arial" w:hAnsi="Arial"/>
          <w:b/>
          <w:bCs/>
          <w:sz w:val="22"/>
          <w:szCs w:val="22"/>
        </w:rPr>
        <w:t xml:space="preserve">Estado: </w:t>
      </w:r>
      <w:r>
        <w:rPr>
          <w:rFonts w:ascii="Arial" w:cs="Arial" w:eastAsia="Arial" w:hAnsi="Arial"/>
          <w:i/>
          <w:iCs/>
          <w:sz w:val="22"/>
          <w:szCs w:val="22"/>
        </w:rPr>
        <w:t xml:space="preserve">Borrador de trabajo — ideas en desarrollo</w:t>
      </w:r>
    </w:p>
    <w:p>
      <w:pPr>
        <w:pBdr>
          <w:bottom w:val="single" w:color="AAAAAA" w:sz="2" w:space="4"/>
        </w:pBdr>
        <w:spacing w:after="120" w:before="120"/>
      </w:pPr>
      <w:r>
        <w:rPr>
          <w:rFonts w:ascii="Arial" w:cs="Arial" w:eastAsia="Arial" w:hAnsi="Arial"/>
          <w:sz w:val="22"/>
          <w:szCs w:val="22"/>
        </w:rPr>
        <w:t xml:space="preserve"/>
      </w:r>
    </w:p>
    <w:p>
      <w:pPr>
        <w:pStyle w:val="Heading2"/>
      </w:pPr>
      <w:r>
        <w:t xml:space="preserve">1. El punto de partida: qué tipo de conocimiento produce la IA</w:t>
      </w:r>
    </w:p>
    <w:p>
      <w:pPr>
        <w:spacing w:after="80" w:before="80" w:line="280" w:lineRule="auto"/>
      </w:pPr>
      <w:r>
        <w:rPr>
          <w:rFonts w:ascii="Arial" w:cs="Arial" w:eastAsia="Arial" w:hAnsi="Arial"/>
          <w:sz w:val="22"/>
          <w:szCs w:val="22"/>
        </w:rPr>
        <w:t xml:space="preserve">Los modelos de lenguaje (LLMs) generan contenido a través de predicción estadística. Su mecanismo fundamental es calcular, dado un contexto, cuál es la siguiente palabra más probable. Esto tiene una consecuencia epistemológica profunda: </w:t>
      </w:r>
      <w:r>
        <w:rPr>
          <w:rFonts w:ascii="Arial" w:cs="Arial" w:eastAsia="Arial" w:hAnsi="Arial"/>
          <w:b/>
          <w:bCs/>
          <w:sz w:val="22"/>
          <w:szCs w:val="22"/>
        </w:rPr>
        <w:t xml:space="preserve">para una IA, la "verdad" es un asunto probabilístico</w:t>
      </w:r>
      <w:r>
        <w:rPr>
          <w:rFonts w:ascii="Arial" w:cs="Arial" w:eastAsia="Arial" w:hAnsi="Arial"/>
          <w:sz w:val="22"/>
          <w:szCs w:val="22"/>
        </w:rPr>
        <w:t xml:space="preserve">. Lo que produce no es "correcto" en el sentido de correspondencia con la realidad, sino en el sentido de consistencia con los patrones del conocimiento humano documentado en sus datos de entrenamiento.</w:t>
      </w:r>
    </w:p>
    <w:p>
      <w:pPr>
        <w:spacing w:after="80" w:before="80" w:line="280" w:lineRule="auto"/>
      </w:pPr>
      <w:r>
        <w:rPr>
          <w:rFonts w:ascii="Arial" w:cs="Arial" w:eastAsia="Arial" w:hAnsi="Arial"/>
          <w:sz w:val="22"/>
          <w:szCs w:val="22"/>
        </w:rPr>
        <w:t xml:space="preserve">Esta naturaleza probabilística no es una debilidad en sí misma. Es una característica que define dónde la IA es confiable y dónde no lo es.</w:t>
      </w:r>
    </w:p>
    <w:p>
      <w:pPr>
        <w:pStyle w:val="Heading3"/>
      </w:pPr>
      <w:r>
        <w:t xml:space="preserve">1.1 Dónde la verdad estadística funciona: el conocimiento metodológico</w:t>
      </w:r>
    </w:p>
    <w:p>
      <w:pPr>
        <w:spacing w:after="80" w:before="80" w:line="280" w:lineRule="auto"/>
      </w:pPr>
      <w:r>
        <w:rPr>
          <w:rFonts w:ascii="Arial" w:cs="Arial" w:eastAsia="Arial" w:hAnsi="Arial"/>
          <w:sz w:val="22"/>
          <w:szCs w:val="22"/>
        </w:rPr>
        <w:t xml:space="preserve">Hay dominios donde la respuesta más frecuente en la literatura </w:t>
      </w:r>
      <w:r>
        <w:rPr>
          <w:rFonts w:ascii="Arial" w:cs="Arial" w:eastAsia="Arial" w:hAnsi="Arial"/>
          <w:b/>
          <w:bCs/>
          <w:sz w:val="22"/>
          <w:szCs w:val="22"/>
        </w:rPr>
        <w:t xml:space="preserve">coincide con la respuesta correcta</w:t>
      </w:r>
      <w:r>
        <w:rPr>
          <w:rFonts w:ascii="Arial" w:cs="Arial" w:eastAsia="Arial" w:hAnsi="Arial"/>
          <w:sz w:val="22"/>
          <w:szCs w:val="22"/>
        </w:rPr>
        <w:t xml:space="preserve">. Esto ocurre en las ciencias puras, las ingenierías, y — de manera particularmente relevante para DTLS — en las </w:t>
      </w:r>
      <w:r>
        <w:rPr>
          <w:rFonts w:ascii="Arial" w:cs="Arial" w:eastAsia="Arial" w:hAnsi="Arial"/>
          <w:b/>
          <w:bCs/>
          <w:sz w:val="22"/>
          <w:szCs w:val="22"/>
        </w:rPr>
        <w:t xml:space="preserve">metodologías</w:t>
      </w:r>
      <w:r>
        <w:rPr>
          <w:rFonts w:ascii="Arial" w:cs="Arial" w:eastAsia="Arial" w:hAnsi="Arial"/>
          <w:sz w:val="22"/>
          <w:szCs w:val="22"/>
        </w:rPr>
        <w:t xml:space="preserve">.</w:t>
      </w:r>
    </w:p>
    <w:p>
      <w:pPr>
        <w:spacing w:after="80" w:before="80" w:line="280" w:lineRule="auto"/>
      </w:pPr>
      <w:r>
        <w:rPr>
          <w:rFonts w:ascii="Arial" w:cs="Arial" w:eastAsia="Arial" w:hAnsi="Arial"/>
          <w:sz w:val="22"/>
          <w:szCs w:val="22"/>
        </w:rPr>
        <w:t xml:space="preserve">Design thinking, lean startup, product management: estos campos tienen marcos bien documentados, con pasos definidos, herramientas consensuadas y criterios establecidos. Cuando le pedimos a una IA que explique cómo hacer un mapa de empatía, cómo diseñar un experimento de validación, o cómo priorizar un backlog, la respuesta que produce es confiable precisamente porque el consenso en la literatura es fuerte. La media estadística del conocimiento sobre estos temas está bien calibrada.</w:t>
      </w:r>
    </w:p>
    <w:p>
      <w:pPr>
        <w:spacing w:after="80" w:before="80" w:line="280" w:lineRule="auto"/>
      </w:pPr>
      <w:r>
        <w:rPr>
          <w:rFonts w:ascii="Arial" w:cs="Arial" w:eastAsia="Arial" w:hAnsi="Arial"/>
          <w:sz w:val="22"/>
          <w:szCs w:val="22"/>
        </w:rPr>
        <w:t xml:space="preserve">Esto hace de la IA una </w:t>
      </w:r>
      <w:r>
        <w:rPr>
          <w:rFonts w:ascii="Arial" w:cs="Arial" w:eastAsia="Arial" w:hAnsi="Arial"/>
          <w:b/>
          <w:bCs/>
          <w:sz w:val="22"/>
          <w:szCs w:val="22"/>
        </w:rPr>
        <w:t xml:space="preserve">herramienta natural para la enseñanza de método</w:t>
      </w:r>
      <w:r>
        <w:rPr>
          <w:rFonts w:ascii="Arial" w:cs="Arial" w:eastAsia="Arial" w:hAnsi="Arial"/>
          <w:sz w:val="22"/>
          <w:szCs w:val="22"/>
        </w:rPr>
        <w:t xml:space="preserve">. Si la clase trata sobre cómo ejecutar un proceso — y gran parte de DTLS trata exactamente sobre eso — la IA puede guiar, explicar, ejemplificar y acompañar con alta precisión.</w:t>
      </w:r>
    </w:p>
    <w:p>
      <w:pPr>
        <w:pStyle w:val="Heading3"/>
      </w:pPr>
      <w:r>
        <w:t xml:space="preserve">1.2 Dónde la verdad estadística no alcanza: el conocimiento interpretativo</w:t>
      </w:r>
    </w:p>
    <w:p>
      <w:pPr>
        <w:spacing w:after="80" w:before="80" w:line="280" w:lineRule="auto"/>
      </w:pPr>
      <w:r>
        <w:rPr>
          <w:rFonts w:ascii="Arial" w:cs="Arial" w:eastAsia="Arial" w:hAnsi="Arial"/>
          <w:sz w:val="22"/>
          <w:szCs w:val="22"/>
        </w:rPr>
        <w:t xml:space="preserve">Sin embargo, no todo el conocimiento humano opera por consenso. Hay dimensiones donde lo valioso no es la respuesta más frecuente sino la </w:t>
      </w:r>
      <w:r>
        <w:rPr>
          <w:rFonts w:ascii="Arial" w:cs="Arial" w:eastAsia="Arial" w:hAnsi="Arial"/>
          <w:b/>
          <w:bCs/>
          <w:sz w:val="22"/>
          <w:szCs w:val="22"/>
        </w:rPr>
        <w:t xml:space="preserve">diversidad de posturas</w:t>
      </w:r>
      <w:r>
        <w:rPr>
          <w:rFonts w:ascii="Arial" w:cs="Arial" w:eastAsia="Arial" w:hAnsi="Arial"/>
          <w:sz w:val="22"/>
          <w:szCs w:val="22"/>
        </w:rPr>
        <w:t xml:space="preserve">. La filosofía, la historia, la antropología, la sociología, e incluso la psicología — que aún debate si es ciencia natural o ciencia social — producen conocimiento que es fundamentalmente </w:t>
      </w:r>
      <w:r>
        <w:rPr>
          <w:rFonts w:ascii="Arial" w:cs="Arial" w:eastAsia="Arial" w:hAnsi="Arial"/>
          <w:b/>
          <w:bCs/>
          <w:sz w:val="22"/>
          <w:szCs w:val="22"/>
        </w:rPr>
        <w:t xml:space="preserve">interpretativo</w:t>
      </w:r>
      <w:r>
        <w:rPr>
          <w:rFonts w:ascii="Arial" w:cs="Arial" w:eastAsia="Arial" w:hAnsi="Arial"/>
          <w:sz w:val="22"/>
          <w:szCs w:val="22"/>
        </w:rPr>
        <w:t xml:space="preserve">. No buscan la respuesta correcta; buscan iluminar un fenómeno desde diferentes ángulos.</w:t>
      </w:r>
    </w:p>
    <w:p>
      <w:pPr>
        <w:spacing w:after="80" w:before="80" w:line="280" w:lineRule="auto"/>
      </w:pPr>
      <w:r>
        <w:rPr>
          <w:rFonts w:ascii="Arial" w:cs="Arial" w:eastAsia="Arial" w:hAnsi="Arial"/>
          <w:sz w:val="22"/>
          <w:szCs w:val="22"/>
        </w:rPr>
        <w:t xml:space="preserve">Cuando la IA opera en estos dominios, tiende a producir lo que Luciano Floridi (2023) describe como un "promedio semántico": una síntesis que aplana la diversidad de perspectivas en favor de una respuesta aparentemente neutral. Es coherente, está bien escrita, pero le falta postura. Le falta lo que un filósofo llamaría </w:t>
      </w:r>
      <w:r>
        <w:rPr>
          <w:rFonts w:ascii="Arial" w:cs="Arial" w:eastAsia="Arial" w:hAnsi="Arial"/>
          <w:i/>
          <w:iCs/>
          <w:sz w:val="22"/>
          <w:szCs w:val="22"/>
        </w:rPr>
        <w:t xml:space="preserve">perspectiva situacional</w:t>
      </w:r>
      <w:r>
        <w:rPr>
          <w:rFonts w:ascii="Arial" w:cs="Arial" w:eastAsia="Arial" w:hAnsi="Arial"/>
          <w:sz w:val="22"/>
          <w:szCs w:val="22"/>
        </w:rPr>
        <w:t xml:space="preserve">.</w:t>
      </w:r>
    </w:p>
    <w:p>
      <w:pPr>
        <w:spacing w:after="80" w:before="80" w:line="280" w:lineRule="auto"/>
      </w:pPr>
      <w:r>
        <w:rPr>
          <w:rFonts w:ascii="Arial" w:cs="Arial" w:eastAsia="Arial" w:hAnsi="Arial"/>
          <w:sz w:val="22"/>
          <w:szCs w:val="22"/>
        </w:rPr>
        <w:t xml:space="preserve">Floridi propone que los outputs de la IA no son propiamente "conocimiento" sino </w:t>
      </w:r>
      <w:r>
        <w:rPr>
          <w:rFonts w:ascii="Arial" w:cs="Arial" w:eastAsia="Arial" w:hAnsi="Arial"/>
          <w:b/>
          <w:bCs/>
          <w:sz w:val="22"/>
          <w:szCs w:val="22"/>
        </w:rPr>
        <w:t xml:space="preserve">artefactos semánticos</w:t>
      </w:r>
      <w:r>
        <w:rPr>
          <w:rFonts w:ascii="Arial" w:cs="Arial" w:eastAsia="Arial" w:hAnsi="Arial"/>
          <w:sz w:val="22"/>
          <w:szCs w:val="22"/>
        </w:rPr>
        <w:t xml:space="preserve">: significativos para quien los lee, pero producidos sin comprensión. Murray Shanahan (2024) lo complementa: los LLMs no poseen un modelo del mundo; reconstruyen patrones lingüísticos sin referencia directa a la realidad que describen.</w:t>
      </w:r>
    </w:p>
    <w:p>
      <w:pPr>
        <w:pStyle w:val="Heading3"/>
      </w:pPr>
      <w:r>
        <w:t xml:space="preserve">1.3 La implicación para DTLS</w:t>
      </w:r>
    </w:p>
    <w:p>
      <w:pPr>
        <w:spacing w:after="80" w:before="80" w:line="280" w:lineRule="auto"/>
      </w:pPr>
      <w:r>
        <w:rPr>
          <w:rFonts w:ascii="Arial" w:cs="Arial" w:eastAsia="Arial" w:hAnsi="Arial"/>
          <w:sz w:val="22"/>
          <w:szCs w:val="22"/>
        </w:rPr>
        <w:t xml:space="preserve">DTLS opera mayormente en territorio metodológico, donde la IA es confiable. Pero las decisiones de producto — a quién investigar, qué problema priorizar, cómo interpretar lo que dice un usuario, qué solución proponer — no son pura metodología. Son actos de </w:t>
      </w:r>
      <w:r>
        <w:rPr>
          <w:rFonts w:ascii="Arial" w:cs="Arial" w:eastAsia="Arial" w:hAnsi="Arial"/>
          <w:b/>
          <w:bCs/>
          <w:sz w:val="22"/>
          <w:szCs w:val="22"/>
        </w:rPr>
        <w:t xml:space="preserve">juicio</w:t>
      </w:r>
      <w:r>
        <w:rPr>
          <w:rFonts w:ascii="Arial" w:cs="Arial" w:eastAsia="Arial" w:hAnsi="Arial"/>
          <w:sz w:val="22"/>
          <w:szCs w:val="22"/>
        </w:rPr>
        <w:t xml:space="preserve"> que requieren contexto, empatía e interpretación. Ahí, la IA puede informar pero no decidir.</w:t>
      </w:r>
    </w:p>
    <w:p>
      <w:pPr>
        <w:pBdr>
          <w:bottom w:val="single" w:color="AAAAAA" w:sz="2" w:space="4"/>
        </w:pBdr>
        <w:spacing w:after="120" w:before="120"/>
      </w:pPr>
      <w:r>
        <w:rPr>
          <w:rFonts w:ascii="Arial" w:cs="Arial" w:eastAsia="Arial" w:hAnsi="Arial"/>
          <w:sz w:val="22"/>
          <w:szCs w:val="22"/>
        </w:rPr>
        <w:t xml:space="preserve"/>
      </w:r>
    </w:p>
    <w:p>
      <w:pPr>
        <w:pStyle w:val="Heading2"/>
      </w:pPr>
      <w:r>
        <w:t xml:space="preserve">2. Lo que Harari nos enseña: inteligencia no es conciencia</w:t>
      </w:r>
    </w:p>
    <w:p>
      <w:pPr>
        <w:spacing w:after="80" w:before="80" w:line="280" w:lineRule="auto"/>
      </w:pPr>
      <w:r>
        <w:rPr>
          <w:rFonts w:ascii="Arial" w:cs="Arial" w:eastAsia="Arial" w:hAnsi="Arial"/>
          <w:sz w:val="22"/>
          <w:szCs w:val="22"/>
        </w:rPr>
        <w:t xml:space="preserve">Yuval Noah Harari ha desarrollado a lo largo de tres libros (</w:t>
      </w:r>
      <w:r>
        <w:rPr>
          <w:rFonts w:ascii="Arial" w:cs="Arial" w:eastAsia="Arial" w:hAnsi="Arial"/>
          <w:i/>
          <w:iCs/>
          <w:sz w:val="22"/>
          <w:szCs w:val="22"/>
        </w:rPr>
        <w:t xml:space="preserve">Homo Deus</w:t>
      </w:r>
      <w:r>
        <w:rPr>
          <w:rFonts w:ascii="Arial" w:cs="Arial" w:eastAsia="Arial" w:hAnsi="Arial"/>
          <w:sz w:val="22"/>
          <w:szCs w:val="22"/>
        </w:rPr>
        <w:t xml:space="preserve">, </w:t>
      </w:r>
      <w:r>
        <w:rPr>
          <w:rFonts w:ascii="Arial" w:cs="Arial" w:eastAsia="Arial" w:hAnsi="Arial"/>
          <w:i/>
          <w:iCs/>
          <w:sz w:val="22"/>
          <w:szCs w:val="22"/>
        </w:rPr>
        <w:t xml:space="preserve">21 Lessons for the 21st Century</w:t>
      </w:r>
      <w:r>
        <w:rPr>
          <w:rFonts w:ascii="Arial" w:cs="Arial" w:eastAsia="Arial" w:hAnsi="Arial"/>
          <w:sz w:val="22"/>
          <w:szCs w:val="22"/>
        </w:rPr>
        <w:t xml:space="preserve">, </w:t>
      </w:r>
      <w:r>
        <w:rPr>
          <w:rFonts w:ascii="Arial" w:cs="Arial" w:eastAsia="Arial" w:hAnsi="Arial"/>
          <w:i/>
          <w:iCs/>
          <w:sz w:val="22"/>
          <w:szCs w:val="22"/>
        </w:rPr>
        <w:t xml:space="preserve">Nexus</w:t>
      </w:r>
      <w:r>
        <w:rPr>
          <w:rFonts w:ascii="Arial" w:cs="Arial" w:eastAsia="Arial" w:hAnsi="Arial"/>
          <w:sz w:val="22"/>
          <w:szCs w:val="22"/>
        </w:rPr>
        <w:t xml:space="preserve">) un argumento central para esta propuesta: </w:t>
      </w:r>
      <w:r>
        <w:rPr>
          <w:rFonts w:ascii="Arial" w:cs="Arial" w:eastAsia="Arial" w:hAnsi="Arial"/>
          <w:b/>
          <w:bCs/>
          <w:sz w:val="22"/>
          <w:szCs w:val="22"/>
        </w:rPr>
        <w:t xml:space="preserve">inteligencia y conciencia son fenómenos separados</w:t>
      </w:r>
      <w:r>
        <w:rPr>
          <w:rFonts w:ascii="Arial" w:cs="Arial" w:eastAsia="Arial" w:hAnsi="Arial"/>
          <w:sz w:val="22"/>
          <w:szCs w:val="22"/>
        </w:rPr>
        <w:t xml:space="preserve">.</w:t>
      </w:r>
    </w:p>
    <w:p>
      <w:pPr>
        <w:spacing w:after="80" w:before="80" w:line="280" w:lineRule="auto"/>
      </w:pPr>
      <w:r>
        <w:rPr>
          <w:rFonts w:ascii="Arial" w:cs="Arial" w:eastAsia="Arial" w:hAnsi="Arial"/>
          <w:sz w:val="22"/>
          <w:szCs w:val="22"/>
        </w:rPr>
        <w:t xml:space="preserve">La inteligencia es la capacidad de resolver problemas, procesar información, reconocer patrones y alcanzar objetivos. La conciencia es la capacidad de sentir — dolor, alegría, duda, responsabilidad. Durante toda la historia biológica, ambas viajaron juntas: todo ser inteligente era también consciente. La IA rompe ese patrón por primera vez. Es inteligente sin ser consciente.</w:t>
      </w:r>
    </w:p>
    <w:p>
      <w:pPr>
        <w:spacing w:after="0" w:before="80"/>
      </w:pPr>
      <w:r>
        <w:rPr>
          <w:rFonts w:ascii="Arial" w:cs="Arial" w:eastAsia="Arial" w:hAnsi="Arial"/>
          <w:sz w:val="22"/>
          <w:szCs w:val="22"/>
        </w:rPr>
        <w:t xml:space="preserve"/>
      </w:r>
    </w:p>
    <w:p>
      <w:pPr>
        <w:pStyle w:val="Quote"/>
      </w:pPr>
      <w:r>
        <w:rPr>
          <w:rFonts w:ascii="Arial" w:cs="Arial" w:eastAsia="Arial" w:hAnsi="Arial"/>
          <w:i/>
          <w:iCs/>
          <w:color w:val="555555"/>
          <w:sz w:val="21"/>
          <w:szCs w:val="21"/>
        </w:rPr>
        <w:t xml:space="preserve">"Tendemos a confundir inteligencia con conciencia porque en los humanos van de la mano. Pero son cosas muy diferentes."</w:t>
      </w:r>
    </w:p>
    <w:p>
      <w:pPr>
        <w:spacing w:after="0" w:before="80"/>
      </w:pP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La consecuencia educativa es directa: si la IA ya posee inteligencia (en el sentido funcional de resolver problemas), lo que debemos desarrollar en el estudiante no es más inteligencia del mismo tipo, sino </w:t>
      </w:r>
      <w:r>
        <w:rPr>
          <w:rFonts w:ascii="Arial" w:cs="Arial" w:eastAsia="Arial" w:hAnsi="Arial"/>
          <w:b/>
          <w:bCs/>
          <w:sz w:val="22"/>
          <w:szCs w:val="22"/>
        </w:rPr>
        <w:t xml:space="preserve">conciencia</w:t>
      </w:r>
      <w:r>
        <w:rPr>
          <w:rFonts w:ascii="Arial" w:cs="Arial" w:eastAsia="Arial" w:hAnsi="Arial"/>
          <w:sz w:val="22"/>
          <w:szCs w:val="22"/>
        </w:rPr>
        <w:t xml:space="preserve"> — la capacidad de:</w:t>
      </w:r>
    </w:p>
    <w:p>
      <w:pPr>
        <w:pStyle w:val="ListParagraph"/>
        <w:numPr>
          <w:ilvl w:val="0"/>
          <w:numId w:val="2"/>
        </w:numPr>
        <w:spacing w:after="60" w:before="60" w:line="280" w:lineRule="auto"/>
      </w:pPr>
      <w:r>
        <w:rPr>
          <w:rFonts w:ascii="Arial" w:cs="Arial" w:eastAsia="Arial" w:hAnsi="Arial"/>
          <w:b/>
          <w:bCs/>
          <w:sz w:val="22"/>
          <w:szCs w:val="22"/>
        </w:rPr>
        <w:t xml:space="preserve">Visualizar matices </w:t>
      </w:r>
      <w:r>
        <w:rPr>
          <w:rFonts w:ascii="Arial" w:cs="Arial" w:eastAsia="Arial" w:hAnsi="Arial"/>
          <w:sz w:val="22"/>
          <w:szCs w:val="22"/>
        </w:rPr>
        <w:t xml:space="preserve">detrás de una respuesta estadísticamente correcta.</w:t>
      </w:r>
    </w:p>
    <w:p>
      <w:pPr>
        <w:pStyle w:val="ListParagraph"/>
        <w:numPr>
          <w:ilvl w:val="0"/>
          <w:numId w:val="2"/>
        </w:numPr>
        <w:spacing w:after="60" w:before="60" w:line="280" w:lineRule="auto"/>
      </w:pPr>
      <w:r>
        <w:rPr>
          <w:rFonts w:ascii="Arial" w:cs="Arial" w:eastAsia="Arial" w:hAnsi="Arial"/>
          <w:b/>
          <w:bCs/>
          <w:sz w:val="22"/>
          <w:szCs w:val="22"/>
        </w:rPr>
        <w:t xml:space="preserve">Evaluar </w:t>
      </w:r>
      <w:r>
        <w:rPr>
          <w:rFonts w:ascii="Arial" w:cs="Arial" w:eastAsia="Arial" w:hAnsi="Arial"/>
          <w:sz w:val="22"/>
          <w:szCs w:val="22"/>
        </w:rPr>
        <w:t xml:space="preserve">si esa respuesta es apropiada para el contexto específico.</w:t>
      </w:r>
    </w:p>
    <w:p>
      <w:pPr>
        <w:pStyle w:val="ListParagraph"/>
        <w:numPr>
          <w:ilvl w:val="0"/>
          <w:numId w:val="2"/>
        </w:numPr>
        <w:spacing w:after="60" w:before="60" w:line="280" w:lineRule="auto"/>
      </w:pPr>
      <w:r>
        <w:rPr>
          <w:rFonts w:ascii="Arial" w:cs="Arial" w:eastAsia="Arial" w:hAnsi="Arial"/>
          <w:b/>
          <w:bCs/>
          <w:sz w:val="22"/>
          <w:szCs w:val="22"/>
        </w:rPr>
        <w:t xml:space="preserve">Decidir </w:t>
      </w:r>
      <w:r>
        <w:rPr>
          <w:rFonts w:ascii="Arial" w:cs="Arial" w:eastAsia="Arial" w:hAnsi="Arial"/>
          <w:sz w:val="22"/>
          <w:szCs w:val="22"/>
        </w:rPr>
        <w:t xml:space="preserve">qué hacer con ella.</w:t>
      </w:r>
    </w:p>
    <w:p>
      <w:pPr>
        <w:pStyle w:val="ListParagraph"/>
        <w:numPr>
          <w:ilvl w:val="0"/>
          <w:numId w:val="2"/>
        </w:numPr>
        <w:spacing w:after="60" w:before="60" w:line="280" w:lineRule="auto"/>
      </w:pPr>
      <w:r>
        <w:rPr>
          <w:rFonts w:ascii="Arial" w:cs="Arial" w:eastAsia="Arial" w:hAnsi="Arial"/>
          <w:b/>
          <w:bCs/>
          <w:sz w:val="22"/>
          <w:szCs w:val="22"/>
        </w:rPr>
        <w:t xml:space="preserve">Asumir responsabilidad </w:t>
      </w:r>
      <w:r>
        <w:rPr>
          <w:rFonts w:ascii="Arial" w:cs="Arial" w:eastAsia="Arial" w:hAnsi="Arial"/>
          <w:sz w:val="22"/>
          <w:szCs w:val="22"/>
        </w:rPr>
        <w:t xml:space="preserve">por la decisión.</w:t>
      </w:r>
    </w:p>
    <w:p>
      <w:pPr>
        <w:spacing w:after="0" w:before="80"/>
      </w:pP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Harari advierte que el riesgo no es que la IA se vuelva consciente y se rebele (el escenario de ciencia ficción). El riesgo real es que </w:t>
      </w:r>
      <w:r>
        <w:rPr>
          <w:rFonts w:ascii="Arial" w:cs="Arial" w:eastAsia="Arial" w:hAnsi="Arial"/>
          <w:b/>
          <w:bCs/>
          <w:sz w:val="22"/>
          <w:szCs w:val="22"/>
        </w:rPr>
        <w:t xml:space="preserve">los humanos dejen de ejercer su conciencia</w:t>
      </w:r>
      <w:r>
        <w:rPr>
          <w:rFonts w:ascii="Arial" w:cs="Arial" w:eastAsia="Arial" w:hAnsi="Arial"/>
          <w:sz w:val="22"/>
          <w:szCs w:val="22"/>
        </w:rPr>
        <w:t xml:space="preserve"> — que acepten los outputs de la IA sin cuestionarlos, delegando su juicio a un sistema que no entiende las consecuencias de lo que propone.</w:t>
      </w:r>
    </w:p>
    <w:p>
      <w:pPr>
        <w:spacing w:after="80" w:before="80" w:line="280" w:lineRule="auto"/>
      </w:pPr>
      <w:r>
        <w:rPr>
          <w:rFonts w:ascii="Arial" w:cs="Arial" w:eastAsia="Arial" w:hAnsi="Arial"/>
          <w:sz w:val="22"/>
          <w:szCs w:val="22"/>
        </w:rPr>
        <w:t xml:space="preserve">En un contexto educativo, esto se traduce en estudiantes que entregan trabajos sofisticados que no comprenden. Hicks, Humphries y Slater (2024) aplican el concepto de </w:t>
      </w:r>
      <w:r>
        <w:rPr>
          <w:rFonts w:ascii="Arial" w:cs="Arial" w:eastAsia="Arial" w:hAnsi="Arial"/>
          <w:i/>
          <w:iCs/>
          <w:sz w:val="22"/>
          <w:szCs w:val="22"/>
        </w:rPr>
        <w:t xml:space="preserve">bullshit</w:t>
      </w:r>
      <w:r>
        <w:rPr>
          <w:rFonts w:ascii="Arial" w:cs="Arial" w:eastAsia="Arial" w:hAnsi="Arial"/>
          <w:sz w:val="22"/>
          <w:szCs w:val="22"/>
        </w:rPr>
        <w:t xml:space="preserve"> de Frankfurt (2005) a los LLMs: producen contenido sin relación con la verdad, no porque mientan, sino porque no tienen capacidad de preocuparse por la verdad. Si el estudiante adopta esa misma relación con su propio trabajo — producir sin preocuparse por comprender — el resultado es idéntico.</w:t>
      </w:r>
    </w:p>
    <w:p>
      <w:pPr>
        <w:pBdr>
          <w:bottom w:val="single" w:color="AAAAAA" w:sz="2" w:space="4"/>
        </w:pBdr>
        <w:spacing w:after="120" w:before="120"/>
      </w:pPr>
      <w:r>
        <w:rPr>
          <w:rFonts w:ascii="Arial" w:cs="Arial" w:eastAsia="Arial" w:hAnsi="Arial"/>
          <w:sz w:val="22"/>
          <w:szCs w:val="22"/>
        </w:rPr>
        <w:t xml:space="preserve"/>
      </w:r>
    </w:p>
    <w:p>
      <w:pPr>
        <w:pStyle w:val="Heading2"/>
      </w:pPr>
      <w:r>
        <w:t xml:space="preserve">3. La respuesta pedagógica: Enseñanza para la Comprensión</w:t>
      </w:r>
    </w:p>
    <w:p>
      <w:pPr>
        <w:spacing w:after="80" w:before="80" w:line="280" w:lineRule="auto"/>
      </w:pPr>
      <w:r>
        <w:rPr>
          <w:rFonts w:ascii="Arial" w:cs="Arial" w:eastAsia="Arial" w:hAnsi="Arial"/>
          <w:sz w:val="22"/>
          <w:szCs w:val="22"/>
        </w:rPr>
        <w:t xml:space="preserve">Si el problema es que la IA permite producir sin comprender, necesitamos un marco pedagógico que ponga la </w:t>
      </w:r>
      <w:r>
        <w:rPr>
          <w:rFonts w:ascii="Arial" w:cs="Arial" w:eastAsia="Arial" w:hAnsi="Arial"/>
          <w:b/>
          <w:bCs/>
          <w:sz w:val="22"/>
          <w:szCs w:val="22"/>
        </w:rPr>
        <w:t xml:space="preserve">comprensión</w:t>
      </w:r>
      <w:r>
        <w:rPr>
          <w:rFonts w:ascii="Arial" w:cs="Arial" w:eastAsia="Arial" w:hAnsi="Arial"/>
          <w:sz w:val="22"/>
          <w:szCs w:val="22"/>
        </w:rPr>
        <w:t xml:space="preserve"> en el centro. Ese marco existe y se llama </w:t>
      </w:r>
      <w:r>
        <w:rPr>
          <w:rFonts w:ascii="Arial" w:cs="Arial" w:eastAsia="Arial" w:hAnsi="Arial"/>
          <w:b/>
          <w:bCs/>
          <w:sz w:val="22"/>
          <w:szCs w:val="22"/>
        </w:rPr>
        <w:t xml:space="preserve">Enseñanza para la Comprensión (EpC)</w:t>
      </w:r>
      <w:r>
        <w:rPr>
          <w:rFonts w:ascii="Arial" w:cs="Arial" w:eastAsia="Arial" w:hAnsi="Arial"/>
          <w:sz w:val="22"/>
          <w:szCs w:val="22"/>
        </w:rPr>
        <w:t xml:space="preserve">, desarrollado en Harvard Project Zero por David Perkins, Howard Gardner, Martha Stone Wiske y otros entre 1988 y 1998.</w:t>
      </w:r>
    </w:p>
    <w:p>
      <w:pPr>
        <w:pStyle w:val="Heading3"/>
      </w:pPr>
      <w:r>
        <w:t xml:space="preserve">3.1 La definición de comprensión en EpC</w:t>
      </w:r>
    </w:p>
    <w:p>
      <w:pPr>
        <w:spacing w:after="80" w:before="80" w:line="280" w:lineRule="auto"/>
      </w:pPr>
      <w:r>
        <w:rPr>
          <w:rFonts w:ascii="Arial" w:cs="Arial" w:eastAsia="Arial" w:hAnsi="Arial"/>
          <w:sz w:val="22"/>
          <w:szCs w:val="22"/>
        </w:rPr>
        <w:t xml:space="preserve">EpC define comprensión como:</w:t>
      </w:r>
    </w:p>
    <w:p>
      <w:pPr>
        <w:spacing w:after="0" w:before="60"/>
      </w:pPr>
      <w:r>
        <w:rPr>
          <w:rFonts w:ascii="Arial" w:cs="Arial" w:eastAsia="Arial" w:hAnsi="Arial"/>
          <w:sz w:val="22"/>
          <w:szCs w:val="22"/>
        </w:rPr>
        <w:t xml:space="preserve"/>
      </w:r>
    </w:p>
    <w:p>
      <w:pPr>
        <w:pStyle w:val="Quote"/>
      </w:pPr>
      <w:r>
        <w:rPr>
          <w:rFonts w:ascii="Arial" w:cs="Arial" w:eastAsia="Arial" w:hAnsi="Arial"/>
          <w:i/>
          <w:iCs/>
          <w:color w:val="555555"/>
          <w:sz w:val="21"/>
          <w:szCs w:val="21"/>
        </w:rPr>
        <w:t xml:space="preserve">"La capacidad de pensar y actuar flexiblemente con lo que uno sabe." — David Perkins</w:t>
      </w:r>
    </w:p>
    <w:p>
      <w:pPr>
        <w:spacing w:after="0" w:before="60"/>
      </w:pP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Esta definición es deliberadamente opuesta a dos concepciones comunes:</w:t>
      </w:r>
    </w:p>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AAAAAA" w:sz="1"/>
              <w:left w:val="single" w:color="AAAAAA" w:sz="1"/>
              <w:bottom w:val="single" w:color="AAAAAA" w:sz="1"/>
              <w:right w:val="single" w:color="AAAAAA" w:sz="1"/>
            </w:tcBorders>
            <w:shd w:fill="1F3864" w:val="clear"/>
            <w:tcMar>
              <w:top w:type="dxa" w:w="90"/>
              <w:left w:type="dxa" w:w="140"/>
              <w:bottom w:type="dxa" w:w="90"/>
              <w:right w:type="dxa" w:w="140"/>
            </w:tcMar>
          </w:tcPr>
          <w:p>
            <w:r>
              <w:rPr>
                <w:rFonts w:ascii="Arial" w:cs="Arial" w:eastAsia="Arial" w:hAnsi="Arial"/>
                <w:b/>
                <w:bCs/>
                <w:color w:val="FFFFFF"/>
                <w:sz w:val="21"/>
                <w:szCs w:val="21"/>
              </w:rPr>
              <w:t xml:space="preserve">Concepción</w:t>
            </w:r>
          </w:p>
        </w:tc>
        <w:tc>
          <w:tcPr>
            <w:tcW w:type="dxa" w:w="3080"/>
            <w:tcBorders>
              <w:top w:val="single" w:color="AAAAAA" w:sz="1"/>
              <w:left w:val="single" w:color="AAAAAA" w:sz="1"/>
              <w:bottom w:val="single" w:color="AAAAAA" w:sz="1"/>
              <w:right w:val="single" w:color="AAAAAA" w:sz="1"/>
            </w:tcBorders>
            <w:shd w:fill="1F3864" w:val="clear"/>
            <w:tcMar>
              <w:top w:type="dxa" w:w="90"/>
              <w:left w:type="dxa" w:w="140"/>
              <w:bottom w:type="dxa" w:w="90"/>
              <w:right w:type="dxa" w:w="140"/>
            </w:tcMar>
          </w:tcPr>
          <w:p>
            <w:r>
              <w:rPr>
                <w:rFonts w:ascii="Arial" w:cs="Arial" w:eastAsia="Arial" w:hAnsi="Arial"/>
                <w:b/>
                <w:bCs/>
                <w:color w:val="FFFFFF"/>
                <w:sz w:val="21"/>
                <w:szCs w:val="21"/>
              </w:rPr>
              <w:t xml:space="preserve">Ejemplo</w:t>
            </w:r>
          </w:p>
        </w:tc>
        <w:tc>
          <w:tcPr>
            <w:tcW w:type="dxa" w:w="3480"/>
            <w:tcBorders>
              <w:top w:val="single" w:color="AAAAAA" w:sz="1"/>
              <w:left w:val="single" w:color="AAAAAA" w:sz="1"/>
              <w:bottom w:val="single" w:color="AAAAAA" w:sz="1"/>
              <w:right w:val="single" w:color="AAAAAA" w:sz="1"/>
            </w:tcBorders>
            <w:shd w:fill="1F3864" w:val="clear"/>
            <w:tcMar>
              <w:top w:type="dxa" w:w="90"/>
              <w:left w:type="dxa" w:w="140"/>
              <w:bottom w:type="dxa" w:w="90"/>
              <w:right w:type="dxa" w:w="140"/>
            </w:tcMar>
          </w:tcPr>
          <w:p>
            <w:r>
              <w:rPr>
                <w:rFonts w:ascii="Arial" w:cs="Arial" w:eastAsia="Arial" w:hAnsi="Arial"/>
                <w:b/>
                <w:bCs/>
                <w:color w:val="FFFFFF"/>
                <w:sz w:val="21"/>
                <w:szCs w:val="21"/>
              </w:rPr>
              <w:t xml:space="preserve">Por qué es insuficiente</w:t>
            </w:r>
          </w:p>
        </w:tc>
      </w:tr>
      <w:tr>
        <w:tc>
          <w:tcPr>
            <w:tcW w:type="dxa" w:w="280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Conocimiento como posesión</w:t>
            </w:r>
          </w:p>
        </w:tc>
        <w:tc>
          <w:tcPr>
            <w:tcW w:type="dxa" w:w="30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"Sé la definición"</w:t>
            </w:r>
          </w:p>
        </w:tc>
        <w:tc>
          <w:tcPr>
            <w:tcW w:type="dxa" w:w="34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Tener información no garantiza poder usarla</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Conocimiento como rutina</w:t>
            </w:r>
          </w:p>
        </w:tc>
        <w:tc>
          <w:tcPr>
            <w:tcW w:type="dxa" w:w="308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"Sé seguir el procedimiento"</w:t>
            </w:r>
          </w:p>
        </w:tc>
        <w:tc>
          <w:tcPr>
            <w:tcW w:type="dxa" w:w="348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Ejecutar un proceso no garantiza entender por qué funciona</w:t>
            </w:r>
          </w:p>
        </w:tc>
      </w:tr>
      <w:tr>
        <w:tc>
          <w:tcPr>
            <w:tcW w:type="dxa" w:w="280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bCs/>
                <w:color w:val="212121"/>
                <w:sz w:val="20"/>
                <w:szCs w:val="20"/>
              </w:rPr>
              <w:t xml:space="preserve">Comprensión (EpC)</w:t>
            </w:r>
          </w:p>
        </w:tc>
        <w:tc>
          <w:tcPr>
            <w:tcW w:type="dxa" w:w="30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i/>
                <w:iCs/>
                <w:color w:val="212121"/>
                <w:sz w:val="20"/>
                <w:szCs w:val="20"/>
              </w:rPr>
              <w:t xml:space="preserve">"Puedo usar lo que sé en situaciones nuevas"</w:t>
            </w:r>
          </w:p>
        </w:tc>
        <w:tc>
          <w:tcPr>
            <w:tcW w:type="dxa" w:w="34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Requiere explicar, adaptar, justificar, generalizar</w:t>
            </w:r>
          </w:p>
        </w:tc>
      </w:tr>
    </w:tbl>
    <w:p>
      <w:pPr>
        <w:spacing w:after="0" w:before="120"/>
      </w:pP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Lo radical de esta definición es que </w:t>
      </w:r>
      <w:r>
        <w:rPr>
          <w:rFonts w:ascii="Arial" w:cs="Arial" w:eastAsia="Arial" w:hAnsi="Arial"/>
          <w:b/>
          <w:bCs/>
          <w:sz w:val="22"/>
          <w:szCs w:val="22"/>
        </w:rPr>
        <w:t xml:space="preserve">comprensión y acción no son dos cosas separadas</w:t>
      </w:r>
      <w:r>
        <w:rPr>
          <w:rFonts w:ascii="Arial" w:cs="Arial" w:eastAsia="Arial" w:hAnsi="Arial"/>
          <w:sz w:val="22"/>
          <w:szCs w:val="22"/>
        </w:rPr>
        <w:t xml:space="preserve">. Comprender </w:t>
      </w:r>
      <w:r>
        <w:rPr>
          <w:rFonts w:ascii="Arial" w:cs="Arial" w:eastAsia="Arial" w:hAnsi="Arial"/>
          <w:i/>
          <w:iCs/>
          <w:sz w:val="22"/>
          <w:szCs w:val="22"/>
        </w:rPr>
        <w:t xml:space="preserve">es</w:t>
      </w:r>
      <w:r>
        <w:rPr>
          <w:rFonts w:ascii="Arial" w:cs="Arial" w:eastAsia="Arial" w:hAnsi="Arial"/>
          <w:sz w:val="22"/>
          <w:szCs w:val="22"/>
        </w:rPr>
        <w:t xml:space="preserve"> poder actuar flexiblemente. Actuar con criterio </w:t>
      </w:r>
      <w:r>
        <w:rPr>
          <w:rFonts w:ascii="Arial" w:cs="Arial" w:eastAsia="Arial" w:hAnsi="Arial"/>
          <w:i/>
          <w:iCs/>
          <w:sz w:val="22"/>
          <w:szCs w:val="22"/>
        </w:rPr>
        <w:t xml:space="preserve">es</w:t>
      </w:r>
      <w:r>
        <w:rPr>
          <w:rFonts w:ascii="Arial" w:cs="Arial" w:eastAsia="Arial" w:hAnsi="Arial"/>
          <w:sz w:val="22"/>
          <w:szCs w:val="22"/>
        </w:rPr>
        <w:t xml:space="preserve"> demostrar comprensión. No se comprende primero y se actúa después — la comprensión se construye y se demuestra </w:t>
      </w:r>
      <w:r>
        <w:rPr>
          <w:rFonts w:ascii="Arial" w:cs="Arial" w:eastAsia="Arial" w:hAnsi="Arial"/>
          <w:i/>
          <w:iCs/>
          <w:sz w:val="22"/>
          <w:szCs w:val="22"/>
        </w:rPr>
        <w:t xml:space="preserve">a través de</w:t>
      </w:r>
      <w:r>
        <w:rPr>
          <w:rFonts w:ascii="Arial" w:cs="Arial" w:eastAsia="Arial" w:hAnsi="Arial"/>
          <w:sz w:val="22"/>
          <w:szCs w:val="22"/>
        </w:rPr>
        <w:t xml:space="preserve"> la acción.</w:t>
      </w:r>
    </w:p>
    <w:p>
      <w:pPr>
        <w:pStyle w:val="Heading3"/>
      </w:pPr>
      <w:r>
        <w:t xml:space="preserve">3.2 Los desempeños de comprensión</w:t>
      </w:r>
    </w:p>
    <w:p>
      <w:pPr>
        <w:spacing w:after="80" w:before="80" w:line="280" w:lineRule="auto"/>
      </w:pPr>
      <w:r>
        <w:rPr>
          <w:rFonts w:ascii="Arial" w:cs="Arial" w:eastAsia="Arial" w:hAnsi="Arial"/>
          <w:sz w:val="22"/>
          <w:szCs w:val="22"/>
        </w:rPr>
        <w:t xml:space="preserve">EpC propone que la comprensión se demuestra a través de </w:t>
      </w:r>
      <w:r>
        <w:rPr>
          <w:rFonts w:ascii="Arial" w:cs="Arial" w:eastAsia="Arial" w:hAnsi="Arial"/>
          <w:b/>
          <w:bCs/>
          <w:sz w:val="22"/>
          <w:szCs w:val="22"/>
        </w:rPr>
        <w:t xml:space="preserve">desempeños</w:t>
      </w:r>
      <w:r>
        <w:rPr>
          <w:rFonts w:ascii="Arial" w:cs="Arial" w:eastAsia="Arial" w:hAnsi="Arial"/>
          <w:sz w:val="22"/>
          <w:szCs w:val="22"/>
        </w:rPr>
        <w:t xml:space="preserve">: actividades en las que el estudiante va más allá de repetir información y la usa de manera flexible y novedosa. Un desempeño de comprensión no es responder un quiz ni seguir instrucciones. Es explicar algo a una audiencia diferente, aplicar un concepto en un contexto nuevo, justificar una decisión, adaptar un método a una restricción inesperada.</w:t>
      </w:r>
    </w:p>
    <w:p>
      <w:pPr>
        <w:spacing w:after="80" w:before="80" w:line="280" w:lineRule="auto"/>
      </w:pPr>
      <w:r>
        <w:rPr>
          <w:rFonts w:ascii="Arial" w:cs="Arial" w:eastAsia="Arial" w:hAnsi="Arial"/>
          <w:sz w:val="22"/>
          <w:szCs w:val="22"/>
        </w:rPr>
        <w:t xml:space="preserve">Los desempeños se estructuran en tres fases:</w:t>
      </w:r>
    </w:p>
    <w:p>
      <w:pPr>
        <w:pStyle w:val="ListParagraph"/>
        <w:numPr>
          <w:ilvl w:val="0"/>
          <w:numId w:val="2"/>
        </w:numPr>
        <w:spacing w:after="60" w:before="60" w:line="280" w:lineRule="auto"/>
      </w:pPr>
      <w:r>
        <w:rPr>
          <w:rFonts w:ascii="Arial" w:cs="Arial" w:eastAsia="Arial" w:hAnsi="Arial"/>
          <w:b/>
          <w:bCs/>
          <w:sz w:val="22"/>
          <w:szCs w:val="22"/>
        </w:rPr>
        <w:t xml:space="preserve">Exploración: </w:t>
      </w:r>
      <w:r>
        <w:rPr>
          <w:rFonts w:ascii="Arial" w:cs="Arial" w:eastAsia="Arial" w:hAnsi="Arial"/>
          <w:sz w:val="22"/>
          <w:szCs w:val="22"/>
        </w:rPr>
        <w:t xml:space="preserve">el estudiante se acerca al tema, hace preguntas, conecta con lo que ya sabe.</w:t>
      </w:r>
    </w:p>
    <w:p>
      <w:pPr>
        <w:pStyle w:val="ListParagraph"/>
        <w:numPr>
          <w:ilvl w:val="0"/>
          <w:numId w:val="2"/>
        </w:numPr>
        <w:spacing w:after="60" w:before="60" w:line="280" w:lineRule="auto"/>
      </w:pPr>
      <w:r>
        <w:rPr>
          <w:rFonts w:ascii="Arial" w:cs="Arial" w:eastAsia="Arial" w:hAnsi="Arial"/>
          <w:b/>
          <w:bCs/>
          <w:sz w:val="22"/>
          <w:szCs w:val="22"/>
        </w:rPr>
        <w:t xml:space="preserve">Investigación guiada: </w:t>
      </w:r>
      <w:r>
        <w:rPr>
          <w:rFonts w:ascii="Arial" w:cs="Arial" w:eastAsia="Arial" w:hAnsi="Arial"/>
          <w:sz w:val="22"/>
          <w:szCs w:val="22"/>
        </w:rPr>
        <w:t xml:space="preserve">el estudiante trabaja de forma más estructurada, con andamiaje del profesor.</w:t>
      </w:r>
    </w:p>
    <w:p>
      <w:pPr>
        <w:pStyle w:val="ListParagraph"/>
        <w:numPr>
          <w:ilvl w:val="0"/>
          <w:numId w:val="2"/>
        </w:numPr>
        <w:spacing w:after="60" w:before="60" w:line="280" w:lineRule="auto"/>
      </w:pPr>
      <w:r>
        <w:rPr>
          <w:rFonts w:ascii="Arial" w:cs="Arial" w:eastAsia="Arial" w:hAnsi="Arial"/>
          <w:b/>
          <w:bCs/>
          <w:sz w:val="22"/>
          <w:szCs w:val="22"/>
        </w:rPr>
        <w:t xml:space="preserve">Proyecto de síntesis: </w:t>
      </w:r>
      <w:r>
        <w:rPr>
          <w:rFonts w:ascii="Arial" w:cs="Arial" w:eastAsia="Arial" w:hAnsi="Arial"/>
          <w:sz w:val="22"/>
          <w:szCs w:val="22"/>
        </w:rPr>
        <w:t xml:space="preserve">el estudiante demuestra comprensión de manera independiente y pública.</w:t>
      </w:r>
    </w:p>
    <w:p>
      <w:pPr>
        <w:pStyle w:val="Heading3"/>
      </w:pPr>
      <w:r>
        <w:t xml:space="preserve">3.3 La conexión con "entender y actuar"</w:t>
      </w:r>
    </w:p>
    <w:p>
      <w:pPr>
        <w:spacing w:after="80" w:before="80" w:line="280" w:lineRule="auto"/>
      </w:pPr>
      <w:r>
        <w:rPr>
          <w:rFonts w:ascii="Arial" w:cs="Arial" w:eastAsia="Arial" w:hAnsi="Arial"/>
          <w:sz w:val="22"/>
          <w:szCs w:val="22"/>
        </w:rPr>
        <w:t xml:space="preserve">La fórmula "entender y actuar" que propongo para DTLS no es un eslogan: es literalmente el núcleo de EpC. Perkins usa la analogía de la flexibilidad en gimnasia: no se puede "tener" flexibilidad en abstracto — solo existe cuando se ejecuta un movimiento flexible. Del mismo modo, no se puede "tener" comprensión en la cabeza — solo existe cuando se demuestra en acción.</w:t>
      </w:r>
    </w:p>
    <w:p>
      <w:pPr>
        <w:spacing w:after="80" w:before="80" w:line="280" w:lineRule="auto"/>
      </w:pPr>
      <w:r>
        <w:rPr>
          <w:rFonts w:ascii="Arial" w:cs="Arial" w:eastAsia="Arial" w:hAnsi="Arial"/>
          <w:sz w:val="22"/>
          <w:szCs w:val="22"/>
        </w:rPr>
        <w:t xml:space="preserve">Esto tiene raíces filosóficas profundas:</w:t>
      </w:r>
    </w:p>
    <w:p>
      <w:pPr>
        <w:pStyle w:val="ListParagraph"/>
        <w:numPr>
          <w:ilvl w:val="0"/>
          <w:numId w:val="3"/>
        </w:numPr>
        <w:spacing w:after="60" w:before="60" w:line="280" w:lineRule="auto"/>
      </w:pPr>
      <w:r>
        <w:rPr>
          <w:rFonts w:ascii="Arial" w:cs="Arial" w:eastAsia="Arial" w:hAnsi="Arial"/>
          <w:b/>
          <w:bCs/>
          <w:sz w:val="22"/>
          <w:szCs w:val="22"/>
        </w:rPr>
        <w:t xml:space="preserve">Dewey: </w:t>
      </w:r>
      <w:r>
        <w:rPr>
          <w:rFonts w:ascii="Arial" w:cs="Arial" w:eastAsia="Arial" w:hAnsi="Arial"/>
          <w:sz w:val="22"/>
          <w:szCs w:val="22"/>
        </w:rPr>
        <w:t xml:space="preserve">aprender haciendo, pero haciendo </w:t>
      </w:r>
      <w:r>
        <w:rPr>
          <w:rFonts w:ascii="Arial" w:cs="Arial" w:eastAsia="Arial" w:hAnsi="Arial"/>
          <w:i/>
          <w:iCs/>
          <w:sz w:val="22"/>
          <w:szCs w:val="22"/>
        </w:rPr>
        <w:t xml:space="preserve">reflexivo</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b/>
          <w:bCs/>
          <w:sz w:val="22"/>
          <w:szCs w:val="22"/>
        </w:rPr>
        <w:t xml:space="preserve">Wittgenstein: </w:t>
      </w:r>
      <w:r>
        <w:rPr>
          <w:rFonts w:ascii="Arial" w:cs="Arial" w:eastAsia="Arial" w:hAnsi="Arial"/>
          <w:sz w:val="22"/>
          <w:szCs w:val="22"/>
        </w:rPr>
        <w:t xml:space="preserve">comprender un concepto es saber cómo usarlo en casos nuevos.</w:t>
      </w:r>
    </w:p>
    <w:p>
      <w:pPr>
        <w:pStyle w:val="ListParagraph"/>
        <w:numPr>
          <w:ilvl w:val="0"/>
          <w:numId w:val="3"/>
        </w:numPr>
        <w:spacing w:after="60" w:before="60" w:line="280" w:lineRule="auto"/>
      </w:pPr>
      <w:r>
        <w:rPr>
          <w:rFonts w:ascii="Arial" w:cs="Arial" w:eastAsia="Arial" w:hAnsi="Arial"/>
          <w:b/>
          <w:bCs/>
          <w:sz w:val="22"/>
          <w:szCs w:val="22"/>
        </w:rPr>
        <w:t xml:space="preserve">Ryle: </w:t>
      </w:r>
      <w:r>
        <w:rPr>
          <w:rFonts w:ascii="Arial" w:cs="Arial" w:eastAsia="Arial" w:hAnsi="Arial"/>
          <w:sz w:val="22"/>
          <w:szCs w:val="22"/>
        </w:rPr>
        <w:t xml:space="preserve">la distinción entre "saber que" (</w:t>
      </w:r>
      <w:r>
        <w:rPr>
          <w:rFonts w:ascii="Arial" w:cs="Arial" w:eastAsia="Arial" w:hAnsi="Arial"/>
          <w:i/>
          <w:iCs/>
          <w:sz w:val="22"/>
          <w:szCs w:val="22"/>
        </w:rPr>
        <w:t xml:space="preserve">knowing that</w:t>
      </w:r>
      <w:r>
        <w:rPr>
          <w:rFonts w:ascii="Arial" w:cs="Arial" w:eastAsia="Arial" w:hAnsi="Arial"/>
          <w:sz w:val="22"/>
          <w:szCs w:val="22"/>
        </w:rPr>
        <w:t xml:space="preserve">) y "saber cómo" (</w:t>
      </w:r>
      <w:r>
        <w:rPr>
          <w:rFonts w:ascii="Arial" w:cs="Arial" w:eastAsia="Arial" w:hAnsi="Arial"/>
          <w:i/>
          <w:iCs/>
          <w:sz w:val="22"/>
          <w:szCs w:val="22"/>
        </w:rPr>
        <w:t xml:space="preserve">knowing how</w:t>
      </w:r>
      <w:r>
        <w:rPr>
          <w:rFonts w:ascii="Arial" w:cs="Arial" w:eastAsia="Arial" w:hAnsi="Arial"/>
          <w:sz w:val="22"/>
          <w:szCs w:val="22"/>
        </w:rPr>
        <w:t xml:space="preserve">).</w:t>
      </w:r>
    </w:p>
    <w:p>
      <w:pPr>
        <w:pBdr>
          <w:bottom w:val="single" w:color="AAAAAA" w:sz="2" w:space="4"/>
        </w:pBdr>
        <w:spacing w:after="120" w:before="120"/>
      </w:pPr>
      <w:r>
        <w:rPr>
          <w:rFonts w:ascii="Arial" w:cs="Arial" w:eastAsia="Arial" w:hAnsi="Arial"/>
          <w:sz w:val="22"/>
          <w:szCs w:val="22"/>
        </w:rPr>
        <w:t xml:space="preserve"/>
      </w:r>
    </w:p>
    <w:p>
      <w:pPr>
        <w:pStyle w:val="Heading2"/>
      </w:pPr>
      <w:r>
        <w:t xml:space="preserve">4. El rol de la IA en este marco: brújula, no piloto</w:t>
      </w:r>
    </w:p>
    <w:p>
      <w:pPr>
        <w:spacing w:after="80" w:before="80" w:line="280" w:lineRule="auto"/>
      </w:pPr>
      <w:r>
        <w:rPr>
          <w:rFonts w:ascii="Arial" w:cs="Arial" w:eastAsia="Arial" w:hAnsi="Arial"/>
          <w:sz w:val="22"/>
          <w:szCs w:val="22"/>
        </w:rPr>
        <w:t xml:space="preserve">Con estos tres elementos — la naturaleza estadística de la IA, la distinción de Harari entre inteligencia y conciencia, y el marco EpC — se puede definir con precisión el rol de la IA en DTLS:</w:t>
      </w:r>
    </w:p>
    <w:p>
      <w:pPr>
        <w:pStyle w:val="Heading3"/>
      </w:pPr>
      <w:r>
        <w:t xml:space="preserve">La IA como facilitadora de la comprensión</w:t>
      </w:r>
    </w:p>
    <w:p>
      <w:pPr>
        <w:spacing w:after="80" w:before="80" w:line="280" w:lineRule="auto"/>
      </w:pPr>
      <w:r>
        <w:rPr>
          <w:rFonts w:ascii="Arial" w:cs="Arial" w:eastAsia="Arial" w:hAnsi="Arial"/>
          <w:sz w:val="22"/>
          <w:szCs w:val="22"/>
        </w:rPr>
        <w:t xml:space="preserve">La IA ayuda al estudiante a </w:t>
      </w:r>
      <w:r>
        <w:rPr>
          <w:rFonts w:ascii="Arial" w:cs="Arial" w:eastAsia="Arial" w:hAnsi="Arial"/>
          <w:b/>
          <w:bCs/>
          <w:sz w:val="22"/>
          <w:szCs w:val="22"/>
        </w:rPr>
        <w:t xml:space="preserve">entender</w:t>
      </w:r>
      <w:r>
        <w:rPr>
          <w:rFonts w:ascii="Arial" w:cs="Arial" w:eastAsia="Arial" w:hAnsi="Arial"/>
          <w:sz w:val="22"/>
          <w:szCs w:val="22"/>
        </w:rPr>
        <w:t xml:space="preserve"> qué está haciendo y qué exige la metodología en cada etapa. Puede:</w:t>
      </w:r>
    </w:p>
    <w:p>
      <w:pPr>
        <w:pStyle w:val="ListParagraph"/>
        <w:numPr>
          <w:ilvl w:val="0"/>
          <w:numId w:val="3"/>
        </w:numPr>
        <w:spacing w:after="60" w:before="60" w:line="280" w:lineRule="auto"/>
      </w:pPr>
      <w:r>
        <w:rPr>
          <w:rFonts w:ascii="Arial" w:cs="Arial" w:eastAsia="Arial" w:hAnsi="Arial"/>
          <w:sz w:val="22"/>
          <w:szCs w:val="22"/>
        </w:rPr>
        <w:t xml:space="preserve">Explicar un concepto de múltiples maneras.</w:t>
      </w:r>
    </w:p>
    <w:p>
      <w:pPr>
        <w:pStyle w:val="ListParagraph"/>
        <w:numPr>
          <w:ilvl w:val="0"/>
          <w:numId w:val="3"/>
        </w:numPr>
        <w:spacing w:after="60" w:before="60" w:line="280" w:lineRule="auto"/>
      </w:pPr>
      <w:r>
        <w:rPr>
          <w:rFonts w:ascii="Arial" w:cs="Arial" w:eastAsia="Arial" w:hAnsi="Arial"/>
          <w:sz w:val="22"/>
          <w:szCs w:val="22"/>
        </w:rPr>
        <w:t xml:space="preserve">Proporcionar ejemplos contextualizados.</w:t>
      </w:r>
    </w:p>
    <w:p>
      <w:pPr>
        <w:pStyle w:val="ListParagraph"/>
        <w:numPr>
          <w:ilvl w:val="0"/>
          <w:numId w:val="3"/>
        </w:numPr>
        <w:spacing w:after="60" w:before="60" w:line="280" w:lineRule="auto"/>
      </w:pPr>
      <w:r>
        <w:rPr>
          <w:rFonts w:ascii="Arial" w:cs="Arial" w:eastAsia="Arial" w:hAnsi="Arial"/>
          <w:sz w:val="22"/>
          <w:szCs w:val="22"/>
        </w:rPr>
        <w:t xml:space="preserve">Señalar qué paso sigue según la metodología.</w:t>
      </w:r>
    </w:p>
    <w:p>
      <w:pPr>
        <w:pStyle w:val="ListParagraph"/>
        <w:numPr>
          <w:ilvl w:val="0"/>
          <w:numId w:val="3"/>
        </w:numPr>
        <w:spacing w:after="60" w:before="60" w:line="280" w:lineRule="auto"/>
      </w:pPr>
      <w:r>
        <w:rPr>
          <w:rFonts w:ascii="Arial" w:cs="Arial" w:eastAsia="Arial" w:hAnsi="Arial"/>
          <w:sz w:val="22"/>
          <w:szCs w:val="22"/>
        </w:rPr>
        <w:t xml:space="preserve">Ofrecer retroalimentación sobre un avance.</w:t>
      </w:r>
    </w:p>
    <w:p>
      <w:pPr>
        <w:pStyle w:val="ListParagraph"/>
        <w:numPr>
          <w:ilvl w:val="0"/>
          <w:numId w:val="3"/>
        </w:numPr>
        <w:spacing w:after="60" w:before="60" w:line="280" w:lineRule="auto"/>
      </w:pPr>
      <w:r>
        <w:rPr>
          <w:rFonts w:ascii="Arial" w:cs="Arial" w:eastAsia="Arial" w:hAnsi="Arial"/>
          <w:sz w:val="22"/>
          <w:szCs w:val="22"/>
        </w:rPr>
        <w:t xml:space="preserve">Hacer visible la estructura de un proceso complejo.</w:t>
      </w:r>
    </w:p>
    <w:p>
      <w:pPr>
        <w:pStyle w:val="Heading3"/>
      </w:pPr>
      <w:r>
        <w:t xml:space="preserve">El estudiante como agente de la acción</w:t>
      </w:r>
    </w:p>
    <w:p>
      <w:pPr>
        <w:spacing w:after="80" w:before="80" w:line="280" w:lineRule="auto"/>
      </w:pPr>
      <w:r>
        <w:rPr>
          <w:rFonts w:ascii="Arial" w:cs="Arial" w:eastAsia="Arial" w:hAnsi="Arial"/>
          <w:sz w:val="22"/>
          <w:szCs w:val="22"/>
        </w:rPr>
        <w:t xml:space="preserve">El estudiante es quien </w:t>
      </w:r>
      <w:r>
        <w:rPr>
          <w:rFonts w:ascii="Arial" w:cs="Arial" w:eastAsia="Arial" w:hAnsi="Arial"/>
          <w:b/>
          <w:bCs/>
          <w:sz w:val="22"/>
          <w:szCs w:val="22"/>
        </w:rPr>
        <w:t xml:space="preserve">decide y actúa</w:t>
      </w:r>
      <w:r>
        <w:rPr>
          <w:rFonts w:ascii="Arial" w:cs="Arial" w:eastAsia="Arial" w:hAnsi="Arial"/>
          <w:sz w:val="22"/>
          <w:szCs w:val="22"/>
        </w:rPr>
        <w:t xml:space="preserve">. Esto implica:</w:t>
      </w:r>
    </w:p>
    <w:p>
      <w:pPr>
        <w:pStyle w:val="ListParagraph"/>
        <w:numPr>
          <w:ilvl w:val="0"/>
          <w:numId w:val="3"/>
        </w:numPr>
        <w:spacing w:after="60" w:before="60" w:line="280" w:lineRule="auto"/>
      </w:pPr>
      <w:r>
        <w:rPr>
          <w:rFonts w:ascii="Arial" w:cs="Arial" w:eastAsia="Arial" w:hAnsi="Arial"/>
          <w:sz w:val="22"/>
          <w:szCs w:val="22"/>
        </w:rPr>
        <w:t xml:space="preserve">Interpretar los hallazgos de su research.</w:t>
      </w:r>
    </w:p>
    <w:p>
      <w:pPr>
        <w:pStyle w:val="ListParagraph"/>
        <w:numPr>
          <w:ilvl w:val="0"/>
          <w:numId w:val="3"/>
        </w:numPr>
        <w:spacing w:after="60" w:before="60" w:line="280" w:lineRule="auto"/>
      </w:pPr>
      <w:r>
        <w:rPr>
          <w:rFonts w:ascii="Arial" w:cs="Arial" w:eastAsia="Arial" w:hAnsi="Arial"/>
          <w:sz w:val="22"/>
          <w:szCs w:val="22"/>
        </w:rPr>
        <w:t xml:space="preserve">Decidir qué problema priorizar y por qué.</w:t>
      </w:r>
    </w:p>
    <w:p>
      <w:pPr>
        <w:pStyle w:val="ListParagraph"/>
        <w:numPr>
          <w:ilvl w:val="0"/>
          <w:numId w:val="3"/>
        </w:numPr>
        <w:spacing w:after="60" w:before="60" w:line="280" w:lineRule="auto"/>
      </w:pPr>
      <w:r>
        <w:rPr>
          <w:rFonts w:ascii="Arial" w:cs="Arial" w:eastAsia="Arial" w:hAnsi="Arial"/>
          <w:sz w:val="22"/>
          <w:szCs w:val="22"/>
        </w:rPr>
        <w:t xml:space="preserve">Diseñar su solución y defenderla.</w:t>
      </w:r>
    </w:p>
    <w:p>
      <w:pPr>
        <w:pStyle w:val="ListParagraph"/>
        <w:numPr>
          <w:ilvl w:val="0"/>
          <w:numId w:val="3"/>
        </w:numPr>
        <w:spacing w:after="60" w:before="60" w:line="280" w:lineRule="auto"/>
      </w:pPr>
      <w:r>
        <w:rPr>
          <w:rFonts w:ascii="Arial" w:cs="Arial" w:eastAsia="Arial" w:hAnsi="Arial"/>
          <w:sz w:val="22"/>
          <w:szCs w:val="22"/>
        </w:rPr>
        <w:t xml:space="preserve">Evaluar si la sugerencia de la IA aplica a su contexto.</w:t>
      </w:r>
    </w:p>
    <w:p>
      <w:pPr>
        <w:pStyle w:val="ListParagraph"/>
        <w:numPr>
          <w:ilvl w:val="0"/>
          <w:numId w:val="3"/>
        </w:numPr>
        <w:spacing w:after="60" w:before="60" w:line="280" w:lineRule="auto"/>
      </w:pPr>
      <w:r>
        <w:rPr>
          <w:rFonts w:ascii="Arial" w:cs="Arial" w:eastAsia="Arial" w:hAnsi="Arial"/>
          <w:sz w:val="22"/>
          <w:szCs w:val="22"/>
        </w:rPr>
        <w:t xml:space="preserve">Asumir responsabilidad por el resultado.</w:t>
      </w:r>
    </w:p>
    <w:p>
      <w:pPr>
        <w:pStyle w:val="Heading3"/>
      </w:pPr>
      <w:r>
        <w:t xml:space="preserve">La línea roja: delegación sin comprensión</w:t>
      </w:r>
    </w:p>
    <w:p>
      <w:pPr>
        <w:spacing w:after="80" w:before="80" w:line="280" w:lineRule="auto"/>
      </w:pPr>
      <w:r>
        <w:rPr>
          <w:rFonts w:ascii="Arial" w:cs="Arial" w:eastAsia="Arial" w:hAnsi="Arial"/>
          <w:sz w:val="22"/>
          <w:szCs w:val="22"/>
        </w:rPr>
        <w:t xml:space="preserve">Lo que no se permite es lo que la investigación en factores humanos llama "automation complacency" (Parasuraman &amp; Riley, 1997): la tendencia a sobre-confiar en sistemas automatizados y perder la capacidad de actuar sin ellos. En el contexto educativo, Dreyfus (1986) advierte que si el estudiante puede saltarse las etapas de esfuerzo cognitivo, nunca desarrolla competencia genuina, incluso si sus outputs lo aparentan.</w:t>
      </w:r>
    </w:p>
    <w:p>
      <w:pPr>
        <w:spacing w:after="80" w:before="80" w:line="280" w:lineRule="auto"/>
      </w:pPr>
      <w:r>
        <w:rPr>
          <w:rFonts w:ascii="Arial" w:cs="Arial" w:eastAsia="Arial" w:hAnsi="Arial"/>
          <w:sz w:val="22"/>
          <w:szCs w:val="22"/>
        </w:rPr>
        <w:t xml:space="preserve">La investigación en ciencia cognitiva respalda esto: el "efecto de generación" (Slamecka &amp; Graf, 1978) demuestra consistentemente que el acto de generar una respuesta — incluso incorrecta — produce aprendizaje más fuerte que recibir pasivamente la respuesta correcta. Delegar a la IA elimina el proceso de generación.</w:t>
      </w:r>
    </w:p>
    <w:p>
      <w:pPr>
        <w:pBdr>
          <w:bottom w:val="single" w:color="AAAAAA" w:sz="2" w:space="4"/>
        </w:pBdr>
        <w:spacing w:after="120" w:before="120"/>
      </w:pPr>
      <w:r>
        <w:rPr>
          <w:rFonts w:ascii="Arial" w:cs="Arial" w:eastAsia="Arial" w:hAnsi="Arial"/>
          <w:sz w:val="22"/>
          <w:szCs w:val="22"/>
        </w:rPr>
        <w:t xml:space="preserve"/>
      </w:r>
    </w:p>
    <w:p>
      <w:pPr>
        <w:pStyle w:val="Heading2"/>
      </w:pPr>
      <w:r>
        <w:t xml:space="preserve">5. Síntesis: la propuesta</w:t>
      </w:r>
    </w:p>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3864" w:val="clear"/>
            <w:tcMar>
              <w:top w:type="dxa" w:w="90"/>
              <w:left w:type="dxa" w:w="140"/>
              <w:bottom w:type="dxa" w:w="90"/>
              <w:right w:type="dxa" w:w="140"/>
            </w:tcMar>
          </w:tcPr>
          <w:p>
            <w:r>
              <w:rPr>
                <w:rFonts w:ascii="Arial" w:cs="Arial" w:eastAsia="Arial" w:hAnsi="Arial"/>
                <w:b/>
                <w:bCs/>
                <w:color w:val="FFFFFF"/>
                <w:sz w:val="21"/>
                <w:szCs w:val="21"/>
              </w:rPr>
              <w:t xml:space="preserve">Dimensión</w:t>
            </w:r>
          </w:p>
        </w:tc>
        <w:tc>
          <w:tcPr>
            <w:tcW w:type="dxa" w:w="3580"/>
            <w:tcBorders>
              <w:top w:val="single" w:color="AAAAAA" w:sz="1"/>
              <w:left w:val="single" w:color="AAAAAA" w:sz="1"/>
              <w:bottom w:val="single" w:color="AAAAAA" w:sz="1"/>
              <w:right w:val="single" w:color="AAAAAA" w:sz="1"/>
            </w:tcBorders>
            <w:shd w:fill="1F3864" w:val="clear"/>
            <w:tcMar>
              <w:top w:type="dxa" w:w="90"/>
              <w:left w:type="dxa" w:w="140"/>
              <w:bottom w:type="dxa" w:w="90"/>
              <w:right w:type="dxa" w:w="140"/>
            </w:tcMar>
          </w:tcPr>
          <w:p>
            <w:r>
              <w:rPr>
                <w:rFonts w:ascii="Arial" w:cs="Arial" w:eastAsia="Arial" w:hAnsi="Arial"/>
                <w:b/>
                <w:bCs/>
                <w:color w:val="FFFFFF"/>
                <w:sz w:val="21"/>
                <w:szCs w:val="21"/>
              </w:rPr>
              <w:t xml:space="preserve">Para entender</w:t>
            </w:r>
          </w:p>
        </w:tc>
        <w:tc>
          <w:tcPr>
            <w:tcW w:type="dxa" w:w="3580"/>
            <w:tcBorders>
              <w:top w:val="single" w:color="AAAAAA" w:sz="1"/>
              <w:left w:val="single" w:color="AAAAAA" w:sz="1"/>
              <w:bottom w:val="single" w:color="AAAAAA" w:sz="1"/>
              <w:right w:val="single" w:color="AAAAAA" w:sz="1"/>
            </w:tcBorders>
            <w:shd w:fill="1F3864" w:val="clear"/>
            <w:tcMar>
              <w:top w:type="dxa" w:w="90"/>
              <w:left w:type="dxa" w:w="140"/>
              <w:bottom w:type="dxa" w:w="90"/>
              <w:right w:type="dxa" w:w="140"/>
            </w:tcMar>
          </w:tcPr>
          <w:p>
            <w:r>
              <w:rPr>
                <w:rFonts w:ascii="Arial" w:cs="Arial" w:eastAsia="Arial" w:hAnsi="Arial"/>
                <w:b/>
                <w:bCs/>
                <w:color w:val="FFFFFF"/>
                <w:sz w:val="21"/>
                <w:szCs w:val="21"/>
              </w:rPr>
              <w:t xml:space="preserve">Para actuar</w:t>
            </w:r>
          </w:p>
        </w:tc>
      </w:tr>
      <w:tr>
        <w:tc>
          <w:tcPr>
            <w:tcW w:type="dxa" w:w="220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Marco pedagógico</w:t>
            </w:r>
          </w:p>
        </w:tc>
        <w:tc>
          <w:tcPr>
            <w:tcW w:type="dxa" w:w="35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Enseñanza para la Comprensión (EpC)</w:t>
            </w:r>
          </w:p>
        </w:tc>
        <w:tc>
          <w:tcPr>
            <w:tcW w:type="dxa" w:w="35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Continuous Discovery Habits + Lean Product Playbook</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Rol de la IA</w:t>
            </w:r>
          </w:p>
        </w:tc>
        <w:tc>
          <w:tcPr>
            <w:tcW w:type="dxa" w:w="358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Facilitar comprensión, explicar método, dar retroalimentación</w:t>
            </w:r>
          </w:p>
        </w:tc>
        <w:tc>
          <w:tcPr>
            <w:tcW w:type="dxa" w:w="358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Informar decisiones, no tomarlas</w:t>
            </w:r>
          </w:p>
        </w:tc>
      </w:tr>
      <w:tr>
        <w:tc>
          <w:tcPr>
            <w:tcW w:type="dxa" w:w="220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Rol del estudiante</w:t>
            </w:r>
          </w:p>
        </w:tc>
        <w:tc>
          <w:tcPr>
            <w:tcW w:type="dxa" w:w="35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Demostrar comprensión a través de desempeños</w:t>
            </w:r>
          </w:p>
        </w:tc>
        <w:tc>
          <w:tcPr>
            <w:tcW w:type="dxa" w:w="35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Ejecutar, decidir, iterar, defender</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Evaluación</w:t>
            </w:r>
          </w:p>
        </w:tc>
        <w:tc>
          <w:tcPr>
            <w:tcW w:type="dxa" w:w="358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Desempeños de comprensión (explicar, justificar, adaptar)</w:t>
            </w:r>
          </w:p>
        </w:tc>
        <w:tc>
          <w:tcPr>
            <w:tcW w:type="dxa" w:w="358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tcPr>
          <w:p>
            <w:r>
              <w:rPr>
                <w:rFonts w:ascii="Arial" w:cs="Arial" w:eastAsia="Arial" w:hAnsi="Arial"/>
                <w:b w:val="false"/>
                <w:bCs w:val="false"/>
                <w:color w:val="212121"/>
                <w:sz w:val="20"/>
                <w:szCs w:val="20"/>
              </w:rPr>
              <w:t xml:space="preserve">Calidad del proceso y del producto</w:t>
            </w:r>
          </w:p>
        </w:tc>
      </w:tr>
      <w:tr>
        <w:tc>
          <w:tcPr>
            <w:tcW w:type="dxa" w:w="220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Riesgo a mitigar</w:t>
            </w:r>
          </w:p>
        </w:tc>
        <w:tc>
          <w:tcPr>
            <w:tcW w:type="dxa" w:w="35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Producir sin comprender</w:t>
            </w:r>
          </w:p>
        </w:tc>
        <w:tc>
          <w:tcPr>
            <w:tcW w:type="dxa" w:w="3580"/>
            <w:tcBorders>
              <w:top w:val="single" w:color="AAAAAA" w:sz="1"/>
              <w:left w:val="single" w:color="AAAAAA" w:sz="1"/>
              <w:bottom w:val="single" w:color="AAAAAA" w:sz="1"/>
              <w:right w:val="single" w:color="AAAAAA" w:sz="1"/>
            </w:tcBorders>
            <w:shd w:fill="EEF2F8" w:val="clear"/>
            <w:tcMar>
              <w:top w:type="dxa" w:w="90"/>
              <w:left w:type="dxa" w:w="140"/>
              <w:bottom w:type="dxa" w:w="90"/>
              <w:right w:type="dxa" w:w="140"/>
            </w:tcMar>
          </w:tcPr>
          <w:p>
            <w:r>
              <w:rPr>
                <w:rFonts w:ascii="Arial" w:cs="Arial" w:eastAsia="Arial" w:hAnsi="Arial"/>
                <w:b w:val="false"/>
                <w:bCs w:val="false"/>
                <w:color w:val="212121"/>
                <w:sz w:val="20"/>
                <w:szCs w:val="20"/>
              </w:rPr>
              <w:t xml:space="preserve">Actuar sin entender por qué</w:t>
            </w:r>
          </w:p>
        </w:tc>
      </w:tr>
    </w:tbl>
    <w:p>
      <w:pPr>
        <w:spacing w:after="0" w:before="120"/>
      </w:pPr>
      <w:r>
        <w:rPr>
          <w:rFonts w:ascii="Arial" w:cs="Arial" w:eastAsia="Arial" w:hAnsi="Arial"/>
          <w:sz w:val="22"/>
          <w:szCs w:val="22"/>
        </w:rPr>
        <w:t xml:space="preserve"/>
      </w:r>
    </w:p>
    <w:p>
      <w:pPr>
        <w:pBdr>
          <w:bottom w:val="single" w:color="AAAAAA" w:sz="2" w:space="4"/>
        </w:pBdr>
        <w:spacing w:after="120" w:before="120"/>
      </w:pPr>
      <w:r>
        <w:rPr>
          <w:rFonts w:ascii="Arial" w:cs="Arial" w:eastAsia="Arial" w:hAnsi="Arial"/>
          <w:sz w:val="22"/>
          <w:szCs w:val="22"/>
        </w:rPr>
        <w:t xml:space="preserve"/>
      </w:r>
    </w:p>
    <w:p>
      <w:pPr>
        <w:pStyle w:val="Heading2"/>
      </w:pPr>
      <w:r>
        <w:t xml:space="preserve">6. Líneas de profundización pendientes</w:t>
      </w:r>
    </w:p>
    <w:p>
      <w:pPr>
        <w:pStyle w:val="ListParagraph"/>
        <w:numPr>
          <w:ilvl w:val="0"/>
          <w:numId w:val="2"/>
        </w:numPr>
        <w:spacing w:after="60" w:before="60" w:line="280" w:lineRule="auto"/>
      </w:pPr>
      <w:r>
        <w:rPr>
          <w:rFonts w:ascii="Arial" w:cs="Arial" w:eastAsia="Arial" w:hAnsi="Arial"/>
          <w:b/>
          <w:bCs/>
          <w:sz w:val="22"/>
          <w:szCs w:val="22"/>
        </w:rPr>
        <w:t xml:space="preserve">Diseño detallado de las 8 lecciones </w:t>
      </w:r>
      <w:r>
        <w:rPr>
          <w:rFonts w:ascii="Arial" w:cs="Arial" w:eastAsia="Arial" w:hAnsi="Arial"/>
          <w:sz w:val="22"/>
          <w:szCs w:val="22"/>
        </w:rPr>
        <w:t xml:space="preserve">con objetivos de comprensión, desempeños y actividades específicas.</w:t>
      </w:r>
    </w:p>
    <w:p>
      <w:pPr>
        <w:pStyle w:val="ListParagraph"/>
        <w:numPr>
          <w:ilvl w:val="0"/>
          <w:numId w:val="2"/>
        </w:numPr>
        <w:spacing w:after="60" w:before="60" w:line="280" w:lineRule="auto"/>
      </w:pPr>
      <w:r>
        <w:rPr>
          <w:rFonts w:ascii="Arial" w:cs="Arial" w:eastAsia="Arial" w:hAnsi="Arial"/>
          <w:b/>
          <w:bCs/>
          <w:sz w:val="22"/>
          <w:szCs w:val="22"/>
        </w:rPr>
        <w:t xml:space="preserve">Taxonomía de usos de IA por etapa del proyecto</w:t>
      </w:r>
      <w:r>
        <w:rPr>
          <w:rFonts w:ascii="Arial" w:cs="Arial" w:eastAsia="Arial" w:hAnsi="Arial"/>
          <w:sz w:val="22"/>
          <w:szCs w:val="22"/>
        </w:rPr>
        <w:t xml:space="preserve"> — dónde es útil, dónde es riesgosa, dónde está prohibida.</w:t>
      </w:r>
    </w:p>
    <w:p>
      <w:pPr>
        <w:pStyle w:val="ListParagraph"/>
        <w:numPr>
          <w:ilvl w:val="0"/>
          <w:numId w:val="2"/>
        </w:numPr>
        <w:spacing w:after="60" w:before="60" w:line="280" w:lineRule="auto"/>
      </w:pPr>
      <w:r>
        <w:rPr>
          <w:rFonts w:ascii="Arial" w:cs="Arial" w:eastAsia="Arial" w:hAnsi="Arial"/>
          <w:b/>
          <w:bCs/>
          <w:sz w:val="22"/>
          <w:szCs w:val="22"/>
        </w:rPr>
        <w:t xml:space="preserve">Sistema de evaluación </w:t>
      </w:r>
      <w:r>
        <w:rPr>
          <w:rFonts w:ascii="Arial" w:cs="Arial" w:eastAsia="Arial" w:hAnsi="Arial"/>
          <w:sz w:val="22"/>
          <w:szCs w:val="22"/>
        </w:rPr>
        <w:t xml:space="preserve">que distinga comprensión de producción.</w:t>
      </w:r>
    </w:p>
    <w:p>
      <w:pPr>
        <w:pStyle w:val="ListParagraph"/>
        <w:numPr>
          <w:ilvl w:val="0"/>
          <w:numId w:val="2"/>
        </w:numPr>
        <w:spacing w:after="60" w:before="60" w:line="280" w:lineRule="auto"/>
      </w:pPr>
      <w:r>
        <w:rPr>
          <w:rFonts w:ascii="Arial" w:cs="Arial" w:eastAsia="Arial" w:hAnsi="Arial"/>
          <w:b/>
          <w:bCs/>
          <w:sz w:val="22"/>
          <w:szCs w:val="22"/>
        </w:rPr>
        <w:t xml:space="preserve">Análisis de resultados de la impartición anterior</w:t>
      </w:r>
      <w:r>
        <w:rPr>
          <w:rFonts w:ascii="Arial" w:cs="Arial" w:eastAsia="Arial" w:hAnsi="Arial"/>
          <w:sz w:val="22"/>
          <w:szCs w:val="22"/>
        </w:rPr>
        <w:t xml:space="preserve"> — qué funcionó, qué no, qué ajustar.</w:t>
      </w:r>
    </w:p>
    <w:p>
      <w:pPr>
        <w:pStyle w:val="ListParagraph"/>
        <w:numPr>
          <w:ilvl w:val="0"/>
          <w:numId w:val="2"/>
        </w:numPr>
        <w:spacing w:after="60" w:before="60" w:line="280" w:lineRule="auto"/>
      </w:pPr>
      <w:r>
        <w:rPr>
          <w:rFonts w:ascii="Arial" w:cs="Arial" w:eastAsia="Arial" w:hAnsi="Arial"/>
          <w:b/>
          <w:bCs/>
          <w:sz w:val="22"/>
          <w:szCs w:val="22"/>
        </w:rPr>
        <w:t xml:space="preserve">Artículos académicos </w:t>
      </w:r>
      <w:r>
        <w:rPr>
          <w:rFonts w:ascii="Arial" w:cs="Arial" w:eastAsia="Arial" w:hAnsi="Arial"/>
          <w:sz w:val="22"/>
          <w:szCs w:val="22"/>
        </w:rPr>
        <w:t xml:space="preserve">sobre la experiencia de integrar IA obligatoria en una clase de maestría.</w:t>
      </w:r>
    </w:p>
    <w:p>
      <w:pPr>
        <w:pBdr>
          <w:bottom w:val="single" w:color="AAAAAA" w:sz="2" w:space="4"/>
        </w:pBdr>
        <w:spacing w:after="120" w:before="120"/>
      </w:pPr>
      <w:r>
        <w:rPr>
          <w:rFonts w:ascii="Arial" w:cs="Arial" w:eastAsia="Arial" w:hAnsi="Arial"/>
          <w:sz w:val="22"/>
          <w:szCs w:val="22"/>
        </w:rPr>
        <w:t xml:space="preserve"/>
      </w:r>
    </w:p>
    <w:p>
      <w:pPr>
        <w:pStyle w:val="Heading2"/>
      </w:pPr>
      <w:r>
        <w:t xml:space="preserve">Referencias</w:t>
      </w:r>
    </w:p>
    <w:p>
      <w:pPr>
        <w:pStyle w:val="ListParagraph"/>
        <w:numPr>
          <w:ilvl w:val="0"/>
          <w:numId w:val="3"/>
        </w:numPr>
        <w:spacing w:after="60" w:before="60" w:line="280" w:lineRule="auto"/>
      </w:pPr>
      <w:r>
        <w:rPr>
          <w:rFonts w:ascii="Arial" w:cs="Arial" w:eastAsia="Arial" w:hAnsi="Arial"/>
          <w:sz w:val="22"/>
          <w:szCs w:val="22"/>
        </w:rPr>
        <w:t xml:space="preserve">Bender, E.M., Gebru, T., et al. (2021). "On the Dangers of Stochastic Parrots." </w:t>
      </w:r>
      <w:r>
        <w:rPr>
          <w:rFonts w:ascii="Arial" w:cs="Arial" w:eastAsia="Arial" w:hAnsi="Arial"/>
          <w:i/>
          <w:iCs/>
          <w:sz w:val="22"/>
          <w:szCs w:val="22"/>
        </w:rPr>
        <w:t xml:space="preserve">FAccT 2021</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Dreyfus, H. &amp; Dreyfus, S. (1986). </w:t>
      </w:r>
      <w:r>
        <w:rPr>
          <w:rFonts w:ascii="Arial" w:cs="Arial" w:eastAsia="Arial" w:hAnsi="Arial"/>
          <w:i/>
          <w:iCs/>
          <w:sz w:val="22"/>
          <w:szCs w:val="22"/>
        </w:rPr>
        <w:t xml:space="preserve">Mind over Machine</w:t>
      </w:r>
      <w:r>
        <w:rPr>
          <w:rFonts w:ascii="Arial" w:cs="Arial" w:eastAsia="Arial" w:hAnsi="Arial"/>
          <w:sz w:val="22"/>
          <w:szCs w:val="22"/>
        </w:rPr>
        <w:t xml:space="preserve">. Free Press.</w:t>
      </w:r>
    </w:p>
    <w:p>
      <w:pPr>
        <w:pStyle w:val="ListParagraph"/>
        <w:numPr>
          <w:ilvl w:val="0"/>
          <w:numId w:val="3"/>
        </w:numPr>
        <w:spacing w:after="60" w:before="60" w:line="280" w:lineRule="auto"/>
      </w:pPr>
      <w:r>
        <w:rPr>
          <w:rFonts w:ascii="Arial" w:cs="Arial" w:eastAsia="Arial" w:hAnsi="Arial"/>
          <w:sz w:val="22"/>
          <w:szCs w:val="22"/>
        </w:rPr>
        <w:t xml:space="preserve">Floridi, L. (2023). "AI as Agency Without Intelligence." </w:t>
      </w:r>
      <w:r>
        <w:rPr>
          <w:rFonts w:ascii="Arial" w:cs="Arial" w:eastAsia="Arial" w:hAnsi="Arial"/>
          <w:i/>
          <w:iCs/>
          <w:sz w:val="22"/>
          <w:szCs w:val="22"/>
        </w:rPr>
        <w:t xml:space="preserve">Philosophy &amp; Technology</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Frankfurt, H. (2005). </w:t>
      </w:r>
      <w:r>
        <w:rPr>
          <w:rFonts w:ascii="Arial" w:cs="Arial" w:eastAsia="Arial" w:hAnsi="Arial"/>
          <w:i/>
          <w:iCs/>
          <w:sz w:val="22"/>
          <w:szCs w:val="22"/>
        </w:rPr>
        <w:t xml:space="preserve">On Bullshit</w:t>
      </w:r>
      <w:r>
        <w:rPr>
          <w:rFonts w:ascii="Arial" w:cs="Arial" w:eastAsia="Arial" w:hAnsi="Arial"/>
          <w:sz w:val="22"/>
          <w:szCs w:val="22"/>
        </w:rPr>
        <w:t xml:space="preserve">. Princeton University Press.</w:t>
      </w:r>
    </w:p>
    <w:p>
      <w:pPr>
        <w:pStyle w:val="ListParagraph"/>
        <w:numPr>
          <w:ilvl w:val="0"/>
          <w:numId w:val="3"/>
        </w:numPr>
        <w:spacing w:after="60" w:before="60" w:line="280" w:lineRule="auto"/>
      </w:pPr>
      <w:r>
        <w:rPr>
          <w:rFonts w:ascii="Arial" w:cs="Arial" w:eastAsia="Arial" w:hAnsi="Arial"/>
          <w:sz w:val="22"/>
          <w:szCs w:val="22"/>
        </w:rPr>
        <w:t xml:space="preserve">Harari, Y.N. (2016). </w:t>
      </w:r>
      <w:r>
        <w:rPr>
          <w:rFonts w:ascii="Arial" w:cs="Arial" w:eastAsia="Arial" w:hAnsi="Arial"/>
          <w:i/>
          <w:iCs/>
          <w:sz w:val="22"/>
          <w:szCs w:val="22"/>
        </w:rPr>
        <w:t xml:space="preserve">Homo Deus: A Brief History of Tomorrow</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Harari, Y.N. (2018). </w:t>
      </w:r>
      <w:r>
        <w:rPr>
          <w:rFonts w:ascii="Arial" w:cs="Arial" w:eastAsia="Arial" w:hAnsi="Arial"/>
          <w:i/>
          <w:iCs/>
          <w:sz w:val="22"/>
          <w:szCs w:val="22"/>
        </w:rPr>
        <w:t xml:space="preserve">21 Lessons for the 21st Century</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Harari, Y.N. (2024). </w:t>
      </w:r>
      <w:r>
        <w:rPr>
          <w:rFonts w:ascii="Arial" w:cs="Arial" w:eastAsia="Arial" w:hAnsi="Arial"/>
          <w:i/>
          <w:iCs/>
          <w:sz w:val="22"/>
          <w:szCs w:val="22"/>
        </w:rPr>
        <w:t xml:space="preserve">Nexus: A Brief History of Information Networks</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Hicks, M.T., Humphries, J., &amp; Slater, J. (2024). "ChatGPT is Bullshit." </w:t>
      </w:r>
      <w:r>
        <w:rPr>
          <w:rFonts w:ascii="Arial" w:cs="Arial" w:eastAsia="Arial" w:hAnsi="Arial"/>
          <w:i/>
          <w:iCs/>
          <w:sz w:val="22"/>
          <w:szCs w:val="22"/>
        </w:rPr>
        <w:t xml:space="preserve">Ethics and Information Technology</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Mollick, E. (2024). </w:t>
      </w:r>
      <w:r>
        <w:rPr>
          <w:rFonts w:ascii="Arial" w:cs="Arial" w:eastAsia="Arial" w:hAnsi="Arial"/>
          <w:i/>
          <w:iCs/>
          <w:sz w:val="22"/>
          <w:szCs w:val="22"/>
        </w:rPr>
        <w:t xml:space="preserve">Co-Intelligence: Living and Working with AI</w:t>
      </w:r>
      <w:r>
        <w:rPr>
          <w:rFonts w:ascii="Arial" w:cs="Arial" w:eastAsia="Arial" w:hAnsi="Arial"/>
          <w:sz w:val="22"/>
          <w:szCs w:val="22"/>
        </w:rPr>
        <w:t xml:space="preserve">. Portfolio/Penguin.</w:t>
      </w:r>
    </w:p>
    <w:p>
      <w:pPr>
        <w:pStyle w:val="ListParagraph"/>
        <w:numPr>
          <w:ilvl w:val="0"/>
          <w:numId w:val="3"/>
        </w:numPr>
        <w:spacing w:after="60" w:before="60" w:line="280" w:lineRule="auto"/>
      </w:pPr>
      <w:r>
        <w:rPr>
          <w:rFonts w:ascii="Arial" w:cs="Arial" w:eastAsia="Arial" w:hAnsi="Arial"/>
          <w:sz w:val="22"/>
          <w:szCs w:val="22"/>
        </w:rPr>
        <w:t xml:space="preserve">Olsen, D. (2015). </w:t>
      </w:r>
      <w:r>
        <w:rPr>
          <w:rFonts w:ascii="Arial" w:cs="Arial" w:eastAsia="Arial" w:hAnsi="Arial"/>
          <w:i/>
          <w:iCs/>
          <w:sz w:val="22"/>
          <w:szCs w:val="22"/>
        </w:rPr>
        <w:t xml:space="preserve">The Lean Product Playbook</w:t>
      </w:r>
      <w:r>
        <w:rPr>
          <w:rFonts w:ascii="Arial" w:cs="Arial" w:eastAsia="Arial" w:hAnsi="Arial"/>
          <w:sz w:val="22"/>
          <w:szCs w:val="22"/>
        </w:rPr>
        <w:t xml:space="preserve">. Wiley.</w:t>
      </w:r>
    </w:p>
    <w:p>
      <w:pPr>
        <w:pStyle w:val="ListParagraph"/>
        <w:numPr>
          <w:ilvl w:val="0"/>
          <w:numId w:val="3"/>
        </w:numPr>
        <w:spacing w:after="60" w:before="60" w:line="280" w:lineRule="auto"/>
      </w:pPr>
      <w:r>
        <w:rPr>
          <w:rFonts w:ascii="Arial" w:cs="Arial" w:eastAsia="Arial" w:hAnsi="Arial"/>
          <w:sz w:val="22"/>
          <w:szCs w:val="22"/>
        </w:rPr>
        <w:t xml:space="preserve">Parasuraman, R. &amp; Riley, V. (1997). "Humans and Automation." </w:t>
      </w:r>
      <w:r>
        <w:rPr>
          <w:rFonts w:ascii="Arial" w:cs="Arial" w:eastAsia="Arial" w:hAnsi="Arial"/>
          <w:i/>
          <w:iCs/>
          <w:sz w:val="22"/>
          <w:szCs w:val="22"/>
        </w:rPr>
        <w:t xml:space="preserve">Human Factors</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Perkins, D. (1998). "What is Understanding?" en Wiske (Ed.), </w:t>
      </w:r>
      <w:r>
        <w:rPr>
          <w:rFonts w:ascii="Arial" w:cs="Arial" w:eastAsia="Arial" w:hAnsi="Arial"/>
          <w:i/>
          <w:iCs/>
          <w:sz w:val="22"/>
          <w:szCs w:val="22"/>
        </w:rPr>
        <w:t xml:space="preserve">Teaching for Understanding</w:t>
      </w:r>
      <w:r>
        <w:rPr>
          <w:rFonts w:ascii="Arial" w:cs="Arial" w:eastAsia="Arial" w:hAnsi="Arial"/>
          <w:sz w:val="22"/>
          <w:szCs w:val="22"/>
        </w:rPr>
        <w:t xml:space="preserve">. Jossey-Bass.</w:t>
      </w:r>
    </w:p>
    <w:p>
      <w:pPr>
        <w:pStyle w:val="ListParagraph"/>
        <w:numPr>
          <w:ilvl w:val="0"/>
          <w:numId w:val="3"/>
        </w:numPr>
        <w:spacing w:after="60" w:before="60" w:line="280" w:lineRule="auto"/>
      </w:pPr>
      <w:r>
        <w:rPr>
          <w:rFonts w:ascii="Arial" w:cs="Arial" w:eastAsia="Arial" w:hAnsi="Arial"/>
          <w:sz w:val="22"/>
          <w:szCs w:val="22"/>
        </w:rPr>
        <w:t xml:space="preserve">Shanahan, M. (2024). "Talking About Large Language Models." </w:t>
      </w:r>
      <w:r>
        <w:rPr>
          <w:rFonts w:ascii="Arial" w:cs="Arial" w:eastAsia="Arial" w:hAnsi="Arial"/>
          <w:i/>
          <w:iCs/>
          <w:sz w:val="22"/>
          <w:szCs w:val="22"/>
        </w:rPr>
        <w:t xml:space="preserve">Communications of the ACM</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Slamecka, N.J. &amp; Graf, P. (1978). "The Generation Effect." </w:t>
      </w:r>
      <w:r>
        <w:rPr>
          <w:rFonts w:ascii="Arial" w:cs="Arial" w:eastAsia="Arial" w:hAnsi="Arial"/>
          <w:i/>
          <w:iCs/>
          <w:sz w:val="22"/>
          <w:szCs w:val="22"/>
        </w:rPr>
        <w:t xml:space="preserve">Journal of Experimental Psychology</w:t>
      </w:r>
      <w:r>
        <w:rPr>
          <w:rFonts w:ascii="Arial" w:cs="Arial" w:eastAsia="Arial" w:hAnsi="Arial"/>
          <w:sz w:val="22"/>
          <w:szCs w:val="22"/>
        </w:rPr>
        <w:t xml:space="preserve">.</w:t>
      </w:r>
    </w:p>
    <w:p>
      <w:pPr>
        <w:pStyle w:val="ListParagraph"/>
        <w:numPr>
          <w:ilvl w:val="0"/>
          <w:numId w:val="3"/>
        </w:numPr>
        <w:spacing w:after="60" w:before="60" w:line="280" w:lineRule="auto"/>
      </w:pPr>
      <w:r>
        <w:rPr>
          <w:rFonts w:ascii="Arial" w:cs="Arial" w:eastAsia="Arial" w:hAnsi="Arial"/>
          <w:sz w:val="22"/>
          <w:szCs w:val="22"/>
        </w:rPr>
        <w:t xml:space="preserve">Torres, T. (2021). </w:t>
      </w:r>
      <w:r>
        <w:rPr>
          <w:rFonts w:ascii="Arial" w:cs="Arial" w:eastAsia="Arial" w:hAnsi="Arial"/>
          <w:i/>
          <w:iCs/>
          <w:sz w:val="22"/>
          <w:szCs w:val="22"/>
        </w:rPr>
        <w:t xml:space="preserve">Continuous Discovery Habits</w:t>
      </w:r>
      <w:r>
        <w:rPr>
          <w:rFonts w:ascii="Arial" w:cs="Arial" w:eastAsia="Arial" w:hAnsi="Arial"/>
          <w:sz w:val="22"/>
          <w:szCs w:val="22"/>
        </w:rPr>
        <w:t xml:space="preserve">. Product Talk.</w:t>
      </w:r>
    </w:p>
    <w:p>
      <w:pPr>
        <w:pStyle w:val="ListParagraph"/>
        <w:numPr>
          <w:ilvl w:val="0"/>
          <w:numId w:val="3"/>
        </w:numPr>
        <w:spacing w:after="60" w:before="60" w:line="280" w:lineRule="auto"/>
      </w:pPr>
      <w:r>
        <w:rPr>
          <w:rFonts w:ascii="Arial" w:cs="Arial" w:eastAsia="Arial" w:hAnsi="Arial"/>
          <w:sz w:val="22"/>
          <w:szCs w:val="22"/>
        </w:rPr>
        <w:t xml:space="preserve">UNESCO (2023). "Guidance for Generative AI in Education and Research."</w:t>
      </w:r>
    </w:p>
    <w:p>
      <w:pPr>
        <w:pStyle w:val="ListParagraph"/>
        <w:numPr>
          <w:ilvl w:val="0"/>
          <w:numId w:val="3"/>
        </w:numPr>
        <w:spacing w:after="60" w:before="60" w:line="280" w:lineRule="auto"/>
      </w:pPr>
      <w:r>
        <w:rPr>
          <w:rFonts w:ascii="Arial" w:cs="Arial" w:eastAsia="Arial" w:hAnsi="Arial"/>
          <w:sz w:val="22"/>
          <w:szCs w:val="22"/>
        </w:rPr>
        <w:t xml:space="preserve">Wiske, M.S. (Ed.). (1998). </w:t>
      </w:r>
      <w:r>
        <w:rPr>
          <w:rFonts w:ascii="Arial" w:cs="Arial" w:eastAsia="Arial" w:hAnsi="Arial"/>
          <w:i/>
          <w:iCs/>
          <w:sz w:val="22"/>
          <w:szCs w:val="22"/>
        </w:rPr>
        <w:t xml:space="preserve">Teaching for Understanding: Linking Research with Practice</w:t>
      </w:r>
      <w:r>
        <w:rPr>
          <w:rFonts w:ascii="Arial" w:cs="Arial" w:eastAsia="Arial" w:hAnsi="Arial"/>
          <w:sz w:val="22"/>
          <w:szCs w:val="22"/>
        </w:rPr>
        <w:t xml:space="preserve">. Jossey-Bass.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El rol de la IA en la enseñanza</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3"/>
      <w:szCs w:val="23"/>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2026-03-26T13:44:33.125Z</dcterms:created>
  <dcterms:modified xsi:type="dcterms:W3CDTF">2026-03-26T13:44:33.126Z</dcterms:modified>
</cp:coreProperties>
</file>

<file path=docProps/custom.xml><?xml version="1.0" encoding="utf-8"?>
<Properties xmlns="http://schemas.openxmlformats.org/officeDocument/2006/custom-properties" xmlns:vt="http://schemas.openxmlformats.org/officeDocument/2006/docPropsVTypes"/>
</file>