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Marco estratégico</w:t>
      </w:r>
    </w:p>
    <w:p>
      <w:pPr>
        <w:pStyle w:val="Heading2"/>
      </w:pPr>
      <w:r>
        <w:t xml:space="preserve">Cómo leer los contextos del proyecto</w:t>
      </w:r>
    </w:p>
    <w:p>
      <w:pPr>
        <w:spacing w:after="0" w:before="60"/>
      </w:pPr>
      <w:r>
        <w:t xml:space="preserve"/>
      </w:r>
    </w:p>
    <w:p>
      <w:pPr>
        <w:pStyle w:val="Quote"/>
      </w:pPr>
      <w:r>
        <w:rPr>
          <w:rFonts w:ascii="Arial" w:cs="Arial" w:eastAsia="Arial" w:hAnsi="Arial"/>
          <w:i/>
          <w:iCs/>
          <w:color w:val="555555"/>
          <w:sz w:val="21"/>
          <w:szCs w:val="21"/>
        </w:rPr>
        <w:t xml:space="preserve">Lee este documento antes de abrir el brief de tu empresa. No es largo. Pero sin él, el brief no va a tener el peso que debe tener.</w:t>
      </w:r>
    </w:p>
    <w:p>
      <w:pPr>
        <w:pBdr>
          <w:bottom w:val="single" w:color="AAAAAA" w:sz="2" w:space="4"/>
        </w:pBdr>
        <w:spacing w:after="120" w:before="120"/>
      </w:pPr>
      <w:r>
        <w:t xml:space="preserve"/>
      </w:r>
    </w:p>
    <w:p>
      <w:pPr>
        <w:pStyle w:val="Heading2"/>
      </w:pPr>
      <w:r>
        <w:t xml:space="preserve">El problema con la palabra "estrategia"</w:t>
      </w:r>
    </w:p>
    <w:p>
      <w:pPr>
        <w:spacing w:after="80" w:before="80" w:line="280" w:lineRule="auto"/>
      </w:pPr>
      <w:r>
        <w:rPr>
          <w:rFonts w:ascii="Arial" w:cs="Arial" w:eastAsia="Arial" w:hAnsi="Arial"/>
          <w:sz w:val="22"/>
          <w:szCs w:val="22"/>
        </w:rPr>
        <w:t xml:space="preserve">En el mundo corporativo, la palabra "estrategia" se usa para casi todo. Un deck de PowerPoint con objetivos ambiciosos se llama estrategia. Un listado de iniciativas prioritarias se llama estrategia. Una visión inspiradora se llama estrategia.</w:t>
      </w:r>
    </w:p>
    <w:p>
      <w:pPr>
        <w:spacing w:after="80" w:before="80" w:line="280" w:lineRule="auto"/>
      </w:pPr>
      <w:r>
        <w:rPr>
          <w:rFonts w:ascii="Arial" w:cs="Arial" w:eastAsia="Arial" w:hAnsi="Arial"/>
          <w:sz w:val="22"/>
          <w:szCs w:val="22"/>
        </w:rPr>
        <w:t xml:space="preserve">Richard Rumelt, profesor de estrategia en UCLA y uno de los pensadores más rigurosos del campo, tiene un nombre para todo eso: </w:t>
      </w:r>
      <w:r>
        <w:rPr>
          <w:rFonts w:ascii="Arial" w:cs="Arial" w:eastAsia="Arial" w:hAnsi="Arial"/>
          <w:b/>
          <w:bCs/>
          <w:sz w:val="22"/>
          <w:szCs w:val="22"/>
        </w:rPr>
        <w:t xml:space="preserve">mala estrategia</w:t>
      </w:r>
      <w:r>
        <w:rPr>
          <w:rFonts w:ascii="Arial" w:cs="Arial" w:eastAsia="Arial" w:hAnsi="Arial"/>
          <w:sz w:val="22"/>
          <w:szCs w:val="22"/>
        </w:rPr>
        <w:t xml:space="preserve">. Y su argumento es simple: una lista de metas no es una estrategia. Una visión no es una estrategia. Un presupuesto tampoco.</w:t>
      </w:r>
    </w:p>
    <w:p>
      <w:pPr>
        <w:spacing w:after="80" w:before="80" w:line="280" w:lineRule="auto"/>
      </w:pPr>
      <w:r>
        <w:rPr>
          <w:rFonts w:ascii="Arial" w:cs="Arial" w:eastAsia="Arial" w:hAnsi="Arial"/>
          <w:sz w:val="22"/>
          <w:szCs w:val="22"/>
        </w:rPr>
        <w:t xml:space="preserve">La buena estrategia, según Rumelt, siempre tiene tres componentes que él llama </w:t>
      </w:r>
      <w:r>
        <w:rPr>
          <w:rFonts w:ascii="Arial" w:cs="Arial" w:eastAsia="Arial" w:hAnsi="Arial"/>
          <w:b/>
          <w:bCs/>
          <w:sz w:val="22"/>
          <w:szCs w:val="22"/>
        </w:rPr>
        <w:t xml:space="preserve">el núcleo</w:t>
      </w:r>
      <w:r>
        <w:rPr>
          <w:rFonts w:ascii="Arial" w:cs="Arial" w:eastAsia="Arial" w:hAnsi="Arial"/>
          <w:sz w:val="22"/>
          <w:szCs w:val="22"/>
        </w:rPr>
        <w:t xml:space="preserve">:</w:t>
      </w:r>
    </w:p>
    <w:p>
      <w:pPr>
        <w:pStyle w:val="ListParagraph"/>
        <w:numPr>
          <w:ilvl w:val="0"/>
          <w:numId w:val="2"/>
        </w:numPr>
        <w:spacing w:after="60" w:before="60" w:line="280" w:lineRule="auto"/>
      </w:pPr>
      <w:r>
        <w:rPr>
          <w:rFonts w:ascii="Arial" w:cs="Arial" w:eastAsia="Arial" w:hAnsi="Arial"/>
          <w:b/>
          <w:bCs/>
          <w:sz w:val="22"/>
          <w:szCs w:val="22"/>
        </w:rPr>
        <w:t xml:space="preserve">Un diagnóstico</w:t>
      </w:r>
      <w:r>
        <w:rPr>
          <w:rFonts w:ascii="Arial" w:cs="Arial" w:eastAsia="Arial" w:hAnsi="Arial"/>
          <w:sz w:val="22"/>
          <w:szCs w:val="22"/>
        </w:rPr>
        <w:t xml:space="preserve">: una lectura honesta de cuál es el reto real. No el síntoma, el problema de fondo. No "queremos crecer" sino "el mercado se está fragmentando y nuestro modelo de distribución no sirve para llegar a los nuevos segmentos".</w:t>
      </w:r>
    </w:p>
    <w:p>
      <w:pPr>
        <w:pStyle w:val="ListParagraph"/>
        <w:numPr>
          <w:ilvl w:val="0"/>
          <w:numId w:val="2"/>
        </w:numPr>
        <w:spacing w:after="60" w:before="60" w:line="280" w:lineRule="auto"/>
      </w:pPr>
      <w:r>
        <w:rPr>
          <w:rFonts w:ascii="Arial" w:cs="Arial" w:eastAsia="Arial" w:hAnsi="Arial"/>
          <w:b/>
          <w:bCs/>
          <w:sz w:val="22"/>
          <w:szCs w:val="22"/>
        </w:rPr>
        <w:t xml:space="preserve">Una política orientadora</w:t>
      </w:r>
      <w:r>
        <w:rPr>
          <w:rFonts w:ascii="Arial" w:cs="Arial" w:eastAsia="Arial" w:hAnsi="Arial"/>
          <w:sz w:val="22"/>
          <w:szCs w:val="22"/>
        </w:rPr>
        <w:t xml:space="preserve">: una decisión sobre cómo vas a enfrentar ese reto. Qué vas a hacer </w:t>
      </w:r>
      <w:r>
        <w:rPr>
          <w:rFonts w:ascii="Arial" w:cs="Arial" w:eastAsia="Arial" w:hAnsi="Arial"/>
          <w:i/>
          <w:iCs/>
          <w:sz w:val="22"/>
          <w:szCs w:val="22"/>
        </w:rPr>
        <w:t xml:space="preserve">y qué no vas a hacer</w:t>
      </w:r>
      <w:r>
        <w:rPr>
          <w:rFonts w:ascii="Arial" w:cs="Arial" w:eastAsia="Arial" w:hAnsi="Arial"/>
          <w:sz w:val="22"/>
          <w:szCs w:val="22"/>
        </w:rPr>
        <w:t xml:space="preserve">. La claridad sobre lo segundo es tan importante como la primera.</w:t>
      </w:r>
    </w:p>
    <w:p>
      <w:pPr>
        <w:pStyle w:val="ListParagraph"/>
        <w:numPr>
          <w:ilvl w:val="0"/>
          <w:numId w:val="2"/>
        </w:numPr>
        <w:spacing w:after="60" w:before="60" w:line="280" w:lineRule="auto"/>
      </w:pPr>
      <w:r>
        <w:rPr>
          <w:rFonts w:ascii="Arial" w:cs="Arial" w:eastAsia="Arial" w:hAnsi="Arial"/>
          <w:b/>
          <w:bCs/>
          <w:sz w:val="22"/>
          <w:szCs w:val="22"/>
        </w:rPr>
        <w:t xml:space="preserve">Acciones coherentes</w:t>
      </w:r>
      <w:r>
        <w:rPr>
          <w:rFonts w:ascii="Arial" w:cs="Arial" w:eastAsia="Arial" w:hAnsi="Arial"/>
          <w:sz w:val="22"/>
          <w:szCs w:val="22"/>
        </w:rPr>
        <w:t xml:space="preserve">: los movimientos concretos, los recursos comprometidos, las iniciativas que fluyen lógicamente de la política. Si las acciones no derivan del diagnóstico, no hay estrategia — hay actividad.</w:t>
      </w:r>
    </w:p>
    <w:p>
      <w:pPr>
        <w:spacing w:after="80" w:before="80" w:line="280" w:lineRule="auto"/>
      </w:pPr>
      <w:r>
        <w:rPr>
          <w:rFonts w:ascii="Arial" w:cs="Arial" w:eastAsia="Arial" w:hAnsi="Arial"/>
          <w:sz w:val="22"/>
          <w:szCs w:val="22"/>
        </w:rPr>
        <w:t xml:space="preserve">Pero hay algo más en Rumelt que resulta particularmente relevante para este curso: su concepto de ventaja real.</w:t>
      </w:r>
    </w:p>
    <w:p>
      <w:pPr>
        <w:pBdr>
          <w:bottom w:val="single" w:color="AAAAAA" w:sz="2" w:space="4"/>
        </w:pBdr>
        <w:spacing w:after="120" w:before="120"/>
      </w:pPr>
      <w:r>
        <w:t xml:space="preserve"/>
      </w:r>
    </w:p>
    <w:p>
      <w:pPr>
        <w:pStyle w:val="Heading2"/>
      </w:pPr>
      <w:r>
        <w:t xml:space="preserve">La ventaja real: la pregunta que pocas empresas se hacen honestamente</w:t>
      </w:r>
    </w:p>
    <w:p>
      <w:pPr>
        <w:spacing w:after="80" w:before="80" w:line="280" w:lineRule="auto"/>
      </w:pPr>
      <w:r>
        <w:rPr>
          <w:rFonts w:ascii="Arial" w:cs="Arial" w:eastAsia="Arial" w:hAnsi="Arial"/>
          <w:sz w:val="22"/>
          <w:szCs w:val="22"/>
        </w:rPr>
        <w:t xml:space="preserve">Rumelt plantea que la buena estrategia siempre parte de identificar aquello en lo que una organización es genuinamente mejor que sus competidores — no en el papel, no en el discurso, sino en la práctica. Esa ventaja puede ser tecnológica, operacional, relacional, de datos, de marca, o de cualquier otro tipo. Pero tiene que ser real y tiene que ser difícil de replicar.</w:t>
      </w:r>
    </w:p>
    <w:p>
      <w:pPr>
        <w:spacing w:after="80" w:before="80" w:line="280" w:lineRule="auto"/>
      </w:pPr>
      <w:r>
        <w:rPr>
          <w:rFonts w:ascii="Arial" w:cs="Arial" w:eastAsia="Arial" w:hAnsi="Arial"/>
          <w:sz w:val="22"/>
          <w:szCs w:val="22"/>
        </w:rPr>
        <w:t xml:space="preserve">La pregunta es: </w:t>
      </w:r>
      <w:r>
        <w:rPr>
          <w:rFonts w:ascii="Arial" w:cs="Arial" w:eastAsia="Arial" w:hAnsi="Arial"/>
          <w:b/>
          <w:bCs/>
          <w:sz w:val="22"/>
          <w:szCs w:val="22"/>
        </w:rPr>
        <w:t xml:space="preserve">¿en qué somos genuinamente mejores, y dónde más podría ser enormemente valioso eso?</w:t>
      </w:r>
    </w:p>
    <w:p>
      <w:pPr>
        <w:spacing w:after="80" w:before="80" w:line="280" w:lineRule="auto"/>
      </w:pPr>
      <w:r>
        <w:rPr>
          <w:rFonts w:ascii="Arial" w:cs="Arial" w:eastAsia="Arial" w:hAnsi="Arial"/>
          <w:sz w:val="22"/>
          <w:szCs w:val="22"/>
        </w:rPr>
        <w:t xml:space="preserve">Esa segunda parte de la pregunta es la que abre la puerta a los pivotes estratégicos más interesantes de la historia reciente. Amazon no era una librería — era una empresa de logística y datos que vendía libros. Cuando desplegó esa ventaja en otros productos, nació el Amazon que conocemos hoy. Uber no inventó el taxi — tenía una capacidad de matching en tiempo real y una infraestructura de confianza entre extraños. Cuando eso se aplicó a la comida, nació Uber Eats.</w:t>
      </w:r>
    </w:p>
    <w:p>
      <w:pPr>
        <w:spacing w:after="80" w:before="80" w:line="280" w:lineRule="auto"/>
      </w:pPr>
      <w:r>
        <w:rPr>
          <w:rFonts w:ascii="Arial" w:cs="Arial" w:eastAsia="Arial" w:hAnsi="Arial"/>
          <w:sz w:val="22"/>
          <w:szCs w:val="22"/>
        </w:rPr>
        <w:t xml:space="preserve">La diferencia entre un </w:t>
      </w:r>
      <w:r>
        <w:rPr>
          <w:rFonts w:ascii="Arial" w:cs="Arial" w:eastAsia="Arial" w:hAnsi="Arial"/>
          <w:b/>
          <w:bCs/>
          <w:sz w:val="22"/>
          <w:szCs w:val="22"/>
        </w:rPr>
        <w:t xml:space="preserve">buen pivote</w:t>
      </w:r>
      <w:r>
        <w:rPr>
          <w:rFonts w:ascii="Arial" w:cs="Arial" w:eastAsia="Arial" w:hAnsi="Arial"/>
          <w:sz w:val="22"/>
          <w:szCs w:val="22"/>
        </w:rPr>
        <w:t xml:space="preserve"> y un </w:t>
      </w:r>
      <w:r>
        <w:rPr>
          <w:rFonts w:ascii="Arial" w:cs="Arial" w:eastAsia="Arial" w:hAnsi="Arial"/>
          <w:b/>
          <w:bCs/>
          <w:sz w:val="22"/>
          <w:szCs w:val="22"/>
        </w:rPr>
        <w:t xml:space="preserve">mal pivote</w:t>
      </w:r>
      <w:r>
        <w:rPr>
          <w:rFonts w:ascii="Arial" w:cs="Arial" w:eastAsia="Arial" w:hAnsi="Arial"/>
          <w:sz w:val="22"/>
          <w:szCs w:val="22"/>
        </w:rPr>
        <w:t xml:space="preserve"> es exactamente esa: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Mal pivote</w:t>
            </w:r>
          </w:p>
        </w:tc>
        <w:tc>
          <w:tcPr>
            <w:tcW w:type="dxa" w:w="468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Buen pivote</w:t>
            </w:r>
          </w:p>
        </w:tc>
      </w:tr>
      <w:tr>
        <w:tc>
          <w:tcPr>
            <w:tcW w:type="dxa" w:w="4680"/>
            <w:tcBorders>
              <w:top w:val="single" w:color="AAAAAA" w:sz="1"/>
              <w:left w:val="single" w:color="AAAAAA" w:sz="1"/>
              <w:bottom w:val="single" w:color="AAAAAA" w:sz="1"/>
              <w:right w:val="single" w:color="AAAAAA" w:sz="1"/>
            </w:tcBorders>
            <w:shd w:fill="EEF2F8" w:val="clear"/>
            <w:tcMar>
              <w:top w:type="dxa" w:w="80"/>
              <w:left w:type="dxa" w:w="150"/>
              <w:bottom w:type="dxa" w:w="80"/>
              <w:right w:type="dxa" w:w="150"/>
            </w:tcMar>
          </w:tcPr>
          <w:p>
            <w:r>
              <w:rPr>
                <w:rFonts w:ascii="Arial" w:cs="Arial" w:eastAsia="Arial" w:hAnsi="Arial"/>
                <w:sz w:val="21"/>
                <w:szCs w:val="21"/>
              </w:rPr>
              <w:t xml:space="preserve">"Vamos a entrar al mercado X porque es grande"</w:t>
            </w:r>
          </w:p>
        </w:tc>
        <w:tc>
          <w:tcPr>
            <w:tcW w:type="dxa" w:w="4680"/>
            <w:tcBorders>
              <w:top w:val="single" w:color="AAAAAA" w:sz="1"/>
              <w:left w:val="single" w:color="AAAAAA" w:sz="1"/>
              <w:bottom w:val="single" w:color="AAAAAA" w:sz="1"/>
              <w:right w:val="single" w:color="AAAAAA" w:sz="1"/>
            </w:tcBorders>
            <w:shd w:fill="EEF2F8" w:val="clear"/>
            <w:tcMar>
              <w:top w:type="dxa" w:w="80"/>
              <w:left w:type="dxa" w:w="150"/>
              <w:bottom w:type="dxa" w:w="80"/>
              <w:right w:type="dxa" w:w="150"/>
            </w:tcMar>
          </w:tcPr>
          <w:p>
            <w:r>
              <w:rPr>
                <w:rFonts w:ascii="Arial" w:cs="Arial" w:eastAsia="Arial" w:hAnsi="Arial"/>
                <w:sz w:val="21"/>
                <w:szCs w:val="21"/>
              </w:rPr>
              <w:t xml:space="preserve">"Nuestra ventaja en Y es enormemente relevante para el mercado X"</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1"/>
                <w:szCs w:val="21"/>
              </w:rPr>
              <w:t xml:space="preserve">La empresa abandona lo que la hace especial</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1"/>
                <w:szCs w:val="21"/>
              </w:rPr>
              <w:t xml:space="preserve">La empresa despliega lo que la hace especial en un nuevo territorio</w:t>
            </w:r>
          </w:p>
        </w:tc>
      </w:tr>
      <w:tr>
        <w:tc>
          <w:tcPr>
            <w:tcW w:type="dxa" w:w="4680"/>
            <w:tcBorders>
              <w:top w:val="single" w:color="AAAAAA" w:sz="1"/>
              <w:left w:val="single" w:color="AAAAAA" w:sz="1"/>
              <w:bottom w:val="single" w:color="AAAAAA" w:sz="1"/>
              <w:right w:val="single" w:color="AAAAAA" w:sz="1"/>
            </w:tcBorders>
            <w:shd w:fill="EEF2F8" w:val="clear"/>
            <w:tcMar>
              <w:top w:type="dxa" w:w="80"/>
              <w:left w:type="dxa" w:w="150"/>
              <w:bottom w:type="dxa" w:w="80"/>
              <w:right w:type="dxa" w:w="150"/>
            </w:tcMar>
          </w:tcPr>
          <w:p>
            <w:r>
              <w:rPr>
                <w:rFonts w:ascii="Arial" w:cs="Arial" w:eastAsia="Arial" w:hAnsi="Arial"/>
                <w:sz w:val="21"/>
                <w:szCs w:val="21"/>
              </w:rPr>
              <w:t xml:space="preserve">El resultado es genérico — cualquiera podría haberlo hecho</w:t>
            </w:r>
          </w:p>
        </w:tc>
        <w:tc>
          <w:tcPr>
            <w:tcW w:type="dxa" w:w="4680"/>
            <w:tcBorders>
              <w:top w:val="single" w:color="AAAAAA" w:sz="1"/>
              <w:left w:val="single" w:color="AAAAAA" w:sz="1"/>
              <w:bottom w:val="single" w:color="AAAAAA" w:sz="1"/>
              <w:right w:val="single" w:color="AAAAAA" w:sz="1"/>
            </w:tcBorders>
            <w:shd w:fill="EEF2F8" w:val="clear"/>
            <w:tcMar>
              <w:top w:type="dxa" w:w="80"/>
              <w:left w:type="dxa" w:w="150"/>
              <w:bottom w:type="dxa" w:w="80"/>
              <w:right w:type="dxa" w:w="150"/>
            </w:tcMar>
          </w:tcPr>
          <w:p>
            <w:r>
              <w:rPr>
                <w:rFonts w:ascii="Arial" w:cs="Arial" w:eastAsia="Arial" w:hAnsi="Arial"/>
                <w:sz w:val="21"/>
                <w:szCs w:val="21"/>
              </w:rPr>
              <w:t xml:space="preserve">El resultado es difícil de replicar porque parte de algo que ya existe</w:t>
            </w:r>
          </w:p>
        </w:tc>
      </w:tr>
    </w:tbl>
    <w:p>
      <w:pPr>
        <w:spacing w:after="0" w:before="120"/>
      </w:pPr>
      <w:r>
        <w:t xml:space="preserve"/>
      </w:r>
    </w:p>
    <w:p>
      <w:pPr>
        <w:pBdr>
          <w:bottom w:val="single" w:color="AAAAAA" w:sz="2" w:space="4"/>
        </w:pBdr>
        <w:spacing w:after="120" w:before="120"/>
      </w:pPr>
      <w:r>
        <w:t xml:space="preserve"/>
      </w:r>
    </w:p>
    <w:p>
      <w:pPr>
        <w:pStyle w:val="Heading2"/>
      </w:pPr>
      <w:r>
        <w:t xml:space="preserve">Cómo leer tu brief</w:t>
      </w:r>
    </w:p>
    <w:p>
      <w:pPr>
        <w:spacing w:after="80" w:before="80" w:line="280" w:lineRule="auto"/>
      </w:pPr>
      <w:r>
        <w:rPr>
          <w:rFonts w:ascii="Arial" w:cs="Arial" w:eastAsia="Arial" w:hAnsi="Arial"/>
          <w:sz w:val="22"/>
          <w:szCs w:val="22"/>
        </w:rPr>
        <w:t xml:space="preserve">Cada equipo va a trabajar con el brief de una empresa específica. Ese brief tiene una estructura consistente:</w:t>
      </w:r>
    </w:p>
    <w:p>
      <w:pPr>
        <w:pStyle w:val="ListParagraph"/>
        <w:numPr>
          <w:ilvl w:val="0"/>
          <w:numId w:val="3"/>
        </w:numPr>
        <w:spacing w:after="60" w:before="60" w:line="280" w:lineRule="auto"/>
      </w:pPr>
      <w:r>
        <w:rPr>
          <w:rFonts w:ascii="Arial" w:cs="Arial" w:eastAsia="Arial" w:hAnsi="Arial"/>
          <w:b/>
          <w:bCs/>
          <w:sz w:val="22"/>
          <w:szCs w:val="22"/>
        </w:rPr>
        <w:t xml:space="preserve">La empresa hoy</w:t>
      </w:r>
      <w:r>
        <w:rPr>
          <w:rFonts w:ascii="Arial" w:cs="Arial" w:eastAsia="Arial" w:hAnsi="Arial"/>
          <w:sz w:val="22"/>
          <w:szCs w:val="22"/>
        </w:rPr>
        <w:t xml:space="preserve">: el contexto mínimo necesario para entender desde dónde parte.</w:t>
      </w:r>
    </w:p>
    <w:p>
      <w:pPr>
        <w:pStyle w:val="ListParagraph"/>
        <w:numPr>
          <w:ilvl w:val="0"/>
          <w:numId w:val="3"/>
        </w:numPr>
        <w:spacing w:after="60" w:before="60" w:line="280" w:lineRule="auto"/>
      </w:pPr>
      <w:r>
        <w:rPr>
          <w:rFonts w:ascii="Arial" w:cs="Arial" w:eastAsia="Arial" w:hAnsi="Arial"/>
          <w:b/>
          <w:bCs/>
          <w:sz w:val="22"/>
          <w:szCs w:val="22"/>
        </w:rPr>
        <w:t xml:space="preserve">La ventaja real</w:t>
      </w:r>
      <w:r>
        <w:rPr>
          <w:rFonts w:ascii="Arial" w:cs="Arial" w:eastAsia="Arial" w:hAnsi="Arial"/>
          <w:sz w:val="22"/>
          <w:szCs w:val="22"/>
        </w:rPr>
        <w:t xml:space="preserve">: lo que esa empresa tiene que nadie más tiene de la misma manera. Esto está explícito — no tienen que inferirlo.</w:t>
      </w:r>
    </w:p>
    <w:p>
      <w:pPr>
        <w:pStyle w:val="ListParagraph"/>
        <w:numPr>
          <w:ilvl w:val="0"/>
          <w:numId w:val="3"/>
        </w:numPr>
        <w:spacing w:after="60" w:before="60" w:line="280" w:lineRule="auto"/>
      </w:pPr>
      <w:r>
        <w:rPr>
          <w:rFonts w:ascii="Arial" w:cs="Arial" w:eastAsia="Arial" w:hAnsi="Arial"/>
          <w:b/>
          <w:bCs/>
          <w:sz w:val="22"/>
          <w:szCs w:val="22"/>
        </w:rPr>
        <w:t xml:space="preserve">La hipótesis</w:t>
      </w:r>
      <w:r>
        <w:rPr>
          <w:rFonts w:ascii="Arial" w:cs="Arial" w:eastAsia="Arial" w:hAnsi="Arial"/>
          <w:sz w:val="22"/>
          <w:szCs w:val="22"/>
        </w:rPr>
        <w:t xml:space="preserve">: una pregunta abierta sobre dónde podría generar nuevo valor esa ventaja. No es la respuesta — es el punto de partida.</w:t>
      </w:r>
    </w:p>
    <w:p>
      <w:pPr>
        <w:pStyle w:val="ListParagraph"/>
        <w:numPr>
          <w:ilvl w:val="0"/>
          <w:numId w:val="3"/>
        </w:numPr>
        <w:spacing w:after="60" w:before="60" w:line="280" w:lineRule="auto"/>
      </w:pPr>
      <w:r>
        <w:rPr>
          <w:rFonts w:ascii="Arial" w:cs="Arial" w:eastAsia="Arial" w:hAnsi="Arial"/>
          <w:b/>
          <w:bCs/>
          <w:sz w:val="22"/>
          <w:szCs w:val="22"/>
        </w:rPr>
        <w:t xml:space="preserve">Por qué este espacio es estratégicamente relevante</w:t>
      </w:r>
      <w:r>
        <w:rPr>
          <w:rFonts w:ascii="Arial" w:cs="Arial" w:eastAsia="Arial" w:hAnsi="Arial"/>
          <w:sz w:val="22"/>
          <w:szCs w:val="22"/>
        </w:rPr>
        <w:t xml:space="preserve">: la conexión con el marco de Rumelt. Diagnóstico y política orientadora están dados; las acciones coherentes las define la investigación.</w:t>
      </w:r>
    </w:p>
    <w:p>
      <w:pPr>
        <w:pStyle w:val="ListParagraph"/>
        <w:numPr>
          <w:ilvl w:val="0"/>
          <w:numId w:val="3"/>
        </w:numPr>
        <w:spacing w:after="60" w:before="60" w:line="280" w:lineRule="auto"/>
      </w:pPr>
      <w:r>
        <w:rPr>
          <w:rFonts w:ascii="Arial" w:cs="Arial" w:eastAsia="Arial" w:hAnsi="Arial"/>
          <w:b/>
          <w:bCs/>
          <w:sz w:val="22"/>
          <w:szCs w:val="22"/>
        </w:rPr>
        <w:t xml:space="preserve">La tensión</w:t>
      </w:r>
      <w:r>
        <w:rPr>
          <w:rFonts w:ascii="Arial" w:cs="Arial" w:eastAsia="Arial" w:hAnsi="Arial"/>
          <w:sz w:val="22"/>
          <w:szCs w:val="22"/>
        </w:rPr>
        <w:t xml:space="preserve">: las fuerzas en conflicto inherentes al espacio de oportunidad. Si no hubiera tensión, ya alguien lo habría resuelto.</w:t>
      </w:r>
    </w:p>
    <w:p>
      <w:pPr>
        <w:pStyle w:val="ListParagraph"/>
        <w:numPr>
          <w:ilvl w:val="0"/>
          <w:numId w:val="3"/>
        </w:numPr>
        <w:spacing w:after="60" w:before="60" w:line="280" w:lineRule="auto"/>
      </w:pPr>
      <w:r>
        <w:rPr>
          <w:rFonts w:ascii="Arial" w:cs="Arial" w:eastAsia="Arial" w:hAnsi="Arial"/>
          <w:b/>
          <w:bCs/>
          <w:sz w:val="22"/>
          <w:szCs w:val="22"/>
        </w:rPr>
        <w:t xml:space="preserve">La paradoja del usuario</w:t>
      </w:r>
      <w:r>
        <w:rPr>
          <w:rFonts w:ascii="Arial" w:cs="Arial" w:eastAsia="Arial" w:hAnsi="Arial"/>
          <w:sz w:val="22"/>
          <w:szCs w:val="22"/>
        </w:rPr>
        <w:t xml:space="preserve">: algo contraintuitivo sobre quién usa o necesitaría este producto. Suele ser lo más interesante para la investigación.</w:t>
      </w:r>
    </w:p>
    <w:p>
      <w:pPr>
        <w:pStyle w:val="ListParagraph"/>
        <w:numPr>
          <w:ilvl w:val="0"/>
          <w:numId w:val="3"/>
        </w:numPr>
        <w:spacing w:after="60" w:before="60" w:line="280" w:lineRule="auto"/>
      </w:pPr>
      <w:r>
        <w:rPr>
          <w:rFonts w:ascii="Arial" w:cs="Arial" w:eastAsia="Arial" w:hAnsi="Arial"/>
          <w:b/>
          <w:bCs/>
          <w:sz w:val="22"/>
          <w:szCs w:val="22"/>
        </w:rPr>
        <w:t xml:space="preserve">Preguntas abiertas</w:t>
      </w:r>
      <w:r>
        <w:rPr>
          <w:rFonts w:ascii="Arial" w:cs="Arial" w:eastAsia="Arial" w:hAnsi="Arial"/>
          <w:sz w:val="22"/>
          <w:szCs w:val="22"/>
        </w:rPr>
        <w:t xml:space="preserve">: lo que nadie sabe todavía y que la investigación debe responder.</w:t>
      </w:r>
    </w:p>
    <w:p>
      <w:pPr>
        <w:pStyle w:val="ListParagraph"/>
        <w:numPr>
          <w:ilvl w:val="0"/>
          <w:numId w:val="3"/>
        </w:numPr>
        <w:spacing w:after="60" w:before="60" w:line="280" w:lineRule="auto"/>
      </w:pPr>
      <w:r>
        <w:rPr>
          <w:rFonts w:ascii="Arial" w:cs="Arial" w:eastAsia="Arial" w:hAnsi="Arial"/>
          <w:b/>
          <w:bCs/>
          <w:sz w:val="22"/>
          <w:szCs w:val="22"/>
        </w:rPr>
        <w:t xml:space="preserve">Tu pregunta de transferencia</w:t>
      </w:r>
      <w:r>
        <w:rPr>
          <w:rFonts w:ascii="Arial" w:cs="Arial" w:eastAsia="Arial" w:hAnsi="Arial"/>
          <w:sz w:val="22"/>
          <w:szCs w:val="22"/>
        </w:rPr>
        <w:t xml:space="preserve">: una conexión hacia tu propio contexto profesional.</w:t>
      </w:r>
    </w:p>
    <w:p>
      <w:pPr>
        <w:pBdr>
          <w:bottom w:val="single" w:color="AAAAAA" w:sz="2" w:space="4"/>
        </w:pBdr>
        <w:spacing w:after="120" w:before="120"/>
      </w:pPr>
      <w:r>
        <w:t xml:space="preserve"/>
      </w:r>
    </w:p>
    <w:p>
      <w:pPr>
        <w:pStyle w:val="Heading2"/>
      </w:pPr>
      <w:r>
        <w:t xml:space="preserve">Antes de empezar</w:t>
      </w:r>
    </w:p>
    <w:p>
      <w:pPr>
        <w:spacing w:after="80" w:before="80" w:line="280" w:lineRule="auto"/>
      </w:pPr>
      <w:r>
        <w:rPr>
          <w:rFonts w:ascii="Arial" w:cs="Arial" w:eastAsia="Arial" w:hAnsi="Arial"/>
          <w:sz w:val="22"/>
          <w:szCs w:val="22"/>
        </w:rPr>
        <w:t xml:space="preserve">Una advertencia: el brief define el territorio, no el destino. La hipótesis de oportunidad es una pregunta, no una respuesta. Dos equipos que trabajen con el mismo brief pueden llegar a productos completamente distintos si investigan a usuarios diferentes, priorizan oportunidades distintas, o formulan hipótesis de solución diferentes.</w:t>
      </w:r>
    </w:p>
    <w:p>
      <w:pPr>
        <w:spacing w:after="80" w:before="80" w:line="280" w:lineRule="auto"/>
      </w:pPr>
      <w:r>
        <w:rPr>
          <w:rFonts w:ascii="Arial" w:cs="Arial" w:eastAsia="Arial" w:hAnsi="Arial"/>
          <w:i/>
          <w:iCs/>
          <w:sz w:val="22"/>
          <w:szCs w:val="22"/>
        </w:rPr>
        <w:t xml:space="preserve">El brief no dice qué construir. Dice desde dónde vale la pena buscar. Lo que encuentres depende de ti.</w:t>
      </w:r>
    </w:p>
    <w:p>
      <w:pPr>
        <w:spacing w:after="0" w:before="240"/>
      </w:pPr>
      <w:r>
        <w:t xml:space="preserve"/>
      </w:r>
    </w:p>
    <w:p>
      <w:pPr>
        <w:spacing w:after="80" w:before="80" w:line="280" w:lineRule="auto"/>
      </w:pPr>
      <w:r>
        <w:rPr>
          <w:rFonts w:ascii="Arial" w:cs="Arial" w:eastAsia="Arial" w:hAnsi="Arial"/>
          <w:b/>
          <w:bCs/>
          <w:i/>
          <w:iCs/>
          <w:sz w:val="22"/>
          <w:szCs w:val="22"/>
        </w:rPr>
        <w:t xml:space="preserve">Ahora sí, abre tu brief.</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spacing w:before="80"/>
    </w:pPr>
    <w:r>
      <w:rPr>
        <w:rFonts w:ascii="Arial" w:cs="Arial" w:eastAsia="Arial" w:hAnsi="Arial"/>
        <w:color w:val="555555"/>
        <w:sz w:val="18"/>
        <w:szCs w:val="18"/>
      </w:rPr>
      <w:t xml:space="preserve">DTLS — Design Thinking &amp; Lean Startup  |  Universidad de los Andes  |  </w:t>
    </w:r>
    <w:r>
      <w:rPr>
        <w:rFonts w:ascii="Arial" w:cs="Arial" w:eastAsia="Arial" w:hAnsi="Arial"/>
        <w:i/>
        <w:iCs/>
        <w:color w:val="555555"/>
        <w:sz w:val="18"/>
        <w:szCs w:val="18"/>
      </w:rPr>
      <w:t xml:space="preserve">Marco estratégico</w:t>
    </w:r>
    <w:r>
      <w:rPr>
        <w:rFonts w:ascii="Arial" w:cs="Arial" w:eastAsia="Arial" w:hAnsi="Arial"/>
        <w:color w:val="555555"/>
        <w:sz w:val="18"/>
        <w:szCs w:val="18"/>
      </w:rPr>
      <w:t xml:space="preserve">     Pg.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090"/>
      <w:sz w:val="24"/>
      <w:szCs w:val="24"/>
    </w:rPr>
  </w:style>
  <w:style w:type="paragraph" w:styleId="Quote">
    <w:name w:val="Quote"/>
    <w:basedOn w:val="Normal"/>
    <w:next w:val="Normal"/>
    <w:pPr>
      <w:pBdr>
        <w:left w:val="thick" w:color="4472C4" w:sz="12" w:space="10"/>
      </w:pBdr>
      <w:spacing w:after="160" w:before="160"/>
      <w:ind w:left="720" w:right="720"/>
    </w:pPr>
    <w:rPr>
      <w:rFonts w:ascii="Arial" w:cs="Arial" w:eastAsia="Arial" w:hAnsi="Arial"/>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2026-03-26T09:33:46.882Z</dcterms:created>
  <dcterms:modified xsi:type="dcterms:W3CDTF">2026-03-26T09:33:46.886Z</dcterms:modified>
</cp:coreProperties>
</file>

<file path=docProps/custom.xml><?xml version="1.0" encoding="utf-8"?>
<Properties xmlns="http://schemas.openxmlformats.org/officeDocument/2006/custom-properties" xmlns:vt="http://schemas.openxmlformats.org/officeDocument/2006/docPropsVTypes"/>
</file>