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A1ADD1C">
            <wp:simplePos x="0" y="0"/>
            <wp:positionH relativeFrom="column">
              <wp:posOffset>-1093783</wp:posOffset>
            </wp:positionH>
            <wp:positionV relativeFrom="paragraph">
              <wp:posOffset>-906619</wp:posOffset>
            </wp:positionV>
            <wp:extent cx="7573101"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1"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6C724A">
        <w:rPr>
          <w:b/>
          <w:bCs/>
          <w:sz w:val="30"/>
          <w:szCs w:val="30"/>
        </w:rPr>
        <w:lastRenderedPageBreak/>
        <w:t>RAZÃO DE ESTABELECIMENTOS DE SAÚDE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73D8318E"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1048CF28" w:rsidR="001076A5" w:rsidRPr="001076A5" w:rsidRDefault="0060775C">
          <w:pPr>
            <w:pStyle w:val="Sumrio1"/>
            <w:tabs>
              <w:tab w:val="right" w:leader="dot" w:pos="9062"/>
            </w:tabs>
            <w:rPr>
              <w:rStyle w:val="Hyperlink"/>
              <w:rFonts w:ascii="Exo" w:hAnsi="Exo"/>
              <w:b/>
              <w:bCs/>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_Toc188974603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5</w:t>
            </w:r>
            <w:r w:rsidR="001076A5" w:rsidRPr="001076A5">
              <w:rPr>
                <w:rStyle w:val="Hyperlink"/>
                <w:rFonts w:ascii="Exo" w:hAnsi="Exo"/>
                <w:b/>
                <w:bCs/>
                <w:webHidden/>
              </w:rPr>
              <w:fldChar w:fldCharType="end"/>
            </w:r>
          </w:hyperlink>
        </w:p>
        <w:p w14:paraId="6CBB5720" w14:textId="31E5538A" w:rsidR="001076A5" w:rsidRPr="001076A5" w:rsidRDefault="0060775C">
          <w:pPr>
            <w:pStyle w:val="Sumrio1"/>
            <w:tabs>
              <w:tab w:val="right" w:leader="dot" w:pos="9062"/>
            </w:tabs>
            <w:rPr>
              <w:rStyle w:val="Hyperlink"/>
              <w:rFonts w:ascii="Exo" w:hAnsi="Exo"/>
              <w:b/>
              <w:bCs/>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_Toc188974604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7</w:t>
            </w:r>
            <w:r w:rsidR="001076A5" w:rsidRPr="001076A5">
              <w:rPr>
                <w:rStyle w:val="Hyperlink"/>
                <w:rFonts w:ascii="Exo" w:hAnsi="Exo"/>
                <w:b/>
                <w:bCs/>
                <w:webHidden/>
              </w:rPr>
              <w:fldChar w:fldCharType="end"/>
            </w:r>
          </w:hyperlink>
        </w:p>
        <w:p w14:paraId="6A0A64BA" w14:textId="55723E26" w:rsidR="001076A5" w:rsidRDefault="0060775C">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_Toc188974605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8</w:t>
            </w:r>
            <w:r w:rsidR="001076A5"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3FBA0BAF" w14:textId="77777777" w:rsidR="0098316B" w:rsidRPr="004C586F" w:rsidRDefault="0098316B" w:rsidP="0098316B">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Global Strategy for Human Resources for Health: Workforce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7B87DA82A0C64C79B64A5ADA458812F3"/>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6061392B" w14:textId="77777777" w:rsidR="0098316B" w:rsidRPr="00971322" w:rsidRDefault="0098316B" w:rsidP="0098316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948D4BFFCB04DB694F2F8D6B959544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948D4BFFCB04DB694F2F8D6B959544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5B36E479" w14:textId="3E4FE842" w:rsidR="00376763" w:rsidRPr="006C724A" w:rsidRDefault="00D36EEF" w:rsidP="00376763">
      <w:pPr>
        <w:pStyle w:val="SemEspaamento"/>
        <w:spacing w:after="200" w:line="360" w:lineRule="auto"/>
        <w:ind w:firstLine="851"/>
        <w:jc w:val="both"/>
        <w:rPr>
          <w:rFonts w:ascii="Exo" w:hAnsi="Exo"/>
          <w:sz w:val="20"/>
          <w:szCs w:val="20"/>
          <w:highlight w:val="yellow"/>
        </w:rPr>
      </w:pPr>
      <w:r w:rsidRPr="006C724A">
        <w:rPr>
          <w:rFonts w:ascii="Exo" w:hAnsi="Exo"/>
          <w:sz w:val="20"/>
          <w:szCs w:val="20"/>
          <w:highlight w:val="yellow"/>
        </w:rPr>
        <w:t>Neste documento descrevemos os processos executados para construção do indicador</w:t>
      </w:r>
      <w:r w:rsidR="00E47210" w:rsidRPr="006C724A">
        <w:rPr>
          <w:rFonts w:ascii="Exo" w:hAnsi="Exo"/>
          <w:sz w:val="20"/>
          <w:szCs w:val="20"/>
          <w:highlight w:val="yellow"/>
        </w:rPr>
        <w:t xml:space="preserve"> </w:t>
      </w:r>
      <w:r w:rsidR="00376763" w:rsidRPr="006C724A">
        <w:rPr>
          <w:rFonts w:ascii="Exo" w:hAnsi="Exo"/>
          <w:sz w:val="20"/>
          <w:szCs w:val="20"/>
          <w:highlight w:val="yellow"/>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sdt>
        <w:sdtPr>
          <w:rPr>
            <w:rFonts w:ascii="Exo" w:hAnsi="Exo"/>
            <w:color w:val="000000"/>
            <w:sz w:val="20"/>
            <w:szCs w:val="20"/>
            <w:highlight w:val="yellow"/>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6C724A">
            <w:rPr>
              <w:rFonts w:ascii="Exo" w:hAnsi="Exo"/>
              <w:color w:val="000000"/>
              <w:sz w:val="20"/>
              <w:szCs w:val="20"/>
              <w:highlight w:val="yellow"/>
              <w:vertAlign w:val="superscript"/>
            </w:rPr>
            <w:t>7</w:t>
          </w:r>
        </w:sdtContent>
      </w:sdt>
      <w:r w:rsidR="009F317F" w:rsidRPr="006C724A">
        <w:rPr>
          <w:rFonts w:ascii="Exo" w:hAnsi="Exo"/>
          <w:sz w:val="20"/>
          <w:szCs w:val="20"/>
          <w:highlight w:val="yellow"/>
        </w:rPr>
        <w:t>.</w:t>
      </w:r>
    </w:p>
    <w:p w14:paraId="63E7D26B" w14:textId="4928D3BD" w:rsidR="00376763" w:rsidRPr="00376763" w:rsidRDefault="00376763" w:rsidP="00376763">
      <w:pPr>
        <w:pStyle w:val="SemEspaamento"/>
        <w:spacing w:after="200" w:line="360" w:lineRule="auto"/>
        <w:ind w:firstLine="851"/>
        <w:jc w:val="both"/>
        <w:rPr>
          <w:rFonts w:ascii="Exo" w:hAnsi="Exo"/>
          <w:sz w:val="20"/>
          <w:szCs w:val="20"/>
        </w:rPr>
      </w:pPr>
      <w:r w:rsidRPr="006C724A">
        <w:rPr>
          <w:rFonts w:ascii="Exo" w:hAnsi="Exo"/>
          <w:sz w:val="20"/>
          <w:szCs w:val="20"/>
          <w:highlight w:val="yellow"/>
        </w:rPr>
        <w:t xml:space="preserve">Estudo publicado na </w:t>
      </w:r>
      <w:r w:rsidRPr="006C724A">
        <w:rPr>
          <w:rFonts w:ascii="Exo" w:hAnsi="Exo"/>
          <w:i/>
          <w:iCs/>
          <w:sz w:val="20"/>
          <w:szCs w:val="20"/>
          <w:highlight w:val="yellow"/>
        </w:rPr>
        <w:t>Revista Brasileira de Economia da Saúde</w:t>
      </w:r>
      <w:r w:rsidRPr="006C724A">
        <w:rPr>
          <w:rFonts w:ascii="Exo" w:hAnsi="Exo"/>
          <w:sz w:val="20"/>
          <w:szCs w:val="20"/>
          <w:highlight w:val="yellow"/>
        </w:rPr>
        <w:t xml:space="preserv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sdt>
        <w:sdtPr>
          <w:rPr>
            <w:rFonts w:ascii="Exo" w:hAnsi="Exo"/>
            <w:color w:val="000000"/>
            <w:sz w:val="20"/>
            <w:szCs w:val="20"/>
            <w:highlight w:val="yellow"/>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6C724A">
            <w:rPr>
              <w:rFonts w:ascii="Exo" w:hAnsi="Exo"/>
              <w:color w:val="000000"/>
              <w:sz w:val="20"/>
              <w:szCs w:val="20"/>
              <w:highlight w:val="yellow"/>
              <w:vertAlign w:val="superscript"/>
            </w:rPr>
            <w:t>8</w:t>
          </w:r>
        </w:sdtContent>
      </w:sdt>
      <w:r w:rsidR="009F317F" w:rsidRPr="006C724A">
        <w:rPr>
          <w:rFonts w:ascii="Exo" w:hAnsi="Exo"/>
          <w:sz w:val="20"/>
          <w:szCs w:val="20"/>
          <w:highlight w:val="yellow"/>
        </w:rPr>
        <w:t>.</w:t>
      </w:r>
      <w:r w:rsidRPr="00376763">
        <w:rPr>
          <w:rFonts w:ascii="Exo" w:hAnsi="Exo"/>
          <w:sz w:val="20"/>
          <w:szCs w:val="20"/>
        </w:rPr>
        <w:t xml:space="preserve"> </w:t>
      </w:r>
    </w:p>
    <w:p w14:paraId="00B525C2" w14:textId="041FF63C" w:rsidR="00D36EEF" w:rsidRPr="00D660A8" w:rsidRDefault="00376763" w:rsidP="0098316B">
      <w:pPr>
        <w:pStyle w:val="SemEspaamento"/>
        <w:spacing w:after="200" w:line="360" w:lineRule="auto"/>
        <w:ind w:firstLine="851"/>
        <w:jc w:val="both"/>
        <w:rPr>
          <w:rFonts w:ascii="Exo" w:hAnsi="Exo"/>
          <w:sz w:val="20"/>
          <w:szCs w:val="20"/>
        </w:rPr>
      </w:pPr>
      <w:r w:rsidRPr="006C724A">
        <w:rPr>
          <w:rFonts w:ascii="Exo" w:hAnsi="Exo"/>
          <w:sz w:val="20"/>
          <w:szCs w:val="20"/>
          <w:highlight w:val="yellow"/>
        </w:rPr>
        <w:t>A análise desses dados permite aos gestores de saúde planejar e alocar recursos de forma mais eficaz, assegurando que a infraestrutura hospitalar atenda às demandas da população de maneira adequada</w:t>
      </w:r>
      <w:sdt>
        <w:sdtPr>
          <w:rPr>
            <w:rFonts w:ascii="Exo" w:hAnsi="Exo"/>
            <w:color w:val="000000"/>
            <w:sz w:val="20"/>
            <w:szCs w:val="20"/>
            <w:highlight w:val="yellow"/>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F317F" w:rsidRPr="006C724A">
            <w:rPr>
              <w:rFonts w:ascii="Exo" w:hAnsi="Exo"/>
              <w:color w:val="000000"/>
              <w:sz w:val="20"/>
              <w:szCs w:val="20"/>
              <w:highlight w:val="yellow"/>
              <w:vertAlign w:val="superscript"/>
            </w:rPr>
            <w:t>9</w:t>
          </w:r>
        </w:sdtContent>
      </w:sdt>
      <w:r w:rsidRPr="006C724A">
        <w:rPr>
          <w:rFonts w:ascii="Exo" w:hAnsi="Exo"/>
          <w:sz w:val="20"/>
          <w:szCs w:val="20"/>
          <w:highlight w:val="yellow"/>
        </w:rPr>
        <w:t>.</w:t>
      </w:r>
      <w:r w:rsidRPr="00376763">
        <w:rPr>
          <w:rFonts w:ascii="Exo" w:hAnsi="Exo"/>
          <w:sz w:val="20"/>
          <w:szCs w:val="20"/>
        </w:rPr>
        <w:t xml:space="preserve"> </w:t>
      </w:r>
    </w:p>
    <w:p w14:paraId="12976689" w14:textId="4FE874B3" w:rsidR="0098316B" w:rsidRPr="00E430A0" w:rsidRDefault="0098316B" w:rsidP="0098316B">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w:t>
      </w:r>
      <w:r w:rsidRPr="006C724A">
        <w:rPr>
          <w:rFonts w:ascii="Exo" w:hAnsi="Exo"/>
          <w:sz w:val="20"/>
          <w:szCs w:val="20"/>
          <w:highlight w:val="yellow"/>
        </w:rPr>
        <w:t xml:space="preserve">A seção subsequente traz um exemplo de aplicação do indicador para um recorte </w:t>
      </w:r>
      <w:r w:rsidR="0019536E" w:rsidRPr="006C724A">
        <w:rPr>
          <w:rFonts w:ascii="Exo" w:hAnsi="Exo"/>
          <w:sz w:val="20"/>
          <w:szCs w:val="20"/>
          <w:highlight w:val="yellow"/>
        </w:rPr>
        <w:t>dos leitos do SUS nas regiões do Brasil</w:t>
      </w:r>
      <w:r w:rsidRPr="006C724A">
        <w:rPr>
          <w:rFonts w:ascii="Exo" w:hAnsi="Exo"/>
          <w:sz w:val="20"/>
          <w:szCs w:val="20"/>
          <w:highlight w:val="yellow"/>
        </w:rPr>
        <w:t>.</w:t>
      </w:r>
      <w:r>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3" w:name="_Toc188949654"/>
      <w:bookmarkStart w:id="4" w:name="_Toc188974603"/>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5"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6C724A">
              <w:rPr>
                <w:rFonts w:ascii="Exo" w:hAnsi="Exo"/>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9F317F" w:rsidRDefault="006C724A" w:rsidP="00961815">
            <w:pPr>
              <w:pStyle w:val="QuadrosFiguras1"/>
              <w:spacing w:before="60" w:after="60" w:line="240" w:lineRule="auto"/>
              <w:jc w:val="left"/>
              <w:rPr>
                <w:rFonts w:ascii="Exo" w:hAnsi="Exo"/>
                <w:color w:val="auto"/>
              </w:rPr>
            </w:pPr>
            <w:r w:rsidRPr="006C724A">
              <w:rPr>
                <w:rFonts w:ascii="Exo" w:hAnsi="Exo"/>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de - Leitos (CNES-LT)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Instituição: Ministério da Saúde, disponibilizado via Datasus.</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É somada a quantidade de leitos do Sistema Único de Saúde (SUS) utilizando a variável QT_SUS (CNES-LT). A quantidade de leitos que não pertencem ao SUS </w:t>
            </w:r>
            <w:r w:rsidR="00DE09B8" w:rsidRPr="009F317F">
              <w:rPr>
                <w:rFonts w:ascii="Exo" w:hAnsi="Exo"/>
                <w:color w:val="auto"/>
              </w:rPr>
              <w:t xml:space="preserve">é </w:t>
            </w:r>
            <w:r w:rsidRPr="009F317F">
              <w:rPr>
                <w:rFonts w:ascii="Exo" w:hAnsi="Exo"/>
                <w:color w:val="auto"/>
              </w:rPr>
              <w:t>somada utilizando a variável QT_NSUS (CNES-LT). Dessa forma, as seguintes variáveis são geradas: quantidade_sus e quantidade_nao_sus.</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9F317F" w:rsidRDefault="009F317F" w:rsidP="00961815">
            <w:pPr>
              <w:spacing w:before="60" w:after="200"/>
              <w:ind w:right="-249"/>
              <w:rPr>
                <w:rFonts w:ascii="Exo" w:eastAsia="Cambria Math" w:hAnsi="Exo"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660A8" w:rsidRDefault="009F317F" w:rsidP="00961815">
            <w:pPr>
              <w:spacing w:before="60" w:after="60"/>
              <w:ind w:right="-252"/>
              <w:rPr>
                <w:rFonts w:ascii="Exo" w:eastAsiaTheme="minorEastAsia" w:hAnsi="Exo"/>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Default="00961815" w:rsidP="00961815">
            <w:pPr>
              <w:pStyle w:val="QuadrosFiguras1"/>
              <w:spacing w:before="60" w:after="60" w:line="240" w:lineRule="auto"/>
              <w:jc w:val="both"/>
              <w:rPr>
                <w:rFonts w:ascii="Exo" w:hAnsi="Exo"/>
                <w:color w:val="auto"/>
              </w:rPr>
            </w:pPr>
            <w:r w:rsidRPr="00961815">
              <w:rPr>
                <w:rFonts w:ascii="Exo" w:hAnsi="Exo"/>
                <w:color w:val="auto"/>
              </w:rPr>
              <w:t>Organização Pan-Americana da Saúde. Indicadores de saúde. Elementos conceituais e práticos. Washington, D.C.: OPAS; 2018.</w:t>
            </w:r>
          </w:p>
          <w:p w14:paraId="0EB065D1" w14:textId="442C8B38" w:rsidR="001229AD" w:rsidRPr="00961815" w:rsidRDefault="00961815" w:rsidP="00901191">
            <w:pPr>
              <w:spacing w:before="60"/>
              <w:jc w:val="both"/>
              <w:rPr>
                <w:rFonts w:ascii="Exo" w:hAnsi="Exo"/>
                <w:sz w:val="20"/>
              </w:rPr>
            </w:pPr>
            <w:r w:rsidRPr="00961815">
              <w:rPr>
                <w:rFonts w:ascii="Exo" w:hAnsi="Exo"/>
                <w:sz w:val="20"/>
              </w:rPr>
              <w:t>Organização Pan-Americana da Saúde. Indicadores básicos para a saúde no Brasil: conceitos e aplicações. 2nd ed. Brasília: Organização Pan-Americana da Saúde; 2008.</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961815">
            <w:pPr>
              <w:spacing w:before="60" w:after="60"/>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961815">
            <w:pPr>
              <w:spacing w:before="60" w:after="60"/>
              <w:jc w:val="both"/>
              <w:rPr>
                <w:rFonts w:ascii="Exo" w:hAnsi="Exo"/>
                <w:sz w:val="20"/>
              </w:rPr>
            </w:pPr>
            <w:r w:rsidRPr="00D660A8">
              <w:rPr>
                <w:rFonts w:ascii="Exo" w:hAnsi="Exo"/>
                <w:sz w:val="20"/>
              </w:rPr>
              <w:t>As análises realizadas são limitadas aos dados disponíveis na base do CNES-LT, disponibilizado pelo Ministério da Saúde, disponibilizado via Datasus.</w:t>
            </w:r>
          </w:p>
        </w:tc>
      </w:tr>
    </w:tbl>
    <w:bookmarkEnd w:id="5"/>
    <w:p w14:paraId="6D165843" w14:textId="37B3B019" w:rsidR="00901191" w:rsidRDefault="00901191" w:rsidP="00901191">
      <w:pPr>
        <w:spacing w:before="200" w:after="200" w:line="360" w:lineRule="auto"/>
        <w:ind w:firstLine="851"/>
        <w:jc w:val="both"/>
        <w:rPr>
          <w:rFonts w:ascii="Exo" w:hAnsi="Exo"/>
          <w:sz w:val="20"/>
          <w:szCs w:val="20"/>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6D5DB7D9" w14:textId="48877BC0"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5D48C1">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rPr>
        <w:drawing>
          <wp:inline distT="0" distB="0" distL="0" distR="0" wp14:anchorId="01528EAD" wp14:editId="69BCAC57">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6" w:name="_Toc188974604"/>
      <w:r w:rsidRPr="00D660A8">
        <w:rPr>
          <w:rFonts w:ascii="Exo" w:hAnsi="Exo"/>
          <w:b/>
          <w:bCs/>
          <w:color w:val="auto"/>
        </w:rPr>
        <w:lastRenderedPageBreak/>
        <w:t>Exemplo de aplicação</w:t>
      </w:r>
      <w:bookmarkEnd w:id="6"/>
    </w:p>
    <w:p w14:paraId="4F0C908C" w14:textId="5B6C26C5" w:rsidR="00381945" w:rsidRPr="002E7BD9" w:rsidRDefault="00B17EE0" w:rsidP="0019536E">
      <w:pPr>
        <w:pStyle w:val="SemEspaamento"/>
        <w:spacing w:after="200" w:line="360" w:lineRule="auto"/>
        <w:ind w:firstLine="851"/>
        <w:jc w:val="both"/>
        <w:rPr>
          <w:rFonts w:ascii="Exo" w:hAnsi="Exo"/>
          <w:sz w:val="20"/>
          <w:szCs w:val="20"/>
        </w:rPr>
      </w:pPr>
      <w:r w:rsidRPr="00B17EE0">
        <w:rPr>
          <w:rFonts w:ascii="Exo" w:hAnsi="Exo"/>
          <w:sz w:val="20"/>
          <w:szCs w:val="20"/>
        </w:rPr>
        <w:t xml:space="preserve">A Figura 2 ilustra a aplicação do indicador, apresentando a razão de leitos do SUS por população nas regiões do Brasil em 2024. Observa-se que as </w:t>
      </w:r>
      <w:r>
        <w:rPr>
          <w:rFonts w:ascii="Exo" w:hAnsi="Exo"/>
          <w:sz w:val="20"/>
          <w:szCs w:val="20"/>
        </w:rPr>
        <w:t>r</w:t>
      </w:r>
      <w:r w:rsidRPr="00B17EE0">
        <w:rPr>
          <w:rFonts w:ascii="Exo" w:hAnsi="Exo"/>
          <w:sz w:val="20"/>
          <w:szCs w:val="20"/>
        </w:rPr>
        <w:t xml:space="preserve">egiões Nordeste e Sul apresentaram as maiores razões de leitos por população, com 18,6 e 18,48, respectivamente. A menor razão é observada na </w:t>
      </w:r>
      <w:r>
        <w:rPr>
          <w:rFonts w:ascii="Exo" w:hAnsi="Exo"/>
          <w:sz w:val="20"/>
          <w:szCs w:val="20"/>
        </w:rPr>
        <w:t>R</w:t>
      </w:r>
      <w:r w:rsidRPr="00B17EE0">
        <w:rPr>
          <w:rFonts w:ascii="Exo" w:hAnsi="Exo"/>
          <w:sz w:val="20"/>
          <w:szCs w:val="20"/>
        </w:rPr>
        <w:t>egião Sudeste, com 14,3 leitos para cada 10 mil habitantes</w:t>
      </w:r>
      <w:r>
        <w:rPr>
          <w:rFonts w:ascii="Exo" w:hAnsi="Exo"/>
          <w:sz w:val="20"/>
          <w:szCs w:val="20"/>
        </w:rPr>
        <w:t>.</w:t>
      </w:r>
    </w:p>
    <w:p w14:paraId="30123D0D" w14:textId="77777777"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46BCEEAB" w14:textId="31B3A3AD" w:rsidR="00381945" w:rsidRDefault="0019536E" w:rsidP="00381945">
      <w:pPr>
        <w:pStyle w:val="NormalWeb"/>
        <w:spacing w:before="0" w:beforeAutospacing="0" w:after="0" w:afterAutospacing="0"/>
        <w:jc w:val="center"/>
      </w:pPr>
      <w:bookmarkStart w:id="7" w:name="_Hlk184288995"/>
      <w:r>
        <w:rPr>
          <w:noProof/>
          <w14:ligatures w14:val="standardContextual"/>
        </w:rPr>
        <w:drawing>
          <wp:inline distT="0" distB="0" distL="0" distR="0" wp14:anchorId="539AFA04" wp14:editId="3CCEC2DD">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ADA4CC2" w14:textId="0F90CB9F" w:rsidR="00901191" w:rsidRPr="00901191" w:rsidRDefault="009E5CEE" w:rsidP="00901191">
      <w:pPr>
        <w:pStyle w:val="SemEspaamento"/>
        <w:spacing w:line="360" w:lineRule="auto"/>
        <w:ind w:firstLine="851"/>
        <w:rPr>
          <w:rFonts w:ascii="Exo" w:hAnsi="Exo"/>
          <w:sz w:val="20"/>
          <w:szCs w:val="20"/>
        </w:rPr>
      </w:pPr>
      <w:r w:rsidRPr="0019536E">
        <w:rPr>
          <w:rFonts w:ascii="Exo" w:hAnsi="Exo"/>
          <w:sz w:val="20"/>
          <w:szCs w:val="20"/>
        </w:rPr>
        <w:t xml:space="preserve">Para acessar o link do código que resultou no mapa, clique </w:t>
      </w:r>
      <w:hyperlink r:id="rId17" w:history="1">
        <w:r w:rsidRPr="0019536E">
          <w:rPr>
            <w:rStyle w:val="Hyperlink"/>
            <w:rFonts w:ascii="Exo" w:hAnsi="Exo"/>
            <w:sz w:val="20"/>
            <w:szCs w:val="20"/>
          </w:rPr>
          <w:t>aqui</w:t>
        </w:r>
      </w:hyperlink>
      <w:r w:rsidRPr="0019536E">
        <w:rPr>
          <w:rFonts w:ascii="Exo" w:hAnsi="Exo"/>
          <w:sz w:val="20"/>
          <w:szCs w:val="20"/>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8" w:name="_Toc188974605"/>
      <w:r w:rsidRPr="00D660A8">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46DA4EFB"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Organization. Global strategy on human resources for health: Workforce 2030. Geneva: WHO; 2016. </w:t>
          </w:r>
        </w:p>
        <w:p w14:paraId="4014DE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7BA232F9"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188A81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01475067" w14:textId="77777777" w:rsidR="001076A5" w:rsidRDefault="00901191"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p>
        <w:p w14:paraId="613E9D05" w14:textId="37223659"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1076A5">
            <w:rPr>
              <w:rFonts w:ascii="Exo" w:eastAsia="Times New Roman" w:hAnsi="Exo"/>
              <w:color w:val="000000"/>
              <w:sz w:val="20"/>
              <w:szCs w:val="20"/>
            </w:rPr>
            <w:t xml:space="preserve">Marinelli NP, Albuquerque LPA, </w:t>
          </w:r>
          <w:r>
            <w:rPr>
              <w:rFonts w:ascii="Exo" w:eastAsia="Times New Roman" w:hAnsi="Exo"/>
              <w:color w:val="000000"/>
              <w:sz w:val="20"/>
              <w:szCs w:val="20"/>
            </w:rPr>
            <w:t xml:space="preserve">de </w:t>
          </w:r>
          <w:r w:rsidRPr="001076A5">
            <w:rPr>
              <w:rFonts w:ascii="Exo" w:eastAsia="Times New Roman" w:hAnsi="Exo"/>
              <w:color w:val="000000"/>
              <w:sz w:val="20"/>
              <w:szCs w:val="20"/>
            </w:rPr>
            <w:t>Sousa IDB, Batista FMA, Mascarenhas MDM, Rodrigues MTP. Evolução de indicadores e capacidade de atendimento no início da epidemia de COVID-19 no Nordeste do Brasil, 2020. Epidemiol Serv Saude. 2020;29(3):e2020226.</w:t>
          </w:r>
        </w:p>
        <w:p w14:paraId="727E0602" w14:textId="77777777"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1076A5">
            <w:rPr>
              <w:rFonts w:ascii="Exo" w:eastAsia="Times New Roman" w:hAnsi="Exo"/>
              <w:color w:val="000000"/>
              <w:sz w:val="20"/>
              <w:szCs w:val="20"/>
            </w:rPr>
            <w:t xml:space="preserve">Finkelstein BJ, </w:t>
          </w:r>
          <w:r>
            <w:rPr>
              <w:rFonts w:ascii="Exo" w:eastAsia="Times New Roman" w:hAnsi="Exo"/>
              <w:color w:val="000000"/>
              <w:sz w:val="20"/>
              <w:szCs w:val="20"/>
            </w:rPr>
            <w:t xml:space="preserve">Borges </w:t>
          </w:r>
          <w:r w:rsidRPr="001076A5">
            <w:rPr>
              <w:rFonts w:ascii="Exo" w:eastAsia="Times New Roman" w:hAnsi="Exo"/>
              <w:color w:val="000000"/>
              <w:sz w:val="20"/>
              <w:szCs w:val="20"/>
            </w:rPr>
            <w:t>L</w:t>
          </w:r>
          <w:r>
            <w:rPr>
              <w:rFonts w:ascii="Exo" w:eastAsia="Times New Roman" w:hAnsi="Exo"/>
              <w:color w:val="000000"/>
              <w:sz w:val="20"/>
              <w:szCs w:val="20"/>
            </w:rPr>
            <w:t xml:space="preserve"> </w:t>
          </w:r>
          <w:r w:rsidRPr="001076A5">
            <w:rPr>
              <w:rFonts w:ascii="Exo" w:eastAsia="Times New Roman" w:hAnsi="Exo"/>
              <w:color w:val="000000"/>
              <w:sz w:val="20"/>
              <w:szCs w:val="20"/>
            </w:rPr>
            <w:t>Jr. A capacidade de leitos hospitalares no Brasil, as internações no SUS, a migração demográfica e os custos dos procedimentos. J Bras Econ Saúde. 2020;12(3):273-80.</w:t>
          </w:r>
        </w:p>
        <w:p w14:paraId="1AD0438A" w14:textId="181E3A80" w:rsidR="0078205E" w:rsidRPr="00901191"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381945" w:rsidRPr="00381945">
            <w:rPr>
              <w:rFonts w:ascii="Exo" w:eastAsia="Times New Roman" w:hAnsi="Exo"/>
              <w:color w:val="000000"/>
              <w:sz w:val="20"/>
              <w:szCs w:val="20"/>
            </w:rPr>
            <w:t>Conselho Nacional de Secretários de Saúde</w:t>
          </w:r>
          <w:r w:rsidRPr="001076A5">
            <w:rPr>
              <w:rFonts w:ascii="Exo" w:eastAsia="Times New Roman" w:hAnsi="Exo"/>
              <w:color w:val="000000"/>
              <w:sz w:val="20"/>
              <w:szCs w:val="20"/>
            </w:rPr>
            <w:t>. Guia de apoio à gestão estadual do SUS: Nota técnica - Indicador: Leitos hospitalares. Brasília: CONASS; 2016. Available from: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7FCEE" w14:textId="77777777" w:rsidR="0060775C" w:rsidRDefault="0060775C" w:rsidP="0078205E">
      <w:pPr>
        <w:spacing w:after="0" w:line="240" w:lineRule="auto"/>
      </w:pPr>
      <w:r>
        <w:separator/>
      </w:r>
    </w:p>
  </w:endnote>
  <w:endnote w:type="continuationSeparator" w:id="0">
    <w:p w14:paraId="7DA3085A" w14:textId="77777777" w:rsidR="0060775C" w:rsidRDefault="0060775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346EC" w14:textId="77777777" w:rsidR="0060775C" w:rsidRDefault="0060775C" w:rsidP="0078205E">
      <w:pPr>
        <w:spacing w:after="0" w:line="240" w:lineRule="auto"/>
      </w:pPr>
      <w:r>
        <w:separator/>
      </w:r>
    </w:p>
  </w:footnote>
  <w:footnote w:type="continuationSeparator" w:id="0">
    <w:p w14:paraId="687AD8AB" w14:textId="77777777" w:rsidR="0060775C" w:rsidRDefault="0060775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076A5"/>
    <w:rsid w:val="00120CD9"/>
    <w:rsid w:val="001229AD"/>
    <w:rsid w:val="001239B3"/>
    <w:rsid w:val="001870C7"/>
    <w:rsid w:val="0019536E"/>
    <w:rsid w:val="001D0EE0"/>
    <w:rsid w:val="00253EE3"/>
    <w:rsid w:val="00255C97"/>
    <w:rsid w:val="002826EF"/>
    <w:rsid w:val="002B3BF6"/>
    <w:rsid w:val="002D5D78"/>
    <w:rsid w:val="00330060"/>
    <w:rsid w:val="00376763"/>
    <w:rsid w:val="00381945"/>
    <w:rsid w:val="00383CBD"/>
    <w:rsid w:val="003D1894"/>
    <w:rsid w:val="003E43DE"/>
    <w:rsid w:val="003F6595"/>
    <w:rsid w:val="00475655"/>
    <w:rsid w:val="00496AA8"/>
    <w:rsid w:val="004A3585"/>
    <w:rsid w:val="004C446E"/>
    <w:rsid w:val="004C52AF"/>
    <w:rsid w:val="004E0F3E"/>
    <w:rsid w:val="0051118D"/>
    <w:rsid w:val="00537021"/>
    <w:rsid w:val="005C3030"/>
    <w:rsid w:val="005D48C1"/>
    <w:rsid w:val="0060775C"/>
    <w:rsid w:val="0062688D"/>
    <w:rsid w:val="006447AB"/>
    <w:rsid w:val="00666086"/>
    <w:rsid w:val="00667927"/>
    <w:rsid w:val="0067139C"/>
    <w:rsid w:val="006C724A"/>
    <w:rsid w:val="006E0F33"/>
    <w:rsid w:val="0078205E"/>
    <w:rsid w:val="00814305"/>
    <w:rsid w:val="008B03A0"/>
    <w:rsid w:val="00901191"/>
    <w:rsid w:val="00946D11"/>
    <w:rsid w:val="00961815"/>
    <w:rsid w:val="0098316B"/>
    <w:rsid w:val="009C3FA1"/>
    <w:rsid w:val="009E5CEE"/>
    <w:rsid w:val="009F317F"/>
    <w:rsid w:val="00A154DD"/>
    <w:rsid w:val="00A442E3"/>
    <w:rsid w:val="00A80BE7"/>
    <w:rsid w:val="00A92A31"/>
    <w:rsid w:val="00AB1250"/>
    <w:rsid w:val="00B13018"/>
    <w:rsid w:val="00B17EE0"/>
    <w:rsid w:val="00B55CBE"/>
    <w:rsid w:val="00B8537D"/>
    <w:rsid w:val="00C05C2B"/>
    <w:rsid w:val="00C567EB"/>
    <w:rsid w:val="00C94923"/>
    <w:rsid w:val="00CA4CA1"/>
    <w:rsid w:val="00CD12BF"/>
    <w:rsid w:val="00D22860"/>
    <w:rsid w:val="00D24869"/>
    <w:rsid w:val="00D36EEF"/>
    <w:rsid w:val="00D660A8"/>
    <w:rsid w:val="00D7294F"/>
    <w:rsid w:val="00D94AD2"/>
    <w:rsid w:val="00DE09B8"/>
    <w:rsid w:val="00E22171"/>
    <w:rsid w:val="00E47210"/>
    <w:rsid w:val="00E72E2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2_razao_leitos/12_razao_lei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B87DA82A0C64C79B64A5ADA458812F3"/>
        <w:category>
          <w:name w:val="Geral"/>
          <w:gallery w:val="placeholder"/>
        </w:category>
        <w:types>
          <w:type w:val="bbPlcHdr"/>
        </w:types>
        <w:behaviors>
          <w:behavior w:val="content"/>
        </w:behaviors>
        <w:guid w:val="{817BCD44-E142-4D0A-9188-56DF8870DF0F}"/>
      </w:docPartPr>
      <w:docPartBody>
        <w:p w:rsidR="00B777F3" w:rsidRDefault="00475F54" w:rsidP="00475F54">
          <w:pPr>
            <w:pStyle w:val="7B87DA82A0C64C79B64A5ADA458812F3"/>
          </w:pPr>
          <w:r w:rsidRPr="0031018C">
            <w:rPr>
              <w:rStyle w:val="TextodoEspaoReservado"/>
            </w:rPr>
            <w:t>Clique ou toque aqui para inserir o texto.</w:t>
          </w:r>
        </w:p>
      </w:docPartBody>
    </w:docPart>
    <w:docPart>
      <w:docPartPr>
        <w:name w:val="0948D4BFFCB04DB694F2F8D6B9595443"/>
        <w:category>
          <w:name w:val="Geral"/>
          <w:gallery w:val="placeholder"/>
        </w:category>
        <w:types>
          <w:type w:val="bbPlcHdr"/>
        </w:types>
        <w:behaviors>
          <w:behavior w:val="content"/>
        </w:behaviors>
        <w:guid w:val="{7B6D1374-98AB-44E1-B900-D8F8EE32D119}"/>
      </w:docPartPr>
      <w:docPartBody>
        <w:p w:rsidR="00B777F3" w:rsidRDefault="00475F54" w:rsidP="00475F54">
          <w:pPr>
            <w:pStyle w:val="0948D4BFFCB04DB694F2F8D6B9595443"/>
          </w:pPr>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B777F3"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B777F3"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B777F3" w:rsidRDefault="00475F54" w:rsidP="00475F54">
          <w:pPr>
            <w:pStyle w:val="993EFDA1246640AF851FEB010EFA0E0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120CD9"/>
    <w:rsid w:val="00201B4E"/>
    <w:rsid w:val="002663E9"/>
    <w:rsid w:val="004024CF"/>
    <w:rsid w:val="00475F54"/>
    <w:rsid w:val="005C02AF"/>
    <w:rsid w:val="007A5051"/>
    <w:rsid w:val="007B06B1"/>
    <w:rsid w:val="00835B2D"/>
    <w:rsid w:val="00865FD5"/>
    <w:rsid w:val="009A2513"/>
    <w:rsid w:val="00A647F7"/>
    <w:rsid w:val="00AB1250"/>
    <w:rsid w:val="00AE103D"/>
    <w:rsid w:val="00B777F3"/>
    <w:rsid w:val="00BA0934"/>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75F54"/>
    <w:rPr>
      <w:color w:val="808080"/>
    </w:rPr>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1518</Words>
  <Characters>8201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cp:revision>
  <cp:lastPrinted>2025-01-28T20:38:00Z</cp:lastPrinted>
  <dcterms:created xsi:type="dcterms:W3CDTF">2025-02-03T15:17:00Z</dcterms:created>
  <dcterms:modified xsi:type="dcterms:W3CDTF">2025-02-03T15:19:00Z</dcterms:modified>
</cp:coreProperties>
</file>