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D5C944A"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3F4C9188" w:rsidR="00D94830" w:rsidRPr="00D94830" w:rsidRDefault="00BA7F31">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5</w:t>
            </w:r>
            <w:r w:rsidR="00D94830" w:rsidRPr="00D94830">
              <w:rPr>
                <w:rStyle w:val="Hyperlink"/>
                <w:rFonts w:ascii="Exo" w:hAnsi="Exo"/>
                <w:b/>
                <w:bCs/>
                <w:noProof/>
                <w:webHidden/>
              </w:rPr>
              <w:fldChar w:fldCharType="end"/>
            </w:r>
          </w:hyperlink>
        </w:p>
        <w:p w14:paraId="5CC653F6" w14:textId="33C7A83D" w:rsidR="00D94830" w:rsidRPr="00D94830" w:rsidRDefault="00BA7F31">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7</w:t>
            </w:r>
            <w:r w:rsidR="00D94830" w:rsidRPr="00D94830">
              <w:rPr>
                <w:rStyle w:val="Hyperlink"/>
                <w:rFonts w:ascii="Exo" w:hAnsi="Exo"/>
                <w:b/>
                <w:bCs/>
                <w:noProof/>
                <w:webHidden/>
              </w:rPr>
              <w:fldChar w:fldCharType="end"/>
            </w:r>
          </w:hyperlink>
        </w:p>
        <w:p w14:paraId="3F8FE46D" w14:textId="4D79F058" w:rsidR="00D94830" w:rsidRPr="00D94830" w:rsidRDefault="00BA7F31">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8</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p w14:paraId="114DB525" w14:textId="77777777" w:rsidR="00B12FBF" w:rsidRDefault="00B12FBF" w:rsidP="00A02D65">
      <w:pPr>
        <w:pStyle w:val="SemEspaamento"/>
        <w:spacing w:after="200" w:line="360" w:lineRule="auto"/>
        <w:ind w:firstLine="851"/>
        <w:jc w:val="both"/>
        <w:rPr>
          <w:rFonts w:ascii="Exo" w:hAnsi="Exo"/>
          <w:sz w:val="20"/>
          <w:szCs w:val="20"/>
        </w:rPr>
      </w:pPr>
      <w:bookmarkStart w:id="3" w:name="_Hlk188948010"/>
      <w:bookmarkEnd w:id="2"/>
      <w:commentRangeStart w:id="4"/>
    </w:p>
    <w:commentRangeEnd w:id="4"/>
    <w:p w14:paraId="2618C700" w14:textId="77777777" w:rsidR="00B12FBF" w:rsidRDefault="00B12FBF" w:rsidP="00A02D65">
      <w:pPr>
        <w:pStyle w:val="SemEspaamento"/>
        <w:spacing w:after="200" w:line="360" w:lineRule="auto"/>
        <w:ind w:firstLine="851"/>
        <w:jc w:val="both"/>
        <w:rPr>
          <w:rFonts w:ascii="Exo" w:hAnsi="Exo"/>
          <w:sz w:val="20"/>
          <w:szCs w:val="20"/>
        </w:rPr>
      </w:pPr>
      <w:r>
        <w:rPr>
          <w:rStyle w:val="Refdecomentrio"/>
        </w:rPr>
        <w:commentReference w:id="4"/>
      </w:r>
    </w:p>
    <w:p w14:paraId="60D663A5" w14:textId="4080E4E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00271638" w:rsidRPr="00FE665A">
        <w:rPr>
          <w:rFonts w:ascii="Exo" w:hAnsi="Exo"/>
          <w:sz w:val="20"/>
          <w:szCs w:val="20"/>
          <w:highlight w:val="yellow"/>
        </w:rPr>
        <w:t>A seção subsequente traz um exemplo de aplicação do indicador para um recorte de escolas estaduais no estado de São Paulo.</w:t>
      </w:r>
      <w:bookmarkStart w:id="5" w:name="_Toc188374090"/>
      <w:bookmarkStart w:id="6"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3"/>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E04E3F" w:rsidRDefault="000C074F" w:rsidP="00B12FBF">
            <w:pPr>
              <w:pStyle w:val="QuadrosFiguras1"/>
              <w:spacing w:before="60" w:after="60" w:line="240" w:lineRule="auto"/>
              <w:jc w:val="left"/>
              <w:rPr>
                <w:rFonts w:ascii="Exo" w:hAnsi="Exo"/>
                <w:color w:val="auto"/>
              </w:rPr>
            </w:pPr>
            <w:r>
              <w:rPr>
                <w:rFonts w:ascii="Exo" w:hAnsi="Exo"/>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2F1090" w:rsidRDefault="000C074F" w:rsidP="000C074F">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20FD2021" w14:textId="14732A6B" w:rsidR="000C074F" w:rsidRPr="007F2820" w:rsidRDefault="000C074F" w:rsidP="000C074F">
            <w:pPr>
              <w:pStyle w:val="QuadrosFiguras1"/>
              <w:spacing w:before="60" w:after="60" w:line="240" w:lineRule="auto"/>
              <w:jc w:val="left"/>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0C074F" w:rsidRDefault="000C074F" w:rsidP="000C074F">
            <w:pPr>
              <w:pStyle w:val="QuadrosFiguras1"/>
              <w:spacing w:before="60" w:after="60" w:line="240" w:lineRule="auto"/>
              <w:jc w:val="both"/>
              <w:rPr>
                <w:rFonts w:ascii="Exo" w:hAnsi="Exo"/>
              </w:rPr>
            </w:pPr>
            <w:r>
              <w:rPr>
                <w:rFonts w:ascii="Exo" w:hAnsi="Ex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F73D4E" w:rsidRDefault="000C074F" w:rsidP="000C074F">
            <w:pPr>
              <w:spacing w:before="60" w:after="60"/>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A4956A7" w14:textId="533003D2"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62A35F3" w14:textId="740F78DC"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Default="000C074F" w:rsidP="000C074F">
            <w:pPr>
              <w:spacing w:before="60" w:after="60"/>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Default="000C074F" w:rsidP="000C074F">
            <w:pPr>
              <w:spacing w:before="60" w:after="60"/>
              <w:jc w:val="both"/>
              <w:rPr>
                <w:rFonts w:ascii="Exo" w:hAnsi="Exo"/>
                <w:color w:val="000000"/>
                <w:sz w:val="20"/>
                <w:szCs w:val="20"/>
              </w:rPr>
            </w:pPr>
            <w:r>
              <w:rPr>
                <w:noProof/>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5"/>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0C074F" w:rsidRDefault="000C074F" w:rsidP="000C074F">
            <w:pPr>
              <w:spacing w:before="60" w:after="60"/>
              <w:jc w:val="both"/>
              <w:rPr>
                <w:rFonts w:ascii="Exo" w:hAnsi="Exo"/>
                <w:sz w:val="20"/>
                <w:szCs w:val="20"/>
              </w:rPr>
            </w:pPr>
            <w:r>
              <w:rPr>
                <w:rFonts w:ascii="Exo" w:hAnsi="Exo"/>
                <w:sz w:val="20"/>
                <w:szCs w:val="20"/>
              </w:rPr>
              <w:t>Para uma compreensão aprofundada recomendamos a leitura do material “Formas de mensuração da retenção de profissionais de saúde”.</w:t>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E04E3F" w:rsidRDefault="000C074F" w:rsidP="000C074F">
            <w:pPr>
              <w:pStyle w:val="QuadrosFiguras1"/>
              <w:spacing w:before="60" w:after="60" w:line="240" w:lineRule="auto"/>
              <w:jc w:val="left"/>
              <w:rPr>
                <w:rFonts w:ascii="Exo" w:hAnsi="Exo"/>
                <w:color w:val="auto"/>
              </w:rPr>
            </w:pPr>
            <w:r>
              <w:rPr>
                <w:rFonts w:ascii="Exo" w:hAnsi="Exo"/>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E04E3F" w:rsidRDefault="000C074F" w:rsidP="000C074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7F2820" w:rsidRDefault="000C074F" w:rsidP="000C074F">
            <w:pPr>
              <w:pStyle w:val="QuadrosFiguras1"/>
              <w:spacing w:before="60" w:after="60" w:line="240" w:lineRule="auto"/>
              <w:jc w:val="left"/>
              <w:rPr>
                <w:rFonts w:ascii="Exo" w:hAnsi="Exo"/>
                <w:color w:val="auto"/>
              </w:rPr>
            </w:pPr>
            <w:r w:rsidRPr="00DE0DB4">
              <w:rPr>
                <w:rFonts w:ascii="Exo" w:hAnsi="Exo"/>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7F2820" w:rsidRDefault="003A32BC" w:rsidP="000C074F">
            <w:pPr>
              <w:pStyle w:val="QuadrosFiguras1"/>
              <w:spacing w:before="60" w:after="60" w:line="240" w:lineRule="auto"/>
              <w:jc w:val="left"/>
              <w:rPr>
                <w:rFonts w:ascii="Exo" w:hAnsi="Exo"/>
                <w:color w:val="auto"/>
              </w:rPr>
            </w:pPr>
            <w:r>
              <w:rPr>
                <w:rFonts w:ascii="Exo" w:hAnsi="Exo"/>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Default="003A32BC" w:rsidP="00704B0D">
            <w:pPr>
              <w:spacing w:before="60" w:after="60"/>
              <w:rPr>
                <w:rFonts w:ascii="Exo" w:hAnsi="Exo"/>
                <w:color w:val="283E59"/>
                <w:sz w:val="20"/>
              </w:rPr>
            </w:pP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Wakerman</w:t>
            </w:r>
            <w:proofErr w:type="spellEnd"/>
            <w:r w:rsidRPr="003A32BC">
              <w:rPr>
                <w:rFonts w:ascii="Exo" w:hAnsi="Exo"/>
                <w:color w:val="283E59"/>
                <w:sz w:val="20"/>
              </w:rPr>
              <w:t xml:space="preserve"> J, </w:t>
            </w:r>
            <w:proofErr w:type="spellStart"/>
            <w:r w:rsidRPr="003A32BC">
              <w:rPr>
                <w:rFonts w:ascii="Exo" w:hAnsi="Exo"/>
                <w:color w:val="283E59"/>
                <w:sz w:val="20"/>
              </w:rPr>
              <w:t>Kuipers</w:t>
            </w:r>
            <w:proofErr w:type="spellEnd"/>
            <w:r w:rsidRPr="003A32BC">
              <w:rPr>
                <w:rFonts w:ascii="Exo" w:hAnsi="Exo"/>
                <w:color w:val="283E59"/>
                <w:sz w:val="20"/>
              </w:rPr>
              <w:t xml:space="preserve"> P, Wells R, Russell D, </w:t>
            </w:r>
            <w:proofErr w:type="spellStart"/>
            <w:r w:rsidRPr="003A32BC">
              <w:rPr>
                <w:rFonts w:ascii="Exo" w:hAnsi="Exo"/>
                <w:color w:val="283E59"/>
                <w:sz w:val="20"/>
              </w:rPr>
              <w:t>Siegloff</w:t>
            </w:r>
            <w:proofErr w:type="spellEnd"/>
            <w:r w:rsidRPr="003A32BC">
              <w:rPr>
                <w:rFonts w:ascii="Exo" w:hAnsi="Exo"/>
                <w:color w:val="283E59"/>
                <w:sz w:val="20"/>
              </w:rPr>
              <w:t xml:space="preserve"> S, et al. </w:t>
            </w:r>
            <w:proofErr w:type="spellStart"/>
            <w:r w:rsidRPr="003A32BC">
              <w:rPr>
                <w:rFonts w:ascii="Exo" w:hAnsi="Exo"/>
                <w:color w:val="283E59"/>
                <w:sz w:val="20"/>
              </w:rPr>
              <w:t>Improving</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developing</w:t>
            </w:r>
            <w:proofErr w:type="spellEnd"/>
            <w:r w:rsidRPr="003A32BC">
              <w:rPr>
                <w:rFonts w:ascii="Exo" w:hAnsi="Exo"/>
                <w:color w:val="283E59"/>
                <w:sz w:val="20"/>
              </w:rPr>
              <w:t xml:space="preserve"> </w:t>
            </w:r>
            <w:proofErr w:type="spellStart"/>
            <w:r w:rsidRPr="003A32BC">
              <w:rPr>
                <w:rFonts w:ascii="Exo" w:hAnsi="Exo"/>
                <w:color w:val="283E59"/>
                <w:sz w:val="20"/>
              </w:rPr>
              <w:t>an</w:t>
            </w:r>
            <w:proofErr w:type="spellEnd"/>
            <w:r w:rsidRPr="003A32BC">
              <w:rPr>
                <w:rFonts w:ascii="Exo" w:hAnsi="Exo"/>
                <w:color w:val="283E59"/>
                <w:sz w:val="20"/>
              </w:rPr>
              <w:t xml:space="preserve"> </w:t>
            </w:r>
            <w:proofErr w:type="spellStart"/>
            <w:r w:rsidRPr="003A32BC">
              <w:rPr>
                <w:rFonts w:ascii="Exo" w:hAnsi="Exo"/>
                <w:color w:val="283E59"/>
                <w:sz w:val="20"/>
              </w:rPr>
              <w:t>integrated</w:t>
            </w:r>
            <w:proofErr w:type="spellEnd"/>
            <w:r w:rsidRPr="003A32BC">
              <w:rPr>
                <w:rFonts w:ascii="Exo" w:hAnsi="Exo"/>
                <w:color w:val="283E59"/>
                <w:sz w:val="20"/>
              </w:rPr>
              <w:t xml:space="preserve"> </w:t>
            </w:r>
            <w:proofErr w:type="spellStart"/>
            <w:r w:rsidRPr="003A32BC">
              <w:rPr>
                <w:rFonts w:ascii="Exo" w:hAnsi="Exo"/>
                <w:color w:val="283E59"/>
                <w:sz w:val="20"/>
              </w:rPr>
              <w:t>logic</w:t>
            </w:r>
            <w:proofErr w:type="spellEnd"/>
            <w:r w:rsidRPr="003A32BC">
              <w:rPr>
                <w:rFonts w:ascii="Exo" w:hAnsi="Exo"/>
                <w:color w:val="283E59"/>
                <w:sz w:val="20"/>
              </w:rPr>
              <w:t xml:space="preserve"> model </w:t>
            </w:r>
            <w:proofErr w:type="spellStart"/>
            <w:r w:rsidRPr="003A32BC">
              <w:rPr>
                <w:rFonts w:ascii="Exo" w:hAnsi="Exo"/>
                <w:color w:val="283E59"/>
                <w:sz w:val="20"/>
              </w:rPr>
              <w:t>to</w:t>
            </w:r>
            <w:proofErr w:type="spellEnd"/>
            <w:r w:rsidRPr="003A32BC">
              <w:rPr>
                <w:rFonts w:ascii="Exo" w:hAnsi="Exo"/>
                <w:color w:val="283E59"/>
                <w:sz w:val="20"/>
              </w:rPr>
              <w:t xml:space="preserve"> </w:t>
            </w:r>
            <w:proofErr w:type="spellStart"/>
            <w:r w:rsidRPr="003A32BC">
              <w:rPr>
                <w:rFonts w:ascii="Exo" w:hAnsi="Exo"/>
                <w:color w:val="283E59"/>
                <w:sz w:val="20"/>
              </w:rPr>
              <w:t>maximise</w:t>
            </w:r>
            <w:proofErr w:type="spellEnd"/>
            <w:r w:rsidRPr="003A32BC">
              <w:rPr>
                <w:rFonts w:ascii="Exo" w:hAnsi="Exo"/>
                <w:color w:val="283E59"/>
                <w:sz w:val="20"/>
              </w:rPr>
              <w:t xml:space="preserve"> </w:t>
            </w:r>
            <w:proofErr w:type="spellStart"/>
            <w:r w:rsidRPr="003A32BC">
              <w:rPr>
                <w:rFonts w:ascii="Exo" w:hAnsi="Exo"/>
                <w:color w:val="283E59"/>
                <w:sz w:val="20"/>
              </w:rPr>
              <w:t>sustainability</w:t>
            </w:r>
            <w:proofErr w:type="spellEnd"/>
            <w:r w:rsidRPr="003A32BC">
              <w:rPr>
                <w:rFonts w:ascii="Exo" w:hAnsi="Exo"/>
                <w:color w:val="283E59"/>
                <w:sz w:val="20"/>
              </w:rPr>
              <w:t xml:space="preserve"> </w:t>
            </w:r>
            <w:proofErr w:type="spellStart"/>
            <w:r w:rsidRPr="003A32BC">
              <w:rPr>
                <w:rFonts w:ascii="Exo" w:hAnsi="Exo"/>
                <w:color w:val="283E59"/>
                <w:sz w:val="20"/>
              </w:rPr>
              <w:t>of</w:t>
            </w:r>
            <w:proofErr w:type="spellEnd"/>
            <w:r w:rsidRPr="003A32BC">
              <w:rPr>
                <w:rFonts w:ascii="Exo" w:hAnsi="Exo"/>
                <w:color w:val="283E59"/>
                <w:sz w:val="20"/>
              </w:rPr>
              <w:t xml:space="preserve"> </w:t>
            </w:r>
            <w:proofErr w:type="spellStart"/>
            <w:r w:rsidRPr="003A32BC">
              <w:rPr>
                <w:rFonts w:ascii="Exo" w:hAnsi="Exo"/>
                <w:color w:val="283E59"/>
                <w:sz w:val="20"/>
              </w:rPr>
              <w:t>small</w:t>
            </w:r>
            <w:proofErr w:type="spellEnd"/>
            <w:r w:rsidRPr="003A32BC">
              <w:rPr>
                <w:rFonts w:ascii="Exo" w:hAnsi="Exo"/>
                <w:color w:val="283E59"/>
                <w:sz w:val="20"/>
              </w:rPr>
              <w:t xml:space="preserve"> rural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remote</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services</w:t>
            </w:r>
            <w:proofErr w:type="spellEnd"/>
            <w:r w:rsidRPr="003A32BC">
              <w:rPr>
                <w:rFonts w:ascii="Exo" w:hAnsi="Exo"/>
                <w:color w:val="283E59"/>
                <w:sz w:val="20"/>
              </w:rPr>
              <w:t xml:space="preserve">. Canberra: Australian </w:t>
            </w:r>
            <w:proofErr w:type="spellStart"/>
            <w:r w:rsidRPr="003A32BC">
              <w:rPr>
                <w:rFonts w:ascii="Exo" w:hAnsi="Exo"/>
                <w:color w:val="283E59"/>
                <w:sz w:val="20"/>
              </w:rPr>
              <w:t>Primary</w:t>
            </w:r>
            <w:proofErr w:type="spellEnd"/>
            <w:r w:rsidRPr="003A32BC">
              <w:rPr>
                <w:rFonts w:ascii="Exo" w:hAnsi="Exo"/>
                <w:color w:val="283E59"/>
                <w:sz w:val="20"/>
              </w:rPr>
              <w:t xml:space="preserve"> Health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Research</w:t>
            </w:r>
            <w:proofErr w:type="spellEnd"/>
            <w:r w:rsidRPr="003A32BC">
              <w:rPr>
                <w:rFonts w:ascii="Exo" w:hAnsi="Exo"/>
                <w:color w:val="283E59"/>
                <w:sz w:val="20"/>
              </w:rPr>
              <w:t xml:space="preserve"> </w:t>
            </w:r>
            <w:proofErr w:type="spellStart"/>
            <w:r w:rsidRPr="003A32BC">
              <w:rPr>
                <w:rFonts w:ascii="Exo" w:hAnsi="Exo"/>
                <w:color w:val="283E59"/>
                <w:sz w:val="20"/>
              </w:rPr>
              <w:t>Institute</w:t>
            </w:r>
            <w:proofErr w:type="spellEnd"/>
            <w:r w:rsidRPr="003A32BC">
              <w:rPr>
                <w:rFonts w:ascii="Exo" w:hAnsi="Exo"/>
                <w:color w:val="283E59"/>
                <w:sz w:val="20"/>
              </w:rPr>
              <w:t>; 2009.</w:t>
            </w:r>
          </w:p>
          <w:p w14:paraId="34B73507" w14:textId="54696327" w:rsidR="003A32BC" w:rsidRPr="003A32BC" w:rsidRDefault="003A32BC" w:rsidP="003A32BC">
            <w:pPr>
              <w:rPr>
                <w:rFonts w:ascii="Exo" w:hAnsi="Exo"/>
                <w:color w:val="283E59"/>
                <w:sz w:val="20"/>
              </w:rPr>
            </w:pPr>
            <w:proofErr w:type="spellStart"/>
            <w:r w:rsidRPr="003A32BC">
              <w:rPr>
                <w:rFonts w:ascii="Exo" w:hAnsi="Exo"/>
                <w:color w:val="283E59"/>
                <w:sz w:val="20"/>
              </w:rPr>
              <w:t>Chisholm</w:t>
            </w:r>
            <w:proofErr w:type="spellEnd"/>
            <w:r w:rsidRPr="003A32BC">
              <w:rPr>
                <w:rFonts w:ascii="Exo" w:hAnsi="Exo"/>
                <w:color w:val="283E59"/>
                <w:sz w:val="20"/>
              </w:rPr>
              <w:t xml:space="preserve"> M, Russell D, </w:t>
            </w: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Measuring</w:t>
            </w:r>
            <w:proofErr w:type="spellEnd"/>
            <w:r w:rsidRPr="003A32BC">
              <w:rPr>
                <w:rFonts w:ascii="Exo" w:hAnsi="Exo"/>
                <w:color w:val="283E59"/>
                <w:sz w:val="20"/>
              </w:rPr>
              <w:t xml:space="preserve"> rural </w:t>
            </w:r>
            <w:proofErr w:type="spellStart"/>
            <w:r w:rsidRPr="003A32BC">
              <w:rPr>
                <w:rFonts w:ascii="Exo" w:hAnsi="Exo"/>
                <w:color w:val="283E59"/>
                <w:sz w:val="20"/>
              </w:rPr>
              <w:t>allied</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turnover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what</w:t>
            </w:r>
            <w:proofErr w:type="spellEnd"/>
            <w:r w:rsidRPr="003A32BC">
              <w:rPr>
                <w:rFonts w:ascii="Exo" w:hAnsi="Exo"/>
                <w:color w:val="283E59"/>
                <w:sz w:val="20"/>
              </w:rPr>
              <w:t xml:space="preserve"> are </w:t>
            </w:r>
            <w:proofErr w:type="spellStart"/>
            <w:r w:rsidRPr="003A32BC">
              <w:rPr>
                <w:rFonts w:ascii="Exo" w:hAnsi="Exo"/>
                <w:color w:val="283E59"/>
                <w:sz w:val="20"/>
              </w:rPr>
              <w:t>the</w:t>
            </w:r>
            <w:proofErr w:type="spellEnd"/>
            <w:r w:rsidRPr="003A32BC">
              <w:rPr>
                <w:rFonts w:ascii="Exo" w:hAnsi="Exo"/>
                <w:color w:val="283E59"/>
                <w:sz w:val="20"/>
              </w:rPr>
              <w:t xml:space="preserve"> </w:t>
            </w:r>
            <w:proofErr w:type="spellStart"/>
            <w:r w:rsidRPr="003A32BC">
              <w:rPr>
                <w:rFonts w:ascii="Exo" w:hAnsi="Exo"/>
                <w:color w:val="283E59"/>
                <w:sz w:val="20"/>
              </w:rPr>
              <w:t>patterns</w:t>
            </w:r>
            <w:proofErr w:type="spellEnd"/>
            <w:r w:rsidRPr="003A32BC">
              <w:rPr>
                <w:rFonts w:ascii="Exo" w:hAnsi="Exo"/>
                <w:color w:val="283E59"/>
                <w:sz w:val="20"/>
              </w:rPr>
              <w:t xml:space="preserve">, </w:t>
            </w:r>
            <w:proofErr w:type="spellStart"/>
            <w:r w:rsidRPr="003A32BC">
              <w:rPr>
                <w:rFonts w:ascii="Exo" w:hAnsi="Exo"/>
                <w:color w:val="283E59"/>
                <w:sz w:val="20"/>
              </w:rPr>
              <w:t>determinants</w:t>
            </w:r>
            <w:proofErr w:type="spellEnd"/>
            <w:r w:rsidRPr="003A32BC">
              <w:rPr>
                <w:rFonts w:ascii="Exo" w:hAnsi="Exo"/>
                <w:color w:val="283E59"/>
                <w:sz w:val="20"/>
              </w:rPr>
              <w:t xml:space="preserve">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costs</w:t>
            </w:r>
            <w:proofErr w:type="spellEnd"/>
            <w:r w:rsidRPr="003A32BC">
              <w:rPr>
                <w:rFonts w:ascii="Exo" w:hAnsi="Exo"/>
                <w:color w:val="283E59"/>
                <w:sz w:val="20"/>
              </w:rPr>
              <w:t xml:space="preserve">? </w:t>
            </w:r>
            <w:proofErr w:type="spellStart"/>
            <w:r w:rsidRPr="003A32BC">
              <w:rPr>
                <w:rFonts w:ascii="Exo" w:hAnsi="Exo"/>
                <w:color w:val="283E59"/>
                <w:sz w:val="20"/>
              </w:rPr>
              <w:t>Aust</w:t>
            </w:r>
            <w:proofErr w:type="spellEnd"/>
            <w:r w:rsidRPr="003A32BC">
              <w:rPr>
                <w:rFonts w:ascii="Exo" w:hAnsi="Exo"/>
                <w:color w:val="283E59"/>
                <w:sz w:val="20"/>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E04E3F" w:rsidRDefault="003A32BC" w:rsidP="003A32BC">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E04E3F" w:rsidRDefault="003A32BC" w:rsidP="003A32BC">
            <w:pPr>
              <w:pStyle w:val="QuadrosFiguras1"/>
              <w:spacing w:before="60" w:after="60" w:line="240" w:lineRule="auto"/>
              <w:jc w:val="left"/>
              <w:rPr>
                <w:rFonts w:ascii="Exo" w:hAnsi="Exo"/>
                <w:color w:val="auto"/>
              </w:rPr>
            </w:pPr>
            <w:r w:rsidRPr="002F1090">
              <w:rPr>
                <w:rFonts w:ascii="Exo" w:hAnsi="Exo"/>
              </w:rPr>
              <w:t>Este indicador quantifica um aspecto positivo para a saúde. Nesse sentido, quanto maior o valor obtido,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0" w:name="_Hlk188949208"/>
      <w:bookmarkEnd w:id="9"/>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1" w:name="_Hlk188949234"/>
      <w:bookmarkEnd w:id="10"/>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AD6575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78457E">
        <w:rPr>
          <w:rFonts w:ascii="Exo" w:hAnsi="Exo"/>
          <w:sz w:val="20"/>
          <w:szCs w:val="20"/>
          <w:highlight w:val="yellow"/>
        </w:rPr>
        <w:t xml:space="preserve">A Figura 2 ilustra a aplicação do indicador, apresentando a distribuição espacial da qualidade da educação das escolas </w:t>
      </w:r>
      <w:r w:rsidR="00271638" w:rsidRPr="0078457E">
        <w:rPr>
          <w:rFonts w:ascii="Exo" w:hAnsi="Exo"/>
          <w:sz w:val="20"/>
          <w:szCs w:val="20"/>
          <w:highlight w:val="yellow"/>
        </w:rPr>
        <w:t>estaduais</w:t>
      </w:r>
      <w:r w:rsidRPr="0078457E">
        <w:rPr>
          <w:rFonts w:ascii="Exo" w:hAnsi="Exo"/>
          <w:sz w:val="20"/>
          <w:szCs w:val="20"/>
          <w:highlight w:val="yellow"/>
        </w:rPr>
        <w:t xml:space="preserve"> nos anos finais do ensino fundamental em São Paulo, medida pelo IDEB, no ano de 2023. É possível observar desigualdades regionais, </w:t>
      </w:r>
      <w:r w:rsidR="00271638" w:rsidRPr="0078457E">
        <w:rPr>
          <w:rFonts w:ascii="Exo" w:hAnsi="Exo"/>
          <w:sz w:val="20"/>
          <w:szCs w:val="20"/>
          <w:highlight w:val="yellow"/>
        </w:rPr>
        <w:t>com a região central e o litoral apresentando, em geral, um desempenho relativamente menos elevado</w:t>
      </w:r>
      <w:r w:rsidRPr="0078457E">
        <w:rPr>
          <w:rFonts w:ascii="Exo" w:hAnsi="Exo"/>
          <w:sz w:val="20"/>
          <w:szCs w:val="20"/>
          <w:highlight w:val="yellow"/>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A6916D0" w:rsidR="00E04E3F" w:rsidRPr="00704B0D" w:rsidRDefault="009E5CEE" w:rsidP="00704B0D">
      <w:pPr>
        <w:pStyle w:val="SemEspaamento"/>
        <w:spacing w:after="200" w:line="360" w:lineRule="auto"/>
        <w:ind w:firstLine="851"/>
        <w:jc w:val="both"/>
        <w:rPr>
          <w:rFonts w:ascii="Exo" w:hAnsi="Exo"/>
          <w:sz w:val="20"/>
          <w:szCs w:val="20"/>
        </w:rPr>
      </w:pPr>
      <w:r w:rsidRPr="00704B0D">
        <w:rPr>
          <w:rFonts w:ascii="Exo" w:hAnsi="Exo"/>
          <w:sz w:val="20"/>
          <w:szCs w:val="20"/>
        </w:rPr>
        <w:t xml:space="preserve">Para acessar o link do código que resultou no mapa, clique </w:t>
      </w:r>
      <w:hyperlink r:id="rId22" w:history="1">
        <w:r w:rsidRPr="00704B0D">
          <w:rPr>
            <w:rStyle w:val="Hyperlink"/>
            <w:rFonts w:ascii="Exo" w:hAnsi="Exo"/>
            <w:sz w:val="20"/>
            <w:szCs w:val="20"/>
          </w:rPr>
          <w:t>aqui</w:t>
        </w:r>
      </w:hyperlink>
      <w:r w:rsidRPr="00704B0D">
        <w:rPr>
          <w:rFonts w:ascii="Exo" w:hAnsi="Exo"/>
          <w:sz w:val="20"/>
          <w:szCs w:val="20"/>
        </w:rPr>
        <w:t>.</w:t>
      </w:r>
      <w:r w:rsidR="00E04E3F">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14" w:name="_Toc188883217"/>
      <w:proofErr w:type="spellStart"/>
      <w:r w:rsidRPr="00FE665A">
        <w:rPr>
          <w:rFonts w:ascii="Exo" w:hAnsi="Exo"/>
          <w:b/>
          <w:bCs/>
          <w:color w:val="auto"/>
          <w:lang w:val="en-US"/>
        </w:rPr>
        <w:lastRenderedPageBreak/>
        <w:t>Referências</w:t>
      </w:r>
      <w:bookmarkEnd w:id="14"/>
      <w:proofErr w:type="spellEnd"/>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r>
          <w:proofErr w:type="spellStart"/>
          <w:r w:rsidRPr="00FE665A">
            <w:rPr>
              <w:rFonts w:ascii="Exo" w:eastAsia="Times New Roman" w:hAnsi="Exo"/>
              <w:color w:val="000000"/>
              <w:sz w:val="20"/>
              <w:szCs w:val="20"/>
              <w:lang w:val="en-US"/>
            </w:rPr>
            <w:t>Najafpour</w:t>
          </w:r>
          <w:proofErr w:type="spellEnd"/>
          <w:r w:rsidRPr="00FE665A">
            <w:rPr>
              <w:rFonts w:ascii="Exo" w:eastAsia="Times New Roman" w:hAnsi="Exo"/>
              <w:color w:val="000000"/>
              <w:sz w:val="20"/>
              <w:szCs w:val="20"/>
              <w:lang w:val="en-US"/>
            </w:rPr>
            <w:t xml:space="preserve"> Z, Arab M, </w:t>
          </w:r>
          <w:proofErr w:type="spellStart"/>
          <w:r w:rsidRPr="00FE665A">
            <w:rPr>
              <w:rFonts w:ascii="Exo" w:eastAsia="Times New Roman" w:hAnsi="Exo"/>
              <w:color w:val="000000"/>
              <w:sz w:val="20"/>
              <w:szCs w:val="20"/>
              <w:lang w:val="en-US"/>
            </w:rPr>
            <w:t>Shayanfard</w:t>
          </w:r>
          <w:proofErr w:type="spellEnd"/>
          <w:r w:rsidRPr="00FE665A">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FE665A">
            <w:rPr>
              <w:rFonts w:ascii="Exo" w:eastAsia="Times New Roman" w:hAnsi="Exo"/>
              <w:color w:val="000000"/>
              <w:sz w:val="20"/>
              <w:szCs w:val="20"/>
              <w:lang w:val="en-US"/>
            </w:rPr>
            <w:t>doi</w:t>
          </w:r>
          <w:proofErr w:type="spellEnd"/>
          <w:r w:rsidRPr="00FE665A">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w:t>
          </w:r>
          <w:proofErr w:type="spellStart"/>
          <w:r w:rsidRPr="00FE665A">
            <w:rPr>
              <w:rFonts w:ascii="Exo" w:eastAsia="Times New Roman" w:hAnsi="Exo"/>
              <w:color w:val="000000"/>
              <w:sz w:val="20"/>
              <w:szCs w:val="20"/>
              <w:lang w:val="en-US"/>
            </w:rPr>
            <w:t>Samadashvili</w:t>
          </w:r>
          <w:proofErr w:type="spellEnd"/>
          <w:r w:rsidRPr="00FE665A">
            <w:rPr>
              <w:rFonts w:ascii="Exo" w:eastAsia="Times New Roman" w:hAnsi="Exo"/>
              <w:color w:val="000000"/>
              <w:sz w:val="20"/>
              <w:szCs w:val="20"/>
              <w:lang w:val="en-US"/>
            </w:rPr>
            <w:t xml:space="preserve"> L, </w:t>
          </w:r>
          <w:proofErr w:type="spellStart"/>
          <w:r w:rsidRPr="00FE665A">
            <w:rPr>
              <w:rFonts w:ascii="Exo" w:eastAsia="Times New Roman" w:hAnsi="Exo"/>
              <w:color w:val="000000"/>
              <w:sz w:val="20"/>
              <w:szCs w:val="20"/>
              <w:lang w:val="en-US"/>
            </w:rPr>
            <w:t>Scotter</w:t>
          </w:r>
          <w:proofErr w:type="spellEnd"/>
          <w:r w:rsidRPr="00FE665A">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FE665A">
            <w:rPr>
              <w:rFonts w:ascii="Exo" w:eastAsia="Times New Roman" w:hAnsi="Exo"/>
              <w:color w:val="000000"/>
              <w:sz w:val="20"/>
              <w:szCs w:val="20"/>
              <w:lang w:val="en-US"/>
            </w:rPr>
            <w:t xml:space="preserve">Brasília: </w:t>
          </w:r>
          <w:proofErr w:type="spellStart"/>
          <w:r w:rsidRPr="00FE665A">
            <w:rPr>
              <w:rFonts w:ascii="Exo" w:eastAsia="Times New Roman" w:hAnsi="Exo"/>
              <w:color w:val="000000"/>
              <w:sz w:val="20"/>
              <w:szCs w:val="20"/>
              <w:lang w:val="en-US"/>
            </w:rPr>
            <w:t>Editora</w:t>
          </w:r>
          <w:proofErr w:type="spellEnd"/>
          <w:r w:rsidRPr="00FE665A">
            <w:rPr>
              <w:rFonts w:ascii="Exo" w:eastAsia="Times New Roman" w:hAnsi="Exo"/>
              <w:color w:val="000000"/>
              <w:sz w:val="20"/>
              <w:szCs w:val="20"/>
              <w:lang w:val="en-US"/>
            </w:rPr>
            <w:t xml:space="preserve"> MS; 2007.</w:t>
          </w:r>
        </w:p>
        <w:p w14:paraId="1AD0438A" w14:textId="4A1293CA" w:rsidR="0078205E" w:rsidRPr="00A02D65" w:rsidRDefault="00A02D65" w:rsidP="001A6058">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5" w:displacedByCustomXml="next"/>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2-07T11:20:00Z" w:initials="HRDS">
    <w:p w14:paraId="0347EAF9" w14:textId="0435B4CE" w:rsidR="00B12FBF" w:rsidRDefault="00B12FBF">
      <w:pPr>
        <w:pStyle w:val="Textodecomentrio"/>
      </w:pPr>
      <w:r>
        <w:rPr>
          <w:rStyle w:val="Refdecomentrio"/>
        </w:rPr>
        <w:annotationRef/>
      </w:r>
      <w:r>
        <w:t>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7EA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06B02" w16cex:dateUtc="2025-02-07T1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7EAF9" w16cid:durableId="2B506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6456" w14:textId="77777777" w:rsidR="00BA7F31" w:rsidRDefault="00BA7F31" w:rsidP="0078205E">
      <w:pPr>
        <w:spacing w:after="0" w:line="240" w:lineRule="auto"/>
      </w:pPr>
      <w:r>
        <w:separator/>
      </w:r>
    </w:p>
  </w:endnote>
  <w:endnote w:type="continuationSeparator" w:id="0">
    <w:p w14:paraId="38B0B167" w14:textId="77777777" w:rsidR="00BA7F31" w:rsidRDefault="00BA7F3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F04C" w14:textId="77777777" w:rsidR="00BA7F31" w:rsidRDefault="00BA7F31" w:rsidP="0078205E">
      <w:pPr>
        <w:spacing w:after="0" w:line="240" w:lineRule="auto"/>
      </w:pPr>
      <w:r>
        <w:separator/>
      </w:r>
    </w:p>
  </w:footnote>
  <w:footnote w:type="continuationSeparator" w:id="0">
    <w:p w14:paraId="6C5B897A" w14:textId="77777777" w:rsidR="00BA7F31" w:rsidRDefault="00BA7F3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C074F"/>
    <w:rsid w:val="000F72D5"/>
    <w:rsid w:val="001036B2"/>
    <w:rsid w:val="001045D8"/>
    <w:rsid w:val="00113B58"/>
    <w:rsid w:val="001230C1"/>
    <w:rsid w:val="001239B3"/>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04B0D"/>
    <w:rsid w:val="00711219"/>
    <w:rsid w:val="00742328"/>
    <w:rsid w:val="0078205E"/>
    <w:rsid w:val="0078457E"/>
    <w:rsid w:val="007C635E"/>
    <w:rsid w:val="007F2820"/>
    <w:rsid w:val="00814305"/>
    <w:rsid w:val="00830899"/>
    <w:rsid w:val="00870EE1"/>
    <w:rsid w:val="008D5245"/>
    <w:rsid w:val="0090631E"/>
    <w:rsid w:val="00953952"/>
    <w:rsid w:val="00954B56"/>
    <w:rsid w:val="00972BFA"/>
    <w:rsid w:val="00977AE4"/>
    <w:rsid w:val="009E5CEE"/>
    <w:rsid w:val="00A02D65"/>
    <w:rsid w:val="00A355C7"/>
    <w:rsid w:val="00A636AB"/>
    <w:rsid w:val="00A80BE7"/>
    <w:rsid w:val="00A8102A"/>
    <w:rsid w:val="00A92A31"/>
    <w:rsid w:val="00AD7583"/>
    <w:rsid w:val="00B12FBF"/>
    <w:rsid w:val="00B13018"/>
    <w:rsid w:val="00B55CBE"/>
    <w:rsid w:val="00BA7F31"/>
    <w:rsid w:val="00BE198D"/>
    <w:rsid w:val="00C05C2B"/>
    <w:rsid w:val="00C4209A"/>
    <w:rsid w:val="00C567EB"/>
    <w:rsid w:val="00C72065"/>
    <w:rsid w:val="00C91A7B"/>
    <w:rsid w:val="00CA4CA1"/>
    <w:rsid w:val="00CA52AE"/>
    <w:rsid w:val="00CD5E5D"/>
    <w:rsid w:val="00D24869"/>
    <w:rsid w:val="00D36EEF"/>
    <w:rsid w:val="00D7294F"/>
    <w:rsid w:val="00D94830"/>
    <w:rsid w:val="00D94AD2"/>
    <w:rsid w:val="00DE0DB4"/>
    <w:rsid w:val="00E04E3F"/>
    <w:rsid w:val="00E47210"/>
    <w:rsid w:val="00E508EC"/>
    <w:rsid w:val="00E577D9"/>
    <w:rsid w:val="00E72E2A"/>
    <w:rsid w:val="00ED083E"/>
    <w:rsid w:val="00F02CA0"/>
    <w:rsid w:val="00F07AE9"/>
    <w:rsid w:val="00F34E02"/>
    <w:rsid w:val="00F5170D"/>
    <w:rsid w:val="00F902EA"/>
    <w:rsid w:val="00FB65AB"/>
    <w:rsid w:val="00FD6A8A"/>
    <w:rsid w:val="00FE665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github.com/danielppagotto/dimensionamento_m4/blob/main/01_indicadores/16_taxa_retencao/16_taxa_retencao.sql"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0B2AE1"/>
    <w:rsid w:val="001042EA"/>
    <w:rsid w:val="00201B4E"/>
    <w:rsid w:val="00275772"/>
    <w:rsid w:val="002A1305"/>
    <w:rsid w:val="003F36C7"/>
    <w:rsid w:val="0045728A"/>
    <w:rsid w:val="005A3554"/>
    <w:rsid w:val="005B5886"/>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1401</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2025-01-28T18:52:00Z</cp:lastPrinted>
  <dcterms:created xsi:type="dcterms:W3CDTF">2025-02-03T19:56:00Z</dcterms:created>
  <dcterms:modified xsi:type="dcterms:W3CDTF">2025-02-17T15:05:00Z</dcterms:modified>
</cp:coreProperties>
</file>