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77628705">
            <wp:simplePos x="0" y="0"/>
            <wp:positionH relativeFrom="page">
              <wp:align>right</wp:align>
            </wp:positionH>
            <wp:positionV relativeFrom="page">
              <wp:align>top</wp:align>
            </wp:positionV>
            <wp:extent cx="7566660"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60"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3A3EA9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E91B6E">
          <w:pPr>
            <w:pStyle w:val="CabealhodoSumrio"/>
            <w:spacing w:after="200" w:line="360" w:lineRule="aut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7A982BE5"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4</w:t>
            </w:r>
            <w:r w:rsidR="00A10CBD" w:rsidRPr="00A10CBD">
              <w:rPr>
                <w:rStyle w:val="Hyperlink"/>
                <w:rFonts w:ascii="Exo" w:hAnsi="Exo"/>
                <w:b/>
                <w:bCs/>
                <w:webHidden/>
              </w:rPr>
              <w:fldChar w:fldCharType="end"/>
            </w:r>
          </w:hyperlink>
        </w:p>
        <w:p w14:paraId="6D246238" w14:textId="6887C819" w:rsidR="00A10CBD" w:rsidRPr="00A10CBD" w:rsidRDefault="00BD1D75">
          <w:pPr>
            <w:pStyle w:val="Sumrio1"/>
            <w:tabs>
              <w:tab w:val="right" w:leader="dot" w:pos="9062"/>
            </w:tabs>
            <w:rPr>
              <w:rStyle w:val="Hyperlink"/>
              <w:rFonts w:ascii="Exo" w:hAnsi="Exo"/>
              <w:b/>
              <w:bCs/>
            </w:rPr>
          </w:pPr>
          <w:hyperlink w:anchor="_Toc188267167" w:history="1">
            <w:r w:rsidR="00A10CBD" w:rsidRPr="00B47ED9">
              <w:rPr>
                <w:rStyle w:val="Hyperlink"/>
                <w:rFonts w:ascii="Exo" w:hAnsi="Exo"/>
                <w:b/>
                <w:bCs/>
                <w:noProof/>
              </w:rPr>
              <w:t>Ficha de qualificação do indicador</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_Toc188267167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5</w:t>
            </w:r>
            <w:r w:rsidR="00A10CBD" w:rsidRPr="00A10CBD">
              <w:rPr>
                <w:rStyle w:val="Hyperlink"/>
                <w:rFonts w:ascii="Exo" w:hAnsi="Exo"/>
                <w:b/>
                <w:bCs/>
                <w:webHidden/>
              </w:rPr>
              <w:fldChar w:fldCharType="end"/>
            </w:r>
          </w:hyperlink>
        </w:p>
        <w:p w14:paraId="27D8FBB3" w14:textId="5C5D3CA7" w:rsidR="00A10CBD" w:rsidRPr="00A10CBD" w:rsidRDefault="00BD1D75">
          <w:pPr>
            <w:pStyle w:val="Sumrio1"/>
            <w:tabs>
              <w:tab w:val="right" w:leader="dot" w:pos="9062"/>
            </w:tabs>
            <w:rPr>
              <w:rStyle w:val="Hyperlink"/>
              <w:rFonts w:ascii="Exo" w:hAnsi="Exo"/>
              <w:b/>
              <w:bCs/>
            </w:rPr>
          </w:pPr>
          <w:hyperlink w:anchor="_Toc188267168" w:history="1">
            <w:r w:rsidR="00A10CBD" w:rsidRPr="00B47ED9">
              <w:rPr>
                <w:rStyle w:val="Hyperlink"/>
                <w:rFonts w:ascii="Exo" w:hAnsi="Exo"/>
                <w:b/>
                <w:bCs/>
                <w:noProof/>
              </w:rPr>
              <w:t>Exemplo de aplicação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_Toc188267168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8</w:t>
            </w:r>
            <w:r w:rsidR="00A10CBD" w:rsidRPr="00A10CBD">
              <w:rPr>
                <w:rStyle w:val="Hyperlink"/>
                <w:rFonts w:ascii="Exo" w:hAnsi="Exo"/>
                <w:b/>
                <w:bCs/>
                <w:webHidden/>
              </w:rPr>
              <w:fldChar w:fldCharType="end"/>
            </w:r>
          </w:hyperlink>
        </w:p>
        <w:p w14:paraId="4A3CD785" w14:textId="63FE995A" w:rsidR="00A10CBD" w:rsidRPr="00A10CBD" w:rsidRDefault="00BD1D75">
          <w:pPr>
            <w:pStyle w:val="Sumrio1"/>
            <w:tabs>
              <w:tab w:val="right" w:leader="dot" w:pos="9062"/>
            </w:tabs>
            <w:rPr>
              <w:rStyle w:val="Hyperlink"/>
              <w:rFonts w:ascii="Exo" w:hAnsi="Exo"/>
              <w:b/>
              <w:bCs/>
            </w:rPr>
          </w:pPr>
          <w:hyperlink w:anchor="_Toc188267169" w:history="1">
            <w:r w:rsidR="00A10CBD" w:rsidRPr="00B47ED9">
              <w:rPr>
                <w:rStyle w:val="Hyperlink"/>
                <w:rFonts w:ascii="Exo" w:hAnsi="Exo"/>
                <w:b/>
                <w:bCs/>
                <w:noProof/>
              </w:rPr>
              <w:t>Referências</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_Toc188267169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9</w:t>
            </w:r>
            <w:r w:rsidR="00A10CBD"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0" w:name="_Toc188267166"/>
      <w:r w:rsidRPr="00815952">
        <w:rPr>
          <w:rFonts w:ascii="Exo" w:hAnsi="Exo"/>
          <w:b/>
          <w:bCs/>
          <w:color w:val="auto"/>
        </w:rPr>
        <w:lastRenderedPageBreak/>
        <w:t>Introdução</w:t>
      </w:r>
      <w:bookmarkEnd w:id="0"/>
    </w:p>
    <w:p w14:paraId="74067599"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Global Strategy for Human Resources for Health: Workforce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3A12849B4BD046B0826D5F89E0D3B7D1"/>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73BCE0BB"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84B5EC34DE034CDC8E349DBD11BB3B62"/>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84B5EC34DE034CDC8E349DBD11BB3B62"/>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p w14:paraId="00B525C2" w14:textId="7F06622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w:t>
      </w:r>
      <w:r w:rsidR="00FB57F0" w:rsidRPr="00EC355E">
        <w:rPr>
          <w:rFonts w:ascii="Exo" w:hAnsi="Exo"/>
          <w:sz w:val="20"/>
          <w:szCs w:val="20"/>
        </w:rPr>
        <w:t>Proporção de vínculos precarizados entre profissionais de saúde</w:t>
      </w:r>
      <w:r w:rsidR="00E47210" w:rsidRPr="00815952">
        <w:rPr>
          <w:rFonts w:ascii="Exo" w:hAnsi="Exo"/>
          <w:sz w:val="20"/>
          <w:szCs w:val="20"/>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EC355E" w:rsidRPr="00EC355E">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Pr>
              <w:rFonts w:ascii="Exo" w:hAnsi="Exo"/>
              <w:color w:val="000000"/>
              <w:sz w:val="20"/>
              <w:szCs w:val="20"/>
              <w:vertAlign w:val="superscript"/>
            </w:rPr>
            <w:t>7</w:t>
          </w:r>
          <w:r w:rsidR="00EC355E" w:rsidRPr="00971322">
            <w:rPr>
              <w:rFonts w:ascii="Exo" w:hAnsi="Exo"/>
              <w:color w:val="000000"/>
              <w:sz w:val="20"/>
              <w:szCs w:val="20"/>
              <w:vertAlign w:val="superscript"/>
            </w:rPr>
            <w:t>–</w:t>
          </w:r>
          <w:r w:rsidR="00EC355E">
            <w:rPr>
              <w:rFonts w:ascii="Exo" w:hAnsi="Exo"/>
              <w:color w:val="000000"/>
              <w:sz w:val="20"/>
              <w:szCs w:val="20"/>
              <w:vertAlign w:val="superscript"/>
            </w:rPr>
            <w:t>10</w:t>
          </w:r>
        </w:sdtContent>
      </w:sdt>
      <w:r w:rsidR="00EC355E">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752D0874" w14:textId="62C82000" w:rsidR="00912562" w:rsidRPr="00DF31B4" w:rsidRDefault="00DF31B4" w:rsidP="00DF31B4">
      <w:pPr>
        <w:pStyle w:val="SemEspaamento"/>
        <w:spacing w:after="200" w:line="360" w:lineRule="auto"/>
        <w:ind w:firstLine="851"/>
        <w:jc w:val="both"/>
        <w:rPr>
          <w:rFonts w:ascii="Exo" w:hAnsi="Exo"/>
          <w:sz w:val="20"/>
          <w:szCs w:val="20"/>
        </w:rPr>
      </w:pPr>
      <w:bookmarkStart w:id="1" w:name="_Hlk188029404"/>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bookmarkEnd w:id="1"/>
      <w:r w:rsidRPr="00971322">
        <w:rPr>
          <w:rFonts w:ascii="Exo" w:hAnsi="Exo"/>
          <w:sz w:val="20"/>
          <w:szCs w:val="20"/>
        </w:rPr>
        <w:t>enfer</w:t>
      </w:r>
      <w:r w:rsidR="00940583">
        <w:rPr>
          <w:rFonts w:ascii="Exo" w:hAnsi="Exo"/>
          <w:sz w:val="20"/>
          <w:szCs w:val="20"/>
        </w:rPr>
        <w:t>meiros</w:t>
      </w:r>
      <w:r w:rsidR="005243FA">
        <w:rPr>
          <w:rFonts w:ascii="Exo" w:hAnsi="Exo"/>
          <w:sz w:val="20"/>
          <w:szCs w:val="20"/>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2" w:name="_Toc188017875"/>
      <w:bookmarkStart w:id="3" w:name="_Toc188267167"/>
      <w:bookmarkStart w:id="4"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2"/>
      <w:bookmarkEnd w:id="3"/>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DB6E59" w14:paraId="576FEBF6" w14:textId="77777777" w:rsidTr="00B47B13">
        <w:tc>
          <w:tcPr>
            <w:tcW w:w="1838" w:type="dxa"/>
            <w:shd w:val="clear" w:color="auto" w:fill="2C3864"/>
            <w:vAlign w:val="center"/>
          </w:tcPr>
          <w:bookmarkEnd w:id="4"/>
          <w:p w14:paraId="04C57AB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337" w:type="dxa"/>
            <w:vAlign w:val="center"/>
          </w:tcPr>
          <w:p w14:paraId="27007407" w14:textId="65C87E2C" w:rsidR="0078205E" w:rsidRPr="00815952" w:rsidRDefault="00FB57F0" w:rsidP="004A3585">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B47B13">
        <w:tc>
          <w:tcPr>
            <w:tcW w:w="1838" w:type="dxa"/>
            <w:shd w:val="clear" w:color="auto" w:fill="2C3864"/>
            <w:vAlign w:val="center"/>
          </w:tcPr>
          <w:p w14:paraId="7BBC17C7" w14:textId="77777777" w:rsidR="0078205E" w:rsidRPr="00815952" w:rsidRDefault="0078205E" w:rsidP="00815952">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337" w:type="dxa"/>
            <w:vAlign w:val="center"/>
          </w:tcPr>
          <w:p w14:paraId="79E91E35" w14:textId="49FEE22C" w:rsidR="0078205E" w:rsidRPr="00815952" w:rsidRDefault="00815952" w:rsidP="004A3585">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B47B13">
        <w:tc>
          <w:tcPr>
            <w:tcW w:w="1838" w:type="dxa"/>
            <w:shd w:val="clear" w:color="auto" w:fill="2C3864"/>
            <w:vAlign w:val="center"/>
          </w:tcPr>
          <w:p w14:paraId="412786D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337" w:type="dxa"/>
            <w:vAlign w:val="center"/>
          </w:tcPr>
          <w:p w14:paraId="246CB78E" w14:textId="47E830D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B47B13">
        <w:tc>
          <w:tcPr>
            <w:tcW w:w="1838" w:type="dxa"/>
            <w:shd w:val="clear" w:color="auto" w:fill="2C3864"/>
            <w:vAlign w:val="center"/>
          </w:tcPr>
          <w:p w14:paraId="69AC982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337" w:type="dxa"/>
            <w:vAlign w:val="center"/>
          </w:tcPr>
          <w:p w14:paraId="397190CB" w14:textId="2EF2FB3C" w:rsidR="00A80BE7" w:rsidRPr="00815952" w:rsidRDefault="00E716E5" w:rsidP="00E716E5">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Instituição: Ministério da Saúde, disponibilizado via Datasus</w:t>
            </w:r>
          </w:p>
        </w:tc>
      </w:tr>
      <w:tr w:rsidR="00A80BE7" w:rsidRPr="00D90F6D" w14:paraId="3D63DF76" w14:textId="77777777" w:rsidTr="00B47B13">
        <w:tc>
          <w:tcPr>
            <w:tcW w:w="1838" w:type="dxa"/>
            <w:shd w:val="clear" w:color="auto" w:fill="2C3864"/>
            <w:vAlign w:val="center"/>
          </w:tcPr>
          <w:p w14:paraId="5158A5C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337" w:type="dxa"/>
            <w:vAlign w:val="center"/>
          </w:tcPr>
          <w:p w14:paraId="4147652B" w14:textId="782D5F1E" w:rsidR="0078205E" w:rsidRPr="00C14CAD" w:rsidRDefault="0078205E" w:rsidP="00C14CAD">
            <w:pPr>
              <w:pStyle w:val="QuadrosFiguras1"/>
              <w:spacing w:before="60" w:after="20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815952">
            <w:pPr>
              <w:rPr>
                <w:rFonts w:ascii="Exo" w:hAnsi="Exo"/>
                <w:sz w:val="20"/>
              </w:rPr>
            </w:pPr>
            <w:r w:rsidRPr="00815952">
              <w:rPr>
                <w:rFonts w:ascii="Exo" w:hAnsi="Exo"/>
                <w:sz w:val="20"/>
              </w:rPr>
              <w:t>Vínculos precarizados: </w:t>
            </w:r>
          </w:p>
          <w:p w14:paraId="21B97755"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C14CAD">
            <w:pPr>
              <w:numPr>
                <w:ilvl w:val="0"/>
                <w:numId w:val="1"/>
              </w:numPr>
              <w:spacing w:after="20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C14CAD">
            <w:pPr>
              <w:spacing w:after="200"/>
              <w:ind w:right="-249"/>
              <w:rPr>
                <w:rFonts w:ascii="Exo" w:hAnsi="Exo"/>
                <w:sz w:val="20"/>
              </w:rPr>
            </w:pPr>
            <w:r w:rsidRPr="00815952">
              <w:rPr>
                <w:rFonts w:ascii="Exo" w:hAnsi="Exo"/>
                <w:sz w:val="20"/>
              </w:rPr>
              <w:t>De posse da contagem de vínculos precarizados, foi calculado o indicador.</w:t>
            </w:r>
          </w:p>
          <w:p w14:paraId="5E866243" w14:textId="1009EE74" w:rsidR="0078205E" w:rsidRPr="00815952" w:rsidRDefault="0078205E" w:rsidP="00C14CAD">
            <w:pPr>
              <w:spacing w:after="200"/>
              <w:jc w:val="both"/>
              <w:rPr>
                <w:rFonts w:ascii="Exo" w:hAnsi="Exo"/>
                <w:sz w:val="20"/>
              </w:rPr>
            </w:pPr>
            <w:r w:rsidRPr="00815952">
              <w:rPr>
                <w:rFonts w:ascii="Exo" w:hAnsi="Exo"/>
                <w:sz w:val="20"/>
              </w:rPr>
              <w:t>A variável TP_UNID (CNES_PF) foi utilizada para classificar a unidade a qual o vínculo pertence. A divisão foi feita conforme:</w:t>
            </w:r>
          </w:p>
          <w:p w14:paraId="64748B37" w14:textId="77777777" w:rsidR="0078205E" w:rsidRPr="00815952" w:rsidRDefault="0078205E" w:rsidP="00815952">
            <w:pPr>
              <w:rPr>
                <w:rFonts w:ascii="Exo" w:hAnsi="Exo"/>
                <w:sz w:val="20"/>
              </w:rPr>
            </w:pPr>
            <w:r w:rsidRPr="00815952">
              <w:rPr>
                <w:rFonts w:ascii="Exo" w:hAnsi="Exo"/>
                <w:sz w:val="20"/>
              </w:rPr>
              <w:t>Atenção Primária à Saúde: </w:t>
            </w:r>
          </w:p>
          <w:p w14:paraId="660DA5E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C14CAD">
            <w:pPr>
              <w:numPr>
                <w:ilvl w:val="0"/>
                <w:numId w:val="2"/>
              </w:numPr>
              <w:spacing w:after="200"/>
              <w:ind w:left="714" w:hanging="357"/>
              <w:textAlignment w:val="baseline"/>
              <w:rPr>
                <w:rFonts w:ascii="Exo" w:hAnsi="Exo"/>
                <w:sz w:val="20"/>
              </w:rPr>
            </w:pPr>
            <w:r w:rsidRPr="00815952">
              <w:rPr>
                <w:rFonts w:ascii="Exo" w:hAnsi="Exo"/>
                <w:sz w:val="20"/>
              </w:rPr>
              <w:t>polo academia da saúde (TP_UNID = “74”).</w:t>
            </w:r>
          </w:p>
          <w:p w14:paraId="11CFFB9A" w14:textId="77777777" w:rsidR="0078205E" w:rsidRPr="00815952" w:rsidRDefault="0078205E" w:rsidP="00815952">
            <w:pPr>
              <w:rPr>
                <w:rFonts w:ascii="Exo" w:hAnsi="Exo"/>
                <w:sz w:val="20"/>
              </w:rPr>
            </w:pPr>
            <w:r w:rsidRPr="00815952">
              <w:rPr>
                <w:rFonts w:ascii="Exo" w:hAnsi="Exo"/>
                <w:sz w:val="20"/>
              </w:rPr>
              <w:t>Atenção Secundária à Saúde: </w:t>
            </w:r>
          </w:p>
          <w:p w14:paraId="72F4088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de apoio diagnose e terapia (sadt isolado) (TP_UNID = “39”);</w:t>
            </w:r>
          </w:p>
          <w:p w14:paraId="7616998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lastRenderedPageBreak/>
              <w:t>hospital/dia – isolado (TP_UNID = “62”);</w:t>
            </w:r>
          </w:p>
          <w:p w14:paraId="70B20744"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C14CAD">
            <w:pPr>
              <w:numPr>
                <w:ilvl w:val="0"/>
                <w:numId w:val="3"/>
              </w:numPr>
              <w:spacing w:after="20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815952">
            <w:pPr>
              <w:rPr>
                <w:rFonts w:ascii="Exo" w:hAnsi="Exo"/>
                <w:sz w:val="20"/>
              </w:rPr>
            </w:pPr>
            <w:r w:rsidRPr="00815952">
              <w:rPr>
                <w:rFonts w:ascii="Exo" w:hAnsi="Exo"/>
                <w:sz w:val="20"/>
              </w:rPr>
              <w:t>Atenção Terciária à Saúde: </w:t>
            </w:r>
          </w:p>
          <w:p w14:paraId="1F43527A"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C14CAD">
            <w:pPr>
              <w:numPr>
                <w:ilvl w:val="0"/>
                <w:numId w:val="4"/>
              </w:numPr>
              <w:spacing w:after="20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815952">
            <w:pPr>
              <w:rPr>
                <w:rFonts w:ascii="Exo" w:hAnsi="Exo"/>
                <w:sz w:val="20"/>
              </w:rPr>
            </w:pPr>
            <w:r w:rsidRPr="00815952">
              <w:rPr>
                <w:rFonts w:ascii="Exo" w:hAnsi="Exo"/>
                <w:sz w:val="20"/>
              </w:rPr>
              <w:t>Outros/Múltiplos: </w:t>
            </w:r>
          </w:p>
          <w:p w14:paraId="0036478F" w14:textId="77777777" w:rsidR="0078205E" w:rsidRPr="00815952" w:rsidRDefault="0078205E" w:rsidP="00C14CAD">
            <w:pPr>
              <w:numPr>
                <w:ilvl w:val="0"/>
                <w:numId w:val="5"/>
              </w:numPr>
              <w:spacing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B47B13">
        <w:trPr>
          <w:trHeight w:val="1254"/>
        </w:trPr>
        <w:tc>
          <w:tcPr>
            <w:tcW w:w="1838" w:type="dxa"/>
            <w:shd w:val="clear" w:color="auto" w:fill="2C3864"/>
            <w:vAlign w:val="center"/>
          </w:tcPr>
          <w:p w14:paraId="3B8099A5"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337" w:type="dxa"/>
            <w:vAlign w:val="center"/>
          </w:tcPr>
          <w:p w14:paraId="4F9326C2" w14:textId="77777777" w:rsidR="0078205E" w:rsidRPr="00815952" w:rsidRDefault="0078205E" w:rsidP="00815952">
            <w:pPr>
              <w:pStyle w:val="QuadrosFiguras1"/>
              <w:spacing w:before="60" w:after="60" w:line="240" w:lineRule="auto"/>
              <w:jc w:val="left"/>
              <w:rPr>
                <w:rFonts w:ascii="Exo" w:hAnsi="Exo"/>
                <w:color w:val="auto"/>
              </w:rPr>
            </w:pPr>
            <m:oMathPara>
              <m:oMath>
                <m:r>
                  <m:rPr>
                    <m:nor/>
                  </m:rPr>
                  <w:rPr>
                    <w:rFonts w:ascii="Exo" w:hAnsi="Exo"/>
                    <w:color w:val="auto"/>
                  </w:rPr>
                  <m:t xml:space="preserve">percentual precarizado = </m:t>
                </m:r>
                <m:d>
                  <m:dPr>
                    <m:ctrlPr>
                      <w:rPr>
                        <w:rFonts w:ascii="Cambria Math" w:eastAsia="Cambria Math" w:hAnsi="Cambria Math" w:cs="Cambria Math"/>
                        <w:color w:val="auto"/>
                      </w:rPr>
                    </m:ctrlPr>
                  </m:dPr>
                  <m:e>
                    <m:f>
                      <m:fPr>
                        <m:ctrlPr>
                          <w:rPr>
                            <w:rFonts w:ascii="Cambria Math" w:eastAsia="Cambria Math" w:hAnsi="Cambria Math" w:cs="Cambria Math"/>
                            <w:color w:val="auto"/>
                          </w:rPr>
                        </m:ctrlPr>
                      </m:fPr>
                      <m:num>
                        <m:r>
                          <m:rPr>
                            <m:nor/>
                          </m:rPr>
                          <w:rPr>
                            <w:rFonts w:ascii="Exo" w:hAnsi="Exo"/>
                            <w:color w:val="auto"/>
                          </w:rPr>
                          <m:t xml:space="preserve">contagem dos vínculos precarizados  </m:t>
                        </m:r>
                      </m:num>
                      <m:den>
                        <m:r>
                          <m:rPr>
                            <m:nor/>
                          </m:rPr>
                          <w:rPr>
                            <w:rFonts w:ascii="Exo" w:hAnsi="Exo"/>
                            <w:color w:val="auto"/>
                          </w:rPr>
                          <m:t xml:space="preserve">total de vínculos </m:t>
                        </m:r>
                      </m:den>
                    </m:f>
                  </m:e>
                </m:d>
                <m:r>
                  <m:rPr>
                    <m:nor/>
                  </m:rPr>
                  <w:rPr>
                    <w:rFonts w:ascii="Exo" w:hAnsi="Exo"/>
                    <w:color w:val="auto"/>
                  </w:rPr>
                  <m:t xml:space="preserve"> × 100</m:t>
                </m:r>
              </m:oMath>
            </m:oMathPara>
          </w:p>
        </w:tc>
      </w:tr>
      <w:tr w:rsidR="00A80BE7" w14:paraId="56EA5B04" w14:textId="77777777" w:rsidTr="00B47B13">
        <w:tc>
          <w:tcPr>
            <w:tcW w:w="1838" w:type="dxa"/>
            <w:shd w:val="clear" w:color="auto" w:fill="2C3864"/>
            <w:vAlign w:val="center"/>
          </w:tcPr>
          <w:p w14:paraId="29460EDC"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337" w:type="dxa"/>
            <w:vAlign w:val="center"/>
          </w:tcPr>
          <w:p w14:paraId="7FB4D207" w14:textId="3109771C" w:rsidR="0078205E" w:rsidRPr="00815952" w:rsidRDefault="0078205E" w:rsidP="00E716E5">
            <w:pPr>
              <w:pStyle w:val="QuadrosFiguras1"/>
              <w:spacing w:before="60" w:after="60" w:line="240" w:lineRule="auto"/>
              <w:jc w:val="both"/>
              <w:rPr>
                <w:rFonts w:ascii="Exo" w:hAnsi="Exo"/>
                <w:color w:val="auto"/>
              </w:rPr>
            </w:pPr>
            <w:r w:rsidRPr="00815952">
              <w:rPr>
                <w:rFonts w:ascii="Exo" w:hAnsi="Exo"/>
                <w:color w:val="auto"/>
              </w:rPr>
              <w:t>Brasil, Região, Unidade</w:t>
            </w:r>
            <w:r w:rsidR="009848F1">
              <w:rPr>
                <w:rFonts w:ascii="Exo" w:hAnsi="Exo"/>
                <w:color w:val="auto"/>
              </w:rPr>
              <w:t>s</w:t>
            </w:r>
            <w:r w:rsidRPr="00815952">
              <w:rPr>
                <w:rFonts w:ascii="Exo" w:hAnsi="Exo"/>
                <w:color w:val="auto"/>
              </w:rPr>
              <w:t xml:space="preserve"> da Federação, Macrorregiões de Saúde, Regiões de Saúde e Municípios.</w:t>
            </w:r>
          </w:p>
        </w:tc>
      </w:tr>
      <w:tr w:rsidR="00A80BE7" w14:paraId="4BF1010A" w14:textId="77777777" w:rsidTr="00B47B13">
        <w:tc>
          <w:tcPr>
            <w:tcW w:w="1838" w:type="dxa"/>
            <w:shd w:val="clear" w:color="auto" w:fill="2C3864"/>
            <w:vAlign w:val="center"/>
          </w:tcPr>
          <w:p w14:paraId="77B287AF"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337" w:type="dxa"/>
            <w:vAlign w:val="center"/>
          </w:tcPr>
          <w:p w14:paraId="170C3F9C" w14:textId="22D64B02" w:rsidR="0078205E" w:rsidRPr="00815952" w:rsidRDefault="0078205E" w:rsidP="00E716E5">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B47B13">
        <w:tc>
          <w:tcPr>
            <w:tcW w:w="1838" w:type="dxa"/>
            <w:shd w:val="clear" w:color="auto" w:fill="2C3864"/>
            <w:vAlign w:val="center"/>
          </w:tcPr>
          <w:p w14:paraId="77C1AD67" w14:textId="0FDDFE97" w:rsidR="0078205E" w:rsidRPr="00815952" w:rsidRDefault="00125D8F" w:rsidP="004A3585">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337" w:type="dxa"/>
            <w:vAlign w:val="center"/>
          </w:tcPr>
          <w:p w14:paraId="5C264147"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B47B13">
        <w:tc>
          <w:tcPr>
            <w:tcW w:w="1838" w:type="dxa"/>
            <w:shd w:val="clear" w:color="auto" w:fill="2C3864"/>
            <w:vAlign w:val="center"/>
          </w:tcPr>
          <w:p w14:paraId="06304B4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337" w:type="dxa"/>
            <w:vAlign w:val="center"/>
          </w:tcPr>
          <w:p w14:paraId="05C594BB"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B47B13">
        <w:tc>
          <w:tcPr>
            <w:tcW w:w="1838" w:type="dxa"/>
            <w:shd w:val="clear" w:color="auto" w:fill="2C3864"/>
            <w:vAlign w:val="center"/>
          </w:tcPr>
          <w:p w14:paraId="54AF2EB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337" w:type="dxa"/>
            <w:vAlign w:val="center"/>
          </w:tcPr>
          <w:p w14:paraId="5FA1038A"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doi: </w:t>
            </w:r>
            <w:hyperlink r:id="rId11"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B47B13">
        <w:trPr>
          <w:trHeight w:val="60"/>
        </w:trPr>
        <w:tc>
          <w:tcPr>
            <w:tcW w:w="1838" w:type="dxa"/>
            <w:shd w:val="clear" w:color="auto" w:fill="2C3864"/>
            <w:vAlign w:val="center"/>
          </w:tcPr>
          <w:p w14:paraId="272B4D2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337" w:type="dxa"/>
            <w:vAlign w:val="center"/>
          </w:tcPr>
          <w:p w14:paraId="433BD185" w14:textId="54E8454F" w:rsidR="0078205E" w:rsidRPr="00815952" w:rsidRDefault="005C3030" w:rsidP="00815952">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r w:rsidR="00125D8F" w:rsidRPr="00DB6E59" w14:paraId="5F998FE4" w14:textId="77777777" w:rsidTr="00B47B13">
        <w:trPr>
          <w:trHeight w:val="60"/>
        </w:trPr>
        <w:tc>
          <w:tcPr>
            <w:tcW w:w="1838" w:type="dxa"/>
            <w:shd w:val="clear" w:color="auto" w:fill="2C3864"/>
            <w:vAlign w:val="center"/>
          </w:tcPr>
          <w:p w14:paraId="25939661" w14:textId="6872746C" w:rsidR="00125D8F" w:rsidRPr="00815952" w:rsidRDefault="00125D8F" w:rsidP="00125D8F">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vAlign w:val="center"/>
          </w:tcPr>
          <w:p w14:paraId="29FCBADE" w14:textId="09E95144" w:rsidR="00125D8F" w:rsidRPr="00815952" w:rsidRDefault="00125D8F" w:rsidP="00125D8F">
            <w:pPr>
              <w:pStyle w:val="QuadrosFiguras1"/>
              <w:spacing w:before="60" w:after="60" w:line="240" w:lineRule="auto"/>
              <w:jc w:val="left"/>
              <w:rPr>
                <w:rFonts w:ascii="Exo" w:hAnsi="Exo"/>
                <w:color w:val="auto"/>
              </w:rPr>
            </w:pPr>
            <w:r w:rsidRPr="00B3380F">
              <w:rPr>
                <w:rFonts w:ascii="Exo" w:hAnsi="Exo"/>
              </w:rPr>
              <w:t>As análises realizadas são limitadas aos dados disponíveis na base do CNES-PF, disponibilizado pelo Ministério da Saúde, via Datasus.</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bookmarkStart w:id="5" w:name="_Hlk188276167"/>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 </w:t>
      </w:r>
    </w:p>
    <w:bookmarkEnd w:id="5"/>
    <w:p w14:paraId="0E1BC1F0" w14:textId="5A0F2EAB" w:rsidR="00C55C88" w:rsidRPr="00125D8F" w:rsidRDefault="00C55C88" w:rsidP="00C55C88">
      <w:pPr>
        <w:pStyle w:val="Legenda"/>
        <w:keepNext/>
        <w:spacing w:after="0"/>
        <w:jc w:val="center"/>
        <w:rPr>
          <w:rFonts w:ascii="Exo" w:hAnsi="Exo"/>
          <w:b/>
          <w:bCs/>
          <w:color w:val="auto"/>
        </w:rPr>
      </w:pPr>
      <w:r w:rsidRPr="00125D8F">
        <w:rPr>
          <w:rFonts w:ascii="Exo" w:hAnsi="Exo"/>
          <w:b/>
          <w:bCs/>
          <w:color w:val="auto"/>
        </w:rPr>
        <w:lastRenderedPageBreak/>
        <w:t>Figura 1 - Artefatos da consulta</w:t>
      </w:r>
    </w:p>
    <w:p w14:paraId="045DC2D3" w14:textId="14A2067D" w:rsidR="00D51554" w:rsidRPr="00125D8F" w:rsidRDefault="00125D8F" w:rsidP="00125D8F">
      <w:pPr>
        <w:pStyle w:val="PargrafodaLista"/>
        <w:ind w:left="0"/>
        <w:jc w:val="center"/>
        <w:rPr>
          <w:rFonts w:ascii="Montserrat" w:hAnsi="Montserrat"/>
          <w:noProof/>
        </w:rPr>
      </w:pPr>
      <w:commentRangeStart w:id="6"/>
      <w:r>
        <w:rPr>
          <w:rFonts w:ascii="Montserrat" w:hAnsi="Montserrat"/>
          <w:noProof/>
        </w:rPr>
        <w:drawing>
          <wp:inline distT="0" distB="0" distL="0" distR="0" wp14:anchorId="4C728E8B" wp14:editId="50F66617">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6"/>
      <w:r w:rsidR="004309CE">
        <w:rPr>
          <w:rStyle w:val="Refdecomentrio"/>
        </w:rPr>
        <w:commentReference w:id="6"/>
      </w:r>
    </w:p>
    <w:p w14:paraId="168BADB3" w14:textId="7CC1A3EB" w:rsidR="00A359AE" w:rsidRPr="00E42B2D" w:rsidRDefault="006F3C63" w:rsidP="00E42B2D">
      <w:pPr>
        <w:pStyle w:val="PargrafodaLista"/>
        <w:ind w:left="0"/>
        <w:jc w:val="center"/>
        <w:rPr>
          <w:rFonts w:ascii="Exo" w:hAnsi="Exo"/>
          <w:i/>
          <w:iCs/>
          <w:sz w:val="18"/>
          <w:szCs w:val="18"/>
        </w:rPr>
      </w:pPr>
      <w:r w:rsidRPr="00125D8F">
        <w:rPr>
          <w:rFonts w:ascii="Exo" w:hAnsi="Exo"/>
          <w:i/>
          <w:iCs/>
          <w:sz w:val="18"/>
          <w:szCs w:val="18"/>
        </w:rPr>
        <w:t>Fonte: elaborado pelos autores</w:t>
      </w:r>
      <w:r w:rsidR="00A359AE">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9" w:name="_Toc188267168"/>
      <w:r w:rsidRPr="00EC355E">
        <w:rPr>
          <w:rFonts w:ascii="Exo" w:hAnsi="Exo"/>
          <w:b/>
          <w:bCs/>
          <w:color w:val="auto"/>
        </w:rPr>
        <w:lastRenderedPageBreak/>
        <w:t>Exemplo de aplicação</w:t>
      </w:r>
      <w:bookmarkEnd w:id="9"/>
    </w:p>
    <w:p w14:paraId="43A51949" w14:textId="3864D330" w:rsidR="00C55C88" w:rsidRPr="00EC355E" w:rsidRDefault="00C55C88" w:rsidP="00890A13">
      <w:pPr>
        <w:pStyle w:val="SemEspaamento"/>
        <w:spacing w:after="200" w:line="360" w:lineRule="auto"/>
        <w:ind w:firstLine="851"/>
        <w:jc w:val="both"/>
        <w:rPr>
          <w:rFonts w:ascii="Exo" w:hAnsi="Exo"/>
          <w:sz w:val="20"/>
          <w:szCs w:val="20"/>
        </w:rPr>
      </w:pPr>
      <w:bookmarkStart w:id="10" w:name="_Hlk188344943"/>
      <w:bookmarkStart w:id="11" w:name="_Hlk188276652"/>
      <w:r w:rsidRPr="00EC355E">
        <w:rPr>
          <w:rFonts w:ascii="Exo" w:hAnsi="Exo"/>
          <w:sz w:val="20"/>
          <w:szCs w:val="20"/>
        </w:rPr>
        <w:t xml:space="preserve">A figura 2 </w:t>
      </w:r>
      <w:r w:rsidR="00E82102">
        <w:rPr>
          <w:rFonts w:ascii="Exo" w:hAnsi="Exo"/>
          <w:sz w:val="20"/>
          <w:szCs w:val="20"/>
        </w:rPr>
        <w:t>exemplifica</w:t>
      </w:r>
      <w:r w:rsidR="00E82102" w:rsidRPr="002E7BD9">
        <w:rPr>
          <w:rFonts w:ascii="Exo" w:hAnsi="Exo"/>
          <w:sz w:val="20"/>
          <w:szCs w:val="20"/>
        </w:rPr>
        <w:t xml:space="preserve"> </w:t>
      </w:r>
      <w:r w:rsidR="00E82102">
        <w:rPr>
          <w:rFonts w:ascii="Exo" w:hAnsi="Exo"/>
          <w:sz w:val="20"/>
          <w:szCs w:val="20"/>
        </w:rPr>
        <w:t>a</w:t>
      </w:r>
      <w:r w:rsidR="00E82102" w:rsidRPr="002E7BD9">
        <w:rPr>
          <w:rFonts w:ascii="Exo" w:hAnsi="Exo"/>
          <w:sz w:val="20"/>
          <w:szCs w:val="20"/>
        </w:rPr>
        <w:t xml:space="preserve"> aplicação </w:t>
      </w:r>
      <w:r w:rsidR="00E82102">
        <w:rPr>
          <w:rFonts w:ascii="Exo" w:hAnsi="Exo"/>
          <w:sz w:val="20"/>
          <w:szCs w:val="20"/>
        </w:rPr>
        <w:t>do</w:t>
      </w:r>
      <w:r w:rsidR="00E82102" w:rsidRPr="002E7BD9">
        <w:rPr>
          <w:rFonts w:ascii="Exo" w:hAnsi="Exo"/>
          <w:sz w:val="20"/>
          <w:szCs w:val="20"/>
        </w:rPr>
        <w:t xml:space="preserve"> indicador</w:t>
      </w:r>
      <w:r w:rsidRPr="00EC355E">
        <w:rPr>
          <w:rFonts w:ascii="Exo" w:hAnsi="Exo"/>
          <w:sz w:val="20"/>
          <w:szCs w:val="20"/>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10"/>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314571">
      <w:pPr>
        <w:pStyle w:val="NormalWeb"/>
        <w:spacing w:before="0" w:beforeAutospacing="0" w:after="0" w:afterAutospacing="0"/>
        <w:jc w:val="center"/>
        <w:rPr>
          <w:noProof/>
        </w:rPr>
      </w:pPr>
      <w:r w:rsidRPr="00314571">
        <w:rPr>
          <w:noProof/>
        </w:rPr>
        <w:drawing>
          <wp:inline distT="0" distB="0" distL="0" distR="0" wp14:anchorId="1DC29B00" wp14:editId="6DDEABA9">
            <wp:extent cx="5708968" cy="4906010"/>
            <wp:effectExtent l="19050" t="19050" r="25400"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21"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DF31B4">
      <w:pPr>
        <w:pStyle w:val="PargrafodaLista"/>
        <w:ind w:left="0"/>
        <w:jc w:val="center"/>
        <w:rPr>
          <w:rFonts w:ascii="Exo" w:hAnsi="Exo"/>
          <w:i/>
          <w:iCs/>
          <w:sz w:val="18"/>
          <w:szCs w:val="18"/>
        </w:rPr>
      </w:pPr>
      <w:r w:rsidRPr="00DF31B4">
        <w:rPr>
          <w:rFonts w:ascii="Exo" w:hAnsi="Exo"/>
          <w:i/>
          <w:iCs/>
          <w:sz w:val="18"/>
          <w:szCs w:val="18"/>
        </w:rPr>
        <w:t>Fonte: elaborado pelos autores</w:t>
      </w:r>
    </w:p>
    <w:p w14:paraId="5F87E8B2" w14:textId="2BBA7A1D" w:rsidR="00C55C88" w:rsidRPr="00E42B2D" w:rsidRDefault="00C55C88" w:rsidP="00E42B2D">
      <w:pPr>
        <w:pStyle w:val="NormalWeb"/>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sidR="00E716E5">
        <w:rPr>
          <w:rFonts w:ascii="Exo" w:eastAsiaTheme="minorHAnsi" w:hAnsi="Exo" w:cstheme="minorBidi"/>
          <w:kern w:val="2"/>
          <w:sz w:val="20"/>
          <w:szCs w:val="20"/>
          <w:lang w:eastAsia="en-US"/>
          <w14:ligatures w14:val="standardContextual"/>
        </w:rPr>
        <w:t xml:space="preserve">e </w:t>
      </w:r>
      <w:hyperlink r:id="rId22" w:history="1">
        <w:r w:rsidR="00E716E5" w:rsidRPr="00E716E5">
          <w:rPr>
            <w:rStyle w:val="Hyperlink"/>
            <w:rFonts w:ascii="Exo" w:eastAsiaTheme="minorHAnsi" w:hAnsi="Exo" w:cstheme="minorBidi"/>
            <w:kern w:val="2"/>
            <w:sz w:val="20"/>
            <w:szCs w:val="20"/>
            <w:lang w:eastAsia="en-US"/>
            <w14:ligatures w14:val="standardContextual"/>
          </w:rPr>
          <w:t>aqui</w:t>
        </w:r>
      </w:hyperlink>
      <w:r w:rsidR="00E716E5">
        <w:rPr>
          <w:rFonts w:ascii="Exo" w:eastAsiaTheme="minorHAnsi" w:hAnsi="Exo" w:cstheme="minorBidi"/>
          <w:kern w:val="2"/>
          <w:sz w:val="20"/>
          <w:szCs w:val="20"/>
          <w:lang w:eastAsia="en-US"/>
          <w14:ligatures w14:val="standardContextual"/>
        </w:rPr>
        <w:t>.</w:t>
      </w:r>
      <w:bookmarkEnd w:id="11"/>
      <w:r>
        <w:rPr>
          <w:rFonts w:ascii="Montserrat" w:hAnsi="Montserrat"/>
          <w:b/>
          <w:bCs/>
        </w:rPr>
        <w:br w:type="page"/>
      </w:r>
    </w:p>
    <w:p w14:paraId="134DFC03" w14:textId="1F782749" w:rsidR="00BB2978" w:rsidRPr="00EC355E" w:rsidRDefault="00666086" w:rsidP="00EC355E">
      <w:pPr>
        <w:pStyle w:val="Ttulo1"/>
        <w:spacing w:after="200" w:line="360" w:lineRule="auto"/>
        <w:jc w:val="center"/>
        <w:rPr>
          <w:rFonts w:ascii="Exo" w:hAnsi="Exo"/>
          <w:b/>
          <w:bCs/>
          <w:color w:val="auto"/>
        </w:rPr>
      </w:pPr>
      <w:bookmarkStart w:id="12" w:name="_Toc188267169"/>
      <w:r w:rsidRPr="00EC355E">
        <w:rPr>
          <w:rFonts w:ascii="Exo" w:hAnsi="Exo"/>
          <w:b/>
          <w:bCs/>
          <w:color w:val="auto"/>
        </w:rPr>
        <w:lastRenderedPageBreak/>
        <w:t>Referências</w:t>
      </w:r>
      <w:bookmarkEnd w:id="12"/>
    </w:p>
    <w:sdt>
      <w:sdtPr>
        <w:rPr>
          <w:rFonts w:ascii="Exo" w:eastAsia="Times New Roman" w:hAnsi="Exo"/>
          <w:color w:val="000000"/>
          <w:sz w:val="20"/>
          <w:szCs w:val="20"/>
        </w:rPr>
        <w:tag w:val="MENDELEY_BIBLIOGRAPHY"/>
        <w:id w:val="369422545"/>
        <w:placeholder>
          <w:docPart w:val="DefaultPlaceholder_-1854013440"/>
        </w:placeholder>
      </w:sdtPr>
      <w:sdtEndPr/>
      <w:sdtContent>
        <w:p w14:paraId="43E80BAE" w14:textId="18DBDDF0" w:rsidR="004A34E0" w:rsidRPr="005F3617" w:rsidRDefault="00EC355E" w:rsidP="004A34E0">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 xml:space="preserve">1. </w:t>
          </w:r>
          <w:r w:rsidRPr="004309CE">
            <w:rPr>
              <w:rFonts w:ascii="Exo" w:eastAsia="Times New Roman" w:hAnsi="Exo"/>
              <w:color w:val="000000"/>
              <w:sz w:val="20"/>
              <w:szCs w:val="20"/>
            </w:rPr>
            <w:tab/>
          </w:r>
          <w:bookmarkStart w:id="13" w:name="_Hlk188366308"/>
          <w:r w:rsidR="004A34E0" w:rsidRPr="00962562">
            <w:rPr>
              <w:rFonts w:ascii="Exo" w:eastAsia="Times New Roman" w:hAnsi="Exo"/>
              <w:color w:val="000000"/>
              <w:sz w:val="20"/>
              <w:szCs w:val="20"/>
            </w:rPr>
            <w:t>World Health Organization</w:t>
          </w:r>
          <w:r w:rsidR="004A34E0" w:rsidRPr="00420B56">
            <w:rPr>
              <w:rFonts w:ascii="Exo" w:eastAsia="Times New Roman" w:hAnsi="Exo"/>
              <w:color w:val="000000"/>
              <w:sz w:val="20"/>
              <w:szCs w:val="20"/>
            </w:rPr>
            <w:t>. Global strategy on human resources for health: Workforce 2030.</w:t>
          </w:r>
          <w:r w:rsidR="004A34E0">
            <w:rPr>
              <w:rFonts w:ascii="Exo" w:eastAsia="Times New Roman" w:hAnsi="Exo"/>
              <w:color w:val="000000"/>
              <w:sz w:val="20"/>
              <w:szCs w:val="20"/>
            </w:rPr>
            <w:t xml:space="preserve"> </w:t>
          </w:r>
          <w:r w:rsidR="004A34E0" w:rsidRPr="00962562">
            <w:rPr>
              <w:rFonts w:ascii="Exo" w:eastAsia="Times New Roman" w:hAnsi="Exo"/>
              <w:color w:val="000000"/>
              <w:sz w:val="20"/>
              <w:szCs w:val="20"/>
            </w:rPr>
            <w:t>Geneva: WHO;</w:t>
          </w:r>
          <w:r w:rsidR="004A34E0" w:rsidRPr="00420B56">
            <w:rPr>
              <w:rFonts w:ascii="Exo" w:eastAsia="Times New Roman" w:hAnsi="Exo"/>
              <w:color w:val="000000"/>
              <w:sz w:val="20"/>
              <w:szCs w:val="20"/>
            </w:rPr>
            <w:t xml:space="preserve"> 2016. </w:t>
          </w:r>
        </w:p>
        <w:p w14:paraId="3814E72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r w:rsidRPr="00962562">
            <w:rPr>
              <w:rFonts w:ascii="Exo" w:eastAsia="Times New Roman" w:hAnsi="Exo"/>
              <w:color w:val="000000"/>
              <w:sz w:val="20"/>
              <w:szCs w:val="20"/>
            </w:rPr>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14F5A8C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r>
          <w:r w:rsidRPr="00A13EB6">
            <w:rPr>
              <w:rFonts w:ascii="Exo" w:eastAsia="Times New Roman" w:hAnsi="Exo"/>
              <w:color w:val="000000"/>
              <w:sz w:val="20"/>
              <w:szCs w:val="20"/>
            </w:rPr>
            <w:t>Rees GH, James R, Samadashvili L, Scotter C. Are sustainable health workforces possible? Issues and a possible remedy. Sustainability. 2023;15(4):3596. doi: 10.3390/su15043596.</w:t>
          </w:r>
        </w:p>
        <w:p w14:paraId="2F599930" w14:textId="3B64C511"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5F3617">
            <w:rPr>
              <w:rFonts w:ascii="Exo" w:eastAsia="Times New Roman" w:hAnsi="Exo"/>
              <w:color w:val="000000"/>
              <w:sz w:val="20"/>
              <w:szCs w:val="20"/>
            </w:rPr>
            <w:t>OPAS</w:t>
          </w:r>
          <w:r w:rsidRPr="00A13EB6">
            <w:rPr>
              <w:rFonts w:ascii="Exo" w:eastAsia="Times New Roman" w:hAnsi="Exo"/>
              <w:color w:val="000000"/>
              <w:sz w:val="20"/>
              <w:szCs w:val="20"/>
            </w:rPr>
            <w:t>; 2020.</w:t>
          </w:r>
        </w:p>
        <w:p w14:paraId="1B56A2AD" w14:textId="40A8F878"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Ministério da Saúde. Indicadores de gestão do trabalho em saúde: material de apoio para o Programa de Qualificação e Estruturação da Gestão do Trabalho e da Educação no SUS - ProgeSUS. Brasília: Editora MS; 2007.</w:t>
          </w:r>
        </w:p>
        <w:p w14:paraId="65AB9153" w14:textId="7ABF3159" w:rsidR="004A34E0"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r>
          <w:r w:rsidRPr="004B310A">
            <w:rPr>
              <w:rFonts w:ascii="Exo" w:eastAsia="Times New Roman" w:hAnsi="Exo"/>
              <w:color w:val="000000"/>
              <w:sz w:val="20"/>
              <w:szCs w:val="20"/>
            </w:rPr>
            <w:t xml:space="preserve">World Health Organization. Strengthening the collection, analysis and use of health workforce data and information: a handbook. Geneva: </w:t>
          </w:r>
          <w:r>
            <w:rPr>
              <w:rFonts w:ascii="Exo" w:eastAsia="Times New Roman" w:hAnsi="Exo"/>
              <w:color w:val="000000"/>
              <w:sz w:val="20"/>
              <w:szCs w:val="20"/>
            </w:rPr>
            <w:t>WHO</w:t>
          </w:r>
          <w:r w:rsidRPr="004B310A">
            <w:rPr>
              <w:rFonts w:ascii="Exo" w:eastAsia="Times New Roman" w:hAnsi="Exo"/>
              <w:color w:val="000000"/>
              <w:sz w:val="20"/>
              <w:szCs w:val="20"/>
            </w:rPr>
            <w:t>; 2023.</w:t>
          </w:r>
        </w:p>
        <w:bookmarkEnd w:id="13"/>
        <w:p w14:paraId="6A7181D5" w14:textId="7694F46A" w:rsidR="004A34E0" w:rsidRPr="004309CE" w:rsidRDefault="00BB2978" w:rsidP="005F3617">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r>
          <w:r w:rsidR="007100E2" w:rsidRPr="005F3617">
            <w:rPr>
              <w:rFonts w:ascii="Exo" w:eastAsia="Times New Roman" w:hAnsi="Exo"/>
              <w:color w:val="000000"/>
              <w:sz w:val="20"/>
              <w:szCs w:val="20"/>
            </w:rPr>
            <w:t xml:space="preserve">Pérez </w:t>
          </w:r>
          <w:r w:rsidR="004A34E0" w:rsidRPr="004A34E0">
            <w:rPr>
              <w:rFonts w:ascii="Exo" w:eastAsia="Times New Roman" w:hAnsi="Exo"/>
              <w:color w:val="000000"/>
              <w:sz w:val="20"/>
              <w:szCs w:val="20"/>
            </w:rPr>
            <w:t>E</w:t>
          </w:r>
          <w:r w:rsidRPr="004309CE">
            <w:rPr>
              <w:rFonts w:ascii="Exo" w:eastAsia="Times New Roman" w:hAnsi="Exo"/>
              <w:color w:val="000000"/>
              <w:sz w:val="20"/>
              <w:szCs w:val="20"/>
            </w:rPr>
            <w:t>F J</w:t>
          </w:r>
          <w:r w:rsidR="003950A5">
            <w:rPr>
              <w:rFonts w:ascii="Exo" w:eastAsia="Times New Roman" w:hAnsi="Exo"/>
              <w:color w:val="000000"/>
              <w:sz w:val="20"/>
              <w:szCs w:val="20"/>
            </w:rPr>
            <w:t>r.</w:t>
          </w:r>
          <w:r w:rsidRPr="004309CE">
            <w:rPr>
              <w:rFonts w:ascii="Exo" w:eastAsia="Times New Roman" w:hAnsi="Exo"/>
              <w:color w:val="000000"/>
              <w:sz w:val="20"/>
              <w:szCs w:val="20"/>
            </w:rPr>
            <w:t>,</w:t>
          </w:r>
          <w:r w:rsidR="005F3617">
            <w:rPr>
              <w:rFonts w:ascii="Exo" w:eastAsia="Times New Roman" w:hAnsi="Exo"/>
              <w:color w:val="000000"/>
              <w:sz w:val="20"/>
              <w:szCs w:val="20"/>
            </w:rPr>
            <w:t xml:space="preserve"> </w:t>
          </w:r>
          <w:r w:rsidR="005F3617" w:rsidRPr="004309CE">
            <w:rPr>
              <w:rFonts w:ascii="Exo" w:eastAsia="Times New Roman" w:hAnsi="Exo"/>
              <w:color w:val="000000"/>
              <w:sz w:val="20"/>
              <w:szCs w:val="20"/>
            </w:rPr>
            <w:t>David</w:t>
          </w:r>
          <w:r w:rsidRPr="004309CE">
            <w:rPr>
              <w:rFonts w:ascii="Exo" w:eastAsia="Times New Roman" w:hAnsi="Exo"/>
              <w:color w:val="000000"/>
              <w:sz w:val="20"/>
              <w:szCs w:val="20"/>
            </w:rPr>
            <w:t xml:space="preserve"> </w:t>
          </w:r>
          <w:r w:rsidR="005F3617">
            <w:rPr>
              <w:rFonts w:ascii="Exo" w:eastAsia="Times New Roman" w:hAnsi="Exo"/>
              <w:color w:val="000000"/>
              <w:sz w:val="20"/>
              <w:szCs w:val="20"/>
            </w:rPr>
            <w:t>HMSL</w:t>
          </w:r>
          <w:r w:rsidRPr="004309CE">
            <w:rPr>
              <w:rFonts w:ascii="Exo" w:eastAsia="Times New Roman" w:hAnsi="Exo"/>
              <w:color w:val="000000"/>
              <w:sz w:val="20"/>
              <w:szCs w:val="20"/>
            </w:rPr>
            <w:t>. Trabalho de enfermagem e precarização: uma revisão integrativa.</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Enferm Foco.</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2018;9(4).</w:t>
          </w:r>
        </w:p>
        <w:p w14:paraId="4D27086F" w14:textId="4B717BC5" w:rsidR="00BB2978" w:rsidRPr="004309CE" w:rsidRDefault="00BB2978" w:rsidP="004309CE">
          <w:pPr>
            <w:autoSpaceDE w:val="0"/>
            <w:autoSpaceDN w:val="0"/>
            <w:ind w:hanging="640"/>
            <w:jc w:val="both"/>
            <w:divId w:val="49959368"/>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t xml:space="preserve">Morosini MVGC. Precarização do trabalho: particularidades no setor saúde brasileiro. </w:t>
          </w:r>
          <w:r w:rsidR="005F3617" w:rsidRPr="005F3617">
            <w:rPr>
              <w:rFonts w:ascii="Exo" w:eastAsia="Times New Roman" w:hAnsi="Exo"/>
              <w:color w:val="000000"/>
              <w:sz w:val="20"/>
              <w:szCs w:val="20"/>
            </w:rPr>
            <w:t>Trab Educ Saúde. 2016 Nov;14(Suppl 1):5–7</w:t>
          </w:r>
          <w:r w:rsidRPr="004309CE">
            <w:rPr>
              <w:rFonts w:ascii="Exo" w:eastAsia="Times New Roman" w:hAnsi="Exo"/>
              <w:color w:val="000000"/>
              <w:sz w:val="20"/>
              <w:szCs w:val="20"/>
            </w:rPr>
            <w:t>.</w:t>
          </w:r>
        </w:p>
        <w:p w14:paraId="6D7B7060" w14:textId="6287FF9D" w:rsidR="00BB2978" w:rsidRPr="004309CE" w:rsidRDefault="00BB2978" w:rsidP="004309CE">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t>Cabral IB</w:t>
          </w:r>
          <w:r w:rsidR="003950A5">
            <w:rPr>
              <w:rFonts w:ascii="Exo" w:eastAsia="Times New Roman" w:hAnsi="Exo"/>
              <w:color w:val="000000"/>
              <w:sz w:val="20"/>
              <w:szCs w:val="20"/>
            </w:rPr>
            <w:t>V</w:t>
          </w:r>
          <w:r w:rsidRPr="004309CE">
            <w:rPr>
              <w:rFonts w:ascii="Exo" w:eastAsia="Times New Roman" w:hAnsi="Exo"/>
              <w:color w:val="000000"/>
              <w:sz w:val="20"/>
              <w:szCs w:val="20"/>
            </w:rPr>
            <w:t>, Silva PH</w:t>
          </w:r>
          <w:r w:rsidR="003950A5">
            <w:rPr>
              <w:rFonts w:ascii="Exo" w:eastAsia="Times New Roman" w:hAnsi="Exo"/>
              <w:color w:val="000000"/>
              <w:sz w:val="20"/>
              <w:szCs w:val="20"/>
            </w:rPr>
            <w:t>N</w:t>
          </w:r>
          <w:r w:rsidRPr="004309CE">
            <w:rPr>
              <w:rFonts w:ascii="Exo" w:eastAsia="Times New Roman" w:hAnsi="Exo"/>
              <w:color w:val="000000"/>
              <w:sz w:val="20"/>
              <w:szCs w:val="20"/>
            </w:rPr>
            <w:t>, Souza D</w:t>
          </w:r>
          <w:r w:rsidR="003950A5">
            <w:rPr>
              <w:rFonts w:ascii="Exo" w:eastAsia="Times New Roman" w:hAnsi="Exo"/>
              <w:color w:val="000000"/>
              <w:sz w:val="20"/>
              <w:szCs w:val="20"/>
            </w:rPr>
            <w:t>O</w:t>
          </w:r>
          <w:r w:rsidRPr="004309CE">
            <w:rPr>
              <w:rFonts w:ascii="Exo" w:eastAsia="Times New Roman" w:hAnsi="Exo"/>
              <w:color w:val="000000"/>
              <w:sz w:val="20"/>
              <w:szCs w:val="20"/>
            </w:rPr>
            <w:t>. Precarização do trabalho e saúde do trabalhador. Trab</w:t>
          </w:r>
          <w:r w:rsidR="003950A5">
            <w:rPr>
              <w:rFonts w:ascii="Exo" w:eastAsia="Times New Roman" w:hAnsi="Exo"/>
              <w:color w:val="000000"/>
              <w:sz w:val="20"/>
              <w:szCs w:val="20"/>
            </w:rPr>
            <w:t xml:space="preserve"> </w:t>
          </w:r>
          <w:r w:rsidRPr="004309CE">
            <w:rPr>
              <w:rFonts w:ascii="Exo" w:eastAsia="Times New Roman" w:hAnsi="Exo"/>
              <w:color w:val="000000"/>
              <w:sz w:val="20"/>
              <w:szCs w:val="20"/>
            </w:rPr>
            <w:t>Educ. 2022 Feb 3;30(3):51–65.</w:t>
          </w:r>
        </w:p>
        <w:p w14:paraId="21589BE9" w14:textId="5F32E8BC"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t xml:space="preserve">Vieira LA, Caldas LC, Gama MRJ, Almeida UR, Lemos EC, Carvalho FFB. A Educação Física como força de trabalho do SUS: análise dos tipos de vínculos profissionais. </w:t>
          </w:r>
          <w:r w:rsidR="00C9361C" w:rsidRPr="005F3617">
            <w:rPr>
              <w:rFonts w:ascii="Exo" w:eastAsia="Times New Roman" w:hAnsi="Exo"/>
              <w:color w:val="000000"/>
              <w:sz w:val="20"/>
              <w:szCs w:val="20"/>
            </w:rPr>
            <w:t>Trab Educ Saúde</w:t>
          </w:r>
          <w:r w:rsidRPr="004309CE">
            <w:rPr>
              <w:rFonts w:ascii="Exo" w:eastAsia="Times New Roman" w:hAnsi="Exo"/>
              <w:color w:val="000000"/>
              <w:sz w:val="20"/>
              <w:szCs w:val="20"/>
            </w:rPr>
            <w:t>. 2023;21.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5-01-20T10:44:00Z" w:initials="HRDS">
    <w:p w14:paraId="767EDF16" w14:textId="1470CCB4" w:rsidR="004309CE" w:rsidRDefault="004309CE">
      <w:pPr>
        <w:pStyle w:val="Textodecomentrio"/>
      </w:pPr>
      <w:bookmarkStart w:id="7" w:name="_Hlk188276634"/>
      <w:bookmarkStart w:id="8" w:name="_Hlk188276635"/>
      <w:r>
        <w:rPr>
          <w:rStyle w:val="Refdecomentrio"/>
        </w:rPr>
        <w:annotationRef/>
      </w:r>
      <w:r>
        <w:t>Add link dos dados resultantes, após atualização do nome no site dados.face.ufg.br. Add o link do dashboard após atualização do nome.</w:t>
      </w:r>
      <w:bookmarkEnd w:id="7"/>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ED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A785" w16cex:dateUtc="2025-01-20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EDF16" w16cid:durableId="2B38A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E3CE8" w14:textId="77777777" w:rsidR="00BD1D75" w:rsidRDefault="00BD1D75" w:rsidP="0078205E">
      <w:pPr>
        <w:spacing w:after="0" w:line="240" w:lineRule="auto"/>
      </w:pPr>
      <w:r>
        <w:separator/>
      </w:r>
    </w:p>
  </w:endnote>
  <w:endnote w:type="continuationSeparator" w:id="0">
    <w:p w14:paraId="23F96497" w14:textId="77777777" w:rsidR="00BD1D75" w:rsidRDefault="00BD1D7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BA4D4" w14:textId="77777777" w:rsidR="00BD1D75" w:rsidRDefault="00BD1D75" w:rsidP="0078205E">
      <w:pPr>
        <w:spacing w:after="0" w:line="240" w:lineRule="auto"/>
      </w:pPr>
      <w:r>
        <w:separator/>
      </w:r>
    </w:p>
  </w:footnote>
  <w:footnote w:type="continuationSeparator" w:id="0">
    <w:p w14:paraId="7A3A063E" w14:textId="77777777" w:rsidR="00BD1D75" w:rsidRDefault="00BD1D7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7B11"/>
    <w:rsid w:val="00070E8E"/>
    <w:rsid w:val="001239B3"/>
    <w:rsid w:val="00125D8F"/>
    <w:rsid w:val="00127FBE"/>
    <w:rsid w:val="001D0EE0"/>
    <w:rsid w:val="00204B20"/>
    <w:rsid w:val="002826EF"/>
    <w:rsid w:val="00311B70"/>
    <w:rsid w:val="00314571"/>
    <w:rsid w:val="003950A5"/>
    <w:rsid w:val="003A1356"/>
    <w:rsid w:val="003F4F0E"/>
    <w:rsid w:val="003F6595"/>
    <w:rsid w:val="004309CE"/>
    <w:rsid w:val="004368D9"/>
    <w:rsid w:val="00484810"/>
    <w:rsid w:val="00484CCE"/>
    <w:rsid w:val="00485EA4"/>
    <w:rsid w:val="00496AA8"/>
    <w:rsid w:val="004A34E0"/>
    <w:rsid w:val="004A3585"/>
    <w:rsid w:val="004C446E"/>
    <w:rsid w:val="004E0F3E"/>
    <w:rsid w:val="0051118D"/>
    <w:rsid w:val="005243FA"/>
    <w:rsid w:val="005C3030"/>
    <w:rsid w:val="005F3617"/>
    <w:rsid w:val="00666086"/>
    <w:rsid w:val="006E11B0"/>
    <w:rsid w:val="006F3C63"/>
    <w:rsid w:val="007100E2"/>
    <w:rsid w:val="00761CA8"/>
    <w:rsid w:val="00766032"/>
    <w:rsid w:val="0078205E"/>
    <w:rsid w:val="0078211F"/>
    <w:rsid w:val="00797523"/>
    <w:rsid w:val="007A3D02"/>
    <w:rsid w:val="007D4175"/>
    <w:rsid w:val="00814305"/>
    <w:rsid w:val="00815952"/>
    <w:rsid w:val="0086056D"/>
    <w:rsid w:val="00861C49"/>
    <w:rsid w:val="00890A13"/>
    <w:rsid w:val="00891DF0"/>
    <w:rsid w:val="00912562"/>
    <w:rsid w:val="00940583"/>
    <w:rsid w:val="009523F1"/>
    <w:rsid w:val="009848F1"/>
    <w:rsid w:val="009A5EFB"/>
    <w:rsid w:val="009D5B60"/>
    <w:rsid w:val="009E5CEE"/>
    <w:rsid w:val="00A10CBD"/>
    <w:rsid w:val="00A24051"/>
    <w:rsid w:val="00A359AE"/>
    <w:rsid w:val="00A80BE7"/>
    <w:rsid w:val="00AF207A"/>
    <w:rsid w:val="00B13018"/>
    <w:rsid w:val="00B14702"/>
    <w:rsid w:val="00B42F76"/>
    <w:rsid w:val="00B47B13"/>
    <w:rsid w:val="00B55CBE"/>
    <w:rsid w:val="00BB2978"/>
    <w:rsid w:val="00BD1D75"/>
    <w:rsid w:val="00C05C2B"/>
    <w:rsid w:val="00C05F73"/>
    <w:rsid w:val="00C14CAD"/>
    <w:rsid w:val="00C55C88"/>
    <w:rsid w:val="00C9361C"/>
    <w:rsid w:val="00D03007"/>
    <w:rsid w:val="00D24869"/>
    <w:rsid w:val="00D36EEF"/>
    <w:rsid w:val="00D51554"/>
    <w:rsid w:val="00D7294F"/>
    <w:rsid w:val="00D94AD2"/>
    <w:rsid w:val="00DF31B4"/>
    <w:rsid w:val="00E42B2D"/>
    <w:rsid w:val="00E47210"/>
    <w:rsid w:val="00E716E5"/>
    <w:rsid w:val="00E82102"/>
    <w:rsid w:val="00E91B6E"/>
    <w:rsid w:val="00EC355E"/>
    <w:rsid w:val="00EE6E4B"/>
    <w:rsid w:val="00EF704C"/>
    <w:rsid w:val="00F2030D"/>
    <w:rsid w:val="00F4077B"/>
    <w:rsid w:val="00F71A42"/>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3_precarizacao/03_precarizacao.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A12849B4BD046B0826D5F89E0D3B7D1"/>
        <w:category>
          <w:name w:val="Geral"/>
          <w:gallery w:val="placeholder"/>
        </w:category>
        <w:types>
          <w:type w:val="bbPlcHdr"/>
        </w:types>
        <w:behaviors>
          <w:behavior w:val="content"/>
        </w:behaviors>
        <w:guid w:val="{6F921D9B-1387-4EF0-8D18-54165C63D771}"/>
      </w:docPartPr>
      <w:docPartBody>
        <w:p w:rsidR="002225DE" w:rsidRDefault="0072311A" w:rsidP="0072311A">
          <w:pPr>
            <w:pStyle w:val="3A12849B4BD046B0826D5F89E0D3B7D1"/>
          </w:pPr>
          <w:r w:rsidRPr="0031018C">
            <w:rPr>
              <w:rStyle w:val="TextodoEspaoReservado"/>
            </w:rPr>
            <w:t>Clique ou toque aqui para inserir o texto.</w:t>
          </w:r>
        </w:p>
      </w:docPartBody>
    </w:docPart>
    <w:docPart>
      <w:docPartPr>
        <w:name w:val="84B5EC34DE034CDC8E349DBD11BB3B62"/>
        <w:category>
          <w:name w:val="Geral"/>
          <w:gallery w:val="placeholder"/>
        </w:category>
        <w:types>
          <w:type w:val="bbPlcHdr"/>
        </w:types>
        <w:behaviors>
          <w:behavior w:val="content"/>
        </w:behaviors>
        <w:guid w:val="{F84FA0E8-54EF-46C8-B871-67EA8BEA4F0F}"/>
      </w:docPartPr>
      <w:docPartBody>
        <w:p w:rsidR="002225DE" w:rsidRDefault="0072311A" w:rsidP="0072311A">
          <w:pPr>
            <w:pStyle w:val="84B5EC34DE034CDC8E349DBD11BB3B62"/>
          </w:pPr>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07AA7"/>
    <w:rsid w:val="001E112C"/>
    <w:rsid w:val="00201B4E"/>
    <w:rsid w:val="002225DE"/>
    <w:rsid w:val="00225B57"/>
    <w:rsid w:val="002F75FF"/>
    <w:rsid w:val="003E3E09"/>
    <w:rsid w:val="003F4F0E"/>
    <w:rsid w:val="005F6ABA"/>
    <w:rsid w:val="006A6E0B"/>
    <w:rsid w:val="0072311A"/>
    <w:rsid w:val="007A3D02"/>
    <w:rsid w:val="009A2513"/>
    <w:rsid w:val="00A647F7"/>
    <w:rsid w:val="00A9681F"/>
    <w:rsid w:val="00AE103D"/>
    <w:rsid w:val="00BA0934"/>
    <w:rsid w:val="00C558F1"/>
    <w:rsid w:val="00CB76FE"/>
    <w:rsid w:val="00CE3671"/>
    <w:rsid w:val="00D2456A"/>
    <w:rsid w:val="00D65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2311A"/>
    <w:rPr>
      <w:color w:val="808080"/>
    </w:rPr>
  </w:style>
  <w:style w:type="paragraph" w:customStyle="1" w:styleId="3A12849B4BD046B0826D5F89E0D3B7D1">
    <w:name w:val="3A12849B4BD046B0826D5F89E0D3B7D1"/>
    <w:rsid w:val="0072311A"/>
  </w:style>
  <w:style w:type="paragraph" w:customStyle="1" w:styleId="84B5EC34DE034CDC8E349DBD11BB3B62">
    <w:name w:val="84B5EC34DE034CDC8E349DBD11BB3B62"/>
    <w:rsid w:val="0072311A"/>
  </w:style>
  <w:style w:type="paragraph" w:customStyle="1" w:styleId="99956B972B4C4B40A3A81FCF2A6EE091">
    <w:name w:val="99956B972B4C4B40A3A81FCF2A6EE091"/>
    <w:rsid w:val="00723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1694</Words>
  <Characters>9153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cp:lastPrinted>2024-12-17T16:56:00Z</cp:lastPrinted>
  <dcterms:created xsi:type="dcterms:W3CDTF">2025-01-20T14:50:00Z</dcterms:created>
  <dcterms:modified xsi:type="dcterms:W3CDTF">2025-01-22T17:33:00Z</dcterms:modified>
</cp:coreProperties>
</file>