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7343FFF2" w:rsidR="00197F3C" w:rsidRDefault="00197F3C" w:rsidP="00FB42E6">
      <w:pPr>
        <w:pStyle w:val="Texto"/>
        <w:spacing w:after="0" w:line="240" w:lineRule="auto"/>
        <w:jc w:val="center"/>
        <w:rPr>
          <w:b/>
          <w:bCs/>
          <w:sz w:val="30"/>
          <w:szCs w:val="30"/>
        </w:rPr>
      </w:pPr>
      <w:r>
        <w:rPr>
          <w:b/>
          <w:bCs/>
          <w:noProof/>
          <w:sz w:val="30"/>
          <w:szCs w:val="30"/>
          <w14:ligatures w14:val="standardContextual"/>
        </w:rPr>
        <w:drawing>
          <wp:anchor distT="0" distB="0" distL="114300" distR="114300" simplePos="0" relativeHeight="251661312" behindDoc="1" locked="0" layoutInCell="1" allowOverlap="1" wp14:anchorId="621BC36B" wp14:editId="4B9A296F">
            <wp:simplePos x="0" y="0"/>
            <wp:positionH relativeFrom="column">
              <wp:posOffset>-1065505</wp:posOffset>
            </wp:positionH>
            <wp:positionV relativeFrom="paragraph">
              <wp:posOffset>-887438</wp:posOffset>
            </wp:positionV>
            <wp:extent cx="7536813" cy="10660273"/>
            <wp:effectExtent l="0" t="0" r="7620" b="8255"/>
            <wp:wrapNone/>
            <wp:docPr id="14767384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841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6813" cy="10660273"/>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77777777"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02F7149E" w14:textId="77777777" w:rsidR="00197F3C" w:rsidRDefault="00197F3C" w:rsidP="00FB42E6">
      <w:pPr>
        <w:pStyle w:val="Texto"/>
        <w:spacing w:after="0" w:line="240" w:lineRule="auto"/>
        <w:jc w:val="center"/>
        <w:rPr>
          <w:b/>
          <w:bCs/>
          <w:sz w:val="30"/>
          <w:szCs w:val="30"/>
        </w:rPr>
      </w:pPr>
    </w:p>
    <w:p w14:paraId="186DE6B9" w14:textId="77777777" w:rsidR="00E4751F" w:rsidRDefault="00E4751F">
      <w:pPr>
        <w:rPr>
          <w:rFonts w:ascii="Exo" w:hAnsi="Exo"/>
          <w:b/>
          <w:bCs/>
          <w:color w:val="666666"/>
          <w:kern w:val="0"/>
          <w:sz w:val="30"/>
          <w:szCs w:val="30"/>
          <w14:ligatures w14:val="none"/>
        </w:rPr>
      </w:pPr>
      <w:r>
        <w:rPr>
          <w:b/>
          <w:bCs/>
          <w:sz w:val="30"/>
          <w:szCs w:val="30"/>
        </w:rPr>
        <w:br w:type="page"/>
      </w:r>
    </w:p>
    <w:p w14:paraId="2272779E" w14:textId="3842454D" w:rsidR="00E4751F" w:rsidRDefault="00E4751F" w:rsidP="0078205E">
      <w:pPr>
        <w:pStyle w:val="Texto"/>
        <w:spacing w:after="0" w:line="240" w:lineRule="auto"/>
        <w:jc w:val="center"/>
        <w:rPr>
          <w:b/>
          <w:bCs/>
          <w:sz w:val="30"/>
          <w:szCs w:val="30"/>
        </w:rPr>
      </w:pPr>
      <w:r w:rsidRPr="00E4751F">
        <w:rPr>
          <w:b/>
          <w:bCs/>
          <w:sz w:val="30"/>
          <w:szCs w:val="30"/>
        </w:rPr>
        <w:lastRenderedPageBreak/>
        <w:t>RAZÃO DE PROFISSIONAIS POR POPULAÇÃO SEGUNDO PADRONIZAÇÃO DE FULL-TIME EQUIVALENT (FTE)</w:t>
      </w:r>
    </w:p>
    <w:p w14:paraId="4C007F63" w14:textId="2A05253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FB42E6">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08B39DE" w:rsidR="0078205E" w:rsidRDefault="00E4751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headerReference w:type="default" r:id="rId9"/>
          <w:footerReference w:type="default" r:id="rId10"/>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0C4E696" w14:textId="77777777" w:rsidR="00E4751F" w:rsidRDefault="00E4751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46F56F8A" w:rsidR="00D36EEF" w:rsidRPr="00E4751F" w:rsidRDefault="00D36EEF" w:rsidP="00E4751F">
          <w:pPr>
            <w:pStyle w:val="CabealhodoSumrio"/>
            <w:spacing w:after="200" w:line="360" w:lineRule="auto"/>
            <w:jc w:val="center"/>
            <w:rPr>
              <w:rFonts w:ascii="Exo" w:hAnsi="Exo"/>
              <w:b/>
              <w:bCs/>
              <w:color w:val="auto"/>
              <w:kern w:val="2"/>
              <w:lang w:eastAsia="en-US"/>
              <w14:ligatures w14:val="standardContextual"/>
            </w:rPr>
          </w:pPr>
          <w:r w:rsidRPr="00E4751F">
            <w:rPr>
              <w:rFonts w:ascii="Exo" w:hAnsi="Exo"/>
              <w:b/>
              <w:bCs/>
              <w:color w:val="auto"/>
              <w:kern w:val="2"/>
              <w:lang w:eastAsia="en-US"/>
              <w14:ligatures w14:val="standardContextual"/>
            </w:rPr>
            <w:t>Sumário</w:t>
          </w:r>
        </w:p>
        <w:p w14:paraId="32C7BCD0" w14:textId="3E51AD1B" w:rsidR="009B3D22" w:rsidRPr="009B3D22"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374089" w:history="1">
            <w:r w:rsidR="009B3D22" w:rsidRPr="009B3D22">
              <w:rPr>
                <w:rStyle w:val="Hyperlink"/>
                <w:rFonts w:ascii="Exo" w:hAnsi="Exo"/>
                <w:b/>
                <w:bCs/>
                <w:noProof/>
              </w:rPr>
              <w:t>Introdução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_Toc188374089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4</w:t>
            </w:r>
            <w:r w:rsidR="009B3D22" w:rsidRPr="009B3D22">
              <w:rPr>
                <w:rStyle w:val="Hyperlink"/>
                <w:rFonts w:ascii="Exo" w:hAnsi="Exo"/>
                <w:b/>
                <w:bCs/>
                <w:webHidden/>
              </w:rPr>
              <w:fldChar w:fldCharType="end"/>
            </w:r>
          </w:hyperlink>
        </w:p>
        <w:p w14:paraId="33A33887" w14:textId="4ED9DDE3" w:rsidR="009B3D22" w:rsidRPr="009B3D22" w:rsidRDefault="002A4C98">
          <w:pPr>
            <w:pStyle w:val="Sumrio1"/>
            <w:tabs>
              <w:tab w:val="right" w:leader="dot" w:pos="9062"/>
            </w:tabs>
            <w:rPr>
              <w:rStyle w:val="Hyperlink"/>
              <w:rFonts w:ascii="Exo" w:hAnsi="Exo"/>
              <w:b/>
              <w:bCs/>
            </w:rPr>
          </w:pPr>
          <w:hyperlink w:anchor="_Toc188374090" w:history="1">
            <w:r w:rsidR="009B3D22" w:rsidRPr="00575D77">
              <w:rPr>
                <w:rStyle w:val="Hyperlink"/>
                <w:rFonts w:ascii="Exo" w:hAnsi="Exo"/>
                <w:b/>
                <w:bCs/>
                <w:noProof/>
              </w:rPr>
              <w:t>Ficha de qualificação do indicador</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_Toc188374090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6</w:t>
            </w:r>
            <w:r w:rsidR="009B3D22" w:rsidRPr="009B3D22">
              <w:rPr>
                <w:rStyle w:val="Hyperlink"/>
                <w:rFonts w:ascii="Exo" w:hAnsi="Exo"/>
                <w:b/>
                <w:bCs/>
                <w:webHidden/>
              </w:rPr>
              <w:fldChar w:fldCharType="end"/>
            </w:r>
          </w:hyperlink>
        </w:p>
        <w:p w14:paraId="17BC5907" w14:textId="2F794185" w:rsidR="009B3D22" w:rsidRPr="009B3D22" w:rsidRDefault="002A4C98">
          <w:pPr>
            <w:pStyle w:val="Sumrio1"/>
            <w:tabs>
              <w:tab w:val="right" w:leader="dot" w:pos="9062"/>
            </w:tabs>
            <w:rPr>
              <w:rStyle w:val="Hyperlink"/>
              <w:rFonts w:ascii="Exo" w:hAnsi="Exo"/>
              <w:b/>
              <w:bCs/>
            </w:rPr>
          </w:pPr>
          <w:hyperlink w:anchor="_Toc188374091" w:history="1">
            <w:r w:rsidR="009B3D22" w:rsidRPr="009B3D22">
              <w:rPr>
                <w:rStyle w:val="Hyperlink"/>
                <w:rFonts w:ascii="Exo" w:hAnsi="Exo"/>
                <w:b/>
                <w:bCs/>
                <w:noProof/>
              </w:rPr>
              <w:t>Exemplo de aplicação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_Toc188374091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9</w:t>
            </w:r>
            <w:r w:rsidR="009B3D22" w:rsidRPr="009B3D22">
              <w:rPr>
                <w:rStyle w:val="Hyperlink"/>
                <w:rFonts w:ascii="Exo" w:hAnsi="Exo"/>
                <w:b/>
                <w:bCs/>
                <w:webHidden/>
              </w:rPr>
              <w:fldChar w:fldCharType="end"/>
            </w:r>
          </w:hyperlink>
        </w:p>
        <w:p w14:paraId="2FB02E0C" w14:textId="317FC24A" w:rsidR="009B3D22" w:rsidRPr="009B3D22" w:rsidRDefault="002A4C98">
          <w:pPr>
            <w:pStyle w:val="Sumrio1"/>
            <w:tabs>
              <w:tab w:val="right" w:leader="dot" w:pos="9062"/>
            </w:tabs>
            <w:rPr>
              <w:rStyle w:val="Hyperlink"/>
              <w:rFonts w:ascii="Exo" w:hAnsi="Exo"/>
              <w:b/>
              <w:bCs/>
            </w:rPr>
          </w:pPr>
          <w:hyperlink w:anchor="_Toc188374092" w:history="1">
            <w:r w:rsidR="009B3D22" w:rsidRPr="00575D77">
              <w:rPr>
                <w:rStyle w:val="Hyperlink"/>
                <w:rFonts w:ascii="Exo" w:hAnsi="Exo"/>
                <w:b/>
                <w:bCs/>
                <w:noProof/>
              </w:rPr>
              <w:t>Referências</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_Toc188374092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10</w:t>
            </w:r>
            <w:r w:rsidR="009B3D22" w:rsidRPr="009B3D22">
              <w:rPr>
                <w:rStyle w:val="Hyperlink"/>
                <w:rFonts w:ascii="Exo" w:hAnsi="Exo"/>
                <w:b/>
                <w:bCs/>
                <w:webHidden/>
              </w:rPr>
              <w:fldChar w:fldCharType="end"/>
            </w:r>
          </w:hyperlink>
        </w:p>
        <w:p w14:paraId="48B11F93" w14:textId="14E3474C" w:rsidR="00E4751F" w:rsidRDefault="00D36EEF">
          <w:pPr>
            <w:rPr>
              <w:b/>
              <w:bCs/>
            </w:rPr>
          </w:pPr>
          <w:r w:rsidRPr="001239B3">
            <w:fldChar w:fldCharType="end"/>
          </w:r>
        </w:p>
      </w:sdtContent>
    </w:sdt>
    <w:p w14:paraId="17776C6F" w14:textId="09A98DC9" w:rsidR="00E4751F" w:rsidRPr="00E4751F" w:rsidRDefault="00E4751F">
      <w:pPr>
        <w:rPr>
          <w:b/>
          <w:bCs/>
        </w:rPr>
      </w:pPr>
      <w:r>
        <w:rPr>
          <w:rFonts w:ascii="Exo" w:hAnsi="Exo"/>
          <w:b/>
          <w:bCs/>
        </w:rPr>
        <w:br w:type="page"/>
      </w:r>
    </w:p>
    <w:p w14:paraId="318E65E8" w14:textId="2CCEE016" w:rsidR="00A80BE7" w:rsidRPr="00FF0722" w:rsidRDefault="00A80BE7" w:rsidP="00D36EEF">
      <w:pPr>
        <w:pStyle w:val="Ttulo1"/>
        <w:jc w:val="center"/>
        <w:rPr>
          <w:rFonts w:ascii="Exo" w:hAnsi="Exo"/>
          <w:b/>
          <w:bCs/>
          <w:color w:val="auto"/>
        </w:rPr>
      </w:pPr>
      <w:bookmarkStart w:id="0" w:name="_Toc188374089"/>
      <w:r w:rsidRPr="00FF0722">
        <w:rPr>
          <w:rFonts w:ascii="Exo" w:hAnsi="Exo"/>
          <w:b/>
          <w:bCs/>
          <w:color w:val="auto"/>
        </w:rPr>
        <w:lastRenderedPageBreak/>
        <w:t>Introdução</w:t>
      </w:r>
      <w:bookmarkEnd w:id="0"/>
    </w:p>
    <w:p w14:paraId="7021F616" w14:textId="051BE384" w:rsidR="00A80BE7" w:rsidRPr="00FF0722" w:rsidRDefault="00A80BE7" w:rsidP="005C3030">
      <w:pPr>
        <w:ind w:left="-1701"/>
        <w:rPr>
          <w:rFonts w:ascii="Exo" w:hAnsi="Exo"/>
        </w:rPr>
      </w:pPr>
    </w:p>
    <w:p w14:paraId="3DC1F46F" w14:textId="77777777" w:rsidR="00E4751F" w:rsidRPr="00971322" w:rsidRDefault="00E4751F" w:rsidP="00E4751F">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B386B9D2CB04CFDA58E48557B99D51D"/>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1CBC9679" w14:textId="77777777" w:rsidR="00E4751F" w:rsidRPr="00971322" w:rsidRDefault="00E4751F" w:rsidP="00E4751F">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BD5DA4DC6A64EC8B174FBE90A6DA828"/>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BD5DA4DC6A64EC8B174FBE90A6DA828"/>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26A5659E" w14:textId="313CB5CA" w:rsidR="005D0D45" w:rsidRPr="005D0D45" w:rsidRDefault="00D36EEF" w:rsidP="005D0D45">
      <w:pPr>
        <w:pStyle w:val="SemEspaamento"/>
        <w:spacing w:after="200" w:line="360" w:lineRule="auto"/>
        <w:ind w:firstLine="851"/>
        <w:jc w:val="both"/>
        <w:rPr>
          <w:rFonts w:ascii="Exo" w:hAnsi="Exo"/>
          <w:sz w:val="20"/>
          <w:szCs w:val="20"/>
        </w:rPr>
      </w:pPr>
      <w:r w:rsidRPr="00FF0722">
        <w:rPr>
          <w:rFonts w:ascii="Exo" w:hAnsi="Exo"/>
          <w:sz w:val="20"/>
          <w:szCs w:val="20"/>
        </w:rPr>
        <w:t>Neste documento descrevemos os processos executados para construção do indicador</w:t>
      </w:r>
      <w:r w:rsidR="00E47210" w:rsidRPr="00FF0722">
        <w:rPr>
          <w:rFonts w:ascii="Exo" w:hAnsi="Exo"/>
          <w:sz w:val="20"/>
          <w:szCs w:val="20"/>
        </w:rPr>
        <w:t xml:space="preserve"> </w:t>
      </w:r>
      <w:r w:rsidR="00E4751F">
        <w:rPr>
          <w:rFonts w:ascii="Exo" w:hAnsi="Exo"/>
          <w:sz w:val="20"/>
          <w:szCs w:val="20"/>
        </w:rPr>
        <w:t>R</w:t>
      </w:r>
      <w:r w:rsidR="005D0D45" w:rsidRPr="00E4751F">
        <w:rPr>
          <w:rFonts w:ascii="Exo" w:hAnsi="Exo"/>
          <w:sz w:val="20"/>
          <w:szCs w:val="20"/>
        </w:rPr>
        <w:t xml:space="preserve">azão de profissionais por população segundo padronização de </w:t>
      </w:r>
      <w:r w:rsidR="005D0D45" w:rsidRPr="00FF0722">
        <w:rPr>
          <w:rFonts w:ascii="Exo" w:hAnsi="Exo"/>
          <w:i/>
          <w:iCs/>
          <w:sz w:val="20"/>
        </w:rPr>
        <w:t xml:space="preserve">Full-time </w:t>
      </w:r>
      <w:proofErr w:type="spellStart"/>
      <w:r w:rsidR="005D0D45" w:rsidRPr="00FF0722">
        <w:rPr>
          <w:rFonts w:ascii="Exo" w:hAnsi="Exo"/>
          <w:i/>
          <w:iCs/>
          <w:sz w:val="20"/>
        </w:rPr>
        <w:t>equivalent</w:t>
      </w:r>
      <w:proofErr w:type="spellEnd"/>
      <w:r w:rsidR="005D0D45" w:rsidRPr="00FF0722">
        <w:rPr>
          <w:rFonts w:ascii="Exo" w:hAnsi="Exo"/>
          <w:sz w:val="20"/>
        </w:rPr>
        <w:t xml:space="preserve"> (FTE)</w:t>
      </w:r>
      <w:r w:rsidR="005D0D45">
        <w:rPr>
          <w:rFonts w:ascii="Exo" w:hAnsi="Exo"/>
          <w:sz w:val="20"/>
        </w:rPr>
        <w:t>.</w:t>
      </w:r>
      <w:r w:rsidR="005D0D45" w:rsidRPr="00FF0722" w:rsidDel="005D0D45">
        <w:rPr>
          <w:rFonts w:ascii="Exo" w:hAnsi="Exo"/>
          <w:sz w:val="20"/>
          <w:szCs w:val="20"/>
        </w:rPr>
        <w:t xml:space="preserve"> </w:t>
      </w:r>
      <w:r w:rsidR="005D0D45">
        <w:rPr>
          <w:rFonts w:ascii="Exo" w:hAnsi="Exo"/>
          <w:sz w:val="20"/>
          <w:szCs w:val="20"/>
        </w:rPr>
        <w:t xml:space="preserve">Este indicador </w:t>
      </w:r>
      <w:r w:rsidR="005D0D45" w:rsidRPr="005D0D45">
        <w:rPr>
          <w:rFonts w:ascii="Exo" w:hAnsi="Exo"/>
          <w:sz w:val="20"/>
          <w:szCs w:val="20"/>
        </w:rPr>
        <w:t>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39F38D5E" w:rsidR="005D0D45" w:rsidRPr="005D0D45" w:rsidRDefault="005D0D45" w:rsidP="005D0D45">
      <w:pPr>
        <w:pStyle w:val="SemEspaamento"/>
        <w:spacing w:after="200" w:line="360" w:lineRule="auto"/>
        <w:ind w:firstLine="851"/>
        <w:jc w:val="both"/>
        <w:rPr>
          <w:rFonts w:ascii="Exo" w:hAnsi="Exo"/>
          <w:sz w:val="20"/>
          <w:szCs w:val="20"/>
        </w:rPr>
      </w:pPr>
      <w:r w:rsidRPr="005D0D45">
        <w:rPr>
          <w:rFonts w:ascii="Exo" w:hAnsi="Exo"/>
          <w:sz w:val="20"/>
          <w:szCs w:val="20"/>
        </w:rPr>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EndPr/>
        <w:sdtContent>
          <w:r w:rsidR="00E4751F">
            <w:rPr>
              <w:rFonts w:ascii="Exo" w:hAnsi="Exo"/>
              <w:color w:val="000000"/>
              <w:sz w:val="20"/>
              <w:szCs w:val="20"/>
              <w:vertAlign w:val="superscript"/>
            </w:rPr>
            <w:t>7</w:t>
          </w:r>
        </w:sdtContent>
      </w:sdt>
      <w:r w:rsidR="00E4751F">
        <w:rPr>
          <w:rFonts w:ascii="Exo" w:hAnsi="Exo"/>
          <w:sz w:val="20"/>
          <w:szCs w:val="20"/>
        </w:rPr>
        <w:t>.</w:t>
      </w:r>
      <w:r w:rsidR="00E4751F" w:rsidRPr="005D0D45">
        <w:rPr>
          <w:rFonts w:ascii="Exo" w:hAnsi="Exo"/>
          <w:sz w:val="20"/>
          <w:szCs w:val="20"/>
        </w:rPr>
        <w:t xml:space="preserve"> </w:t>
      </w:r>
    </w:p>
    <w:p w14:paraId="587F60B3" w14:textId="79BC9A5A" w:rsidR="005D0D45" w:rsidRPr="005D0D45" w:rsidRDefault="005D0D45" w:rsidP="005D0D45">
      <w:pPr>
        <w:pStyle w:val="SemEspaamento"/>
        <w:spacing w:after="200" w:line="360" w:lineRule="auto"/>
        <w:ind w:firstLine="851"/>
        <w:jc w:val="both"/>
        <w:rPr>
          <w:rFonts w:ascii="Exo" w:hAnsi="Exo"/>
          <w:sz w:val="20"/>
          <w:szCs w:val="20"/>
        </w:rPr>
      </w:pPr>
      <w:r w:rsidRPr="005D0D45">
        <w:rPr>
          <w:rFonts w:ascii="Exo" w:hAnsi="Exo"/>
          <w:sz w:val="20"/>
          <w:szCs w:val="20"/>
        </w:rPr>
        <w:t>Além disso, a utilização do FTE facilita comparações internacionais, uma vez que diferentes países podem ter variações nas cargas horárias padrão dos profissionais de saúde. Ao padronizar essas medidas, é possível avaliar com maior precisão a eficiência e a capacidade dos sistemas de saúde em contextos globais</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EndPr/>
        <w:sdtContent>
          <w:r w:rsidR="00E4751F">
            <w:rPr>
              <w:rFonts w:ascii="Exo" w:hAnsi="Exo"/>
              <w:color w:val="000000"/>
              <w:sz w:val="20"/>
              <w:szCs w:val="20"/>
              <w:vertAlign w:val="superscript"/>
            </w:rPr>
            <w:t>8</w:t>
          </w:r>
        </w:sdtContent>
      </w:sdt>
      <w:r w:rsidR="00E4751F">
        <w:rPr>
          <w:rFonts w:ascii="Exo" w:hAnsi="Exo"/>
          <w:sz w:val="20"/>
          <w:szCs w:val="20"/>
        </w:rPr>
        <w:t>.</w:t>
      </w:r>
    </w:p>
    <w:p w14:paraId="00B525C2" w14:textId="6BBCB2AC" w:rsidR="00D36EEF" w:rsidRPr="00FF0722" w:rsidRDefault="005D0D45" w:rsidP="00E4751F">
      <w:pPr>
        <w:pStyle w:val="SemEspaamento"/>
        <w:spacing w:after="200" w:line="360" w:lineRule="auto"/>
        <w:ind w:firstLine="851"/>
        <w:jc w:val="both"/>
        <w:rPr>
          <w:rFonts w:ascii="Exo" w:hAnsi="Exo"/>
          <w:sz w:val="20"/>
          <w:szCs w:val="20"/>
        </w:rPr>
      </w:pPr>
      <w:r w:rsidRPr="005D0D45">
        <w:rPr>
          <w:rFonts w:ascii="Exo" w:hAnsi="Exo"/>
          <w:sz w:val="20"/>
          <w:szCs w:val="20"/>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EndPr/>
        <w:sdtContent>
          <w:r w:rsidR="00E4751F">
            <w:rPr>
              <w:rFonts w:ascii="Exo" w:hAnsi="Exo"/>
              <w:color w:val="000000"/>
              <w:sz w:val="20"/>
              <w:szCs w:val="20"/>
              <w:vertAlign w:val="superscript"/>
            </w:rPr>
            <w:t>9</w:t>
          </w:r>
        </w:sdtContent>
      </w:sdt>
      <w:r w:rsidRPr="005D0D45">
        <w:rPr>
          <w:rFonts w:ascii="Exo" w:hAnsi="Exo"/>
          <w:sz w:val="20"/>
          <w:szCs w:val="20"/>
        </w:rPr>
        <w:t>.</w:t>
      </w:r>
    </w:p>
    <w:p w14:paraId="02B9539E" w14:textId="11356536" w:rsidR="00EF7DCA" w:rsidRPr="00EF7DCA" w:rsidRDefault="00E4751F" w:rsidP="00EF7DCA">
      <w:pPr>
        <w:pStyle w:val="SemEspaamento"/>
        <w:spacing w:after="200" w:line="360" w:lineRule="auto"/>
        <w:ind w:firstLine="851"/>
        <w:jc w:val="both"/>
        <w:rPr>
          <w:rFonts w:ascii="Exo" w:hAnsi="Exo"/>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w:t>
      </w:r>
      <w:r w:rsidRPr="00E4751F">
        <w:rPr>
          <w:rFonts w:ascii="Exo" w:hAnsi="Exo"/>
          <w:sz w:val="20"/>
          <w:szCs w:val="20"/>
        </w:rPr>
        <w:lastRenderedPageBreak/>
        <w:t xml:space="preserve">para calcular o indicador; b) dados resultantes da consulta SQL; c) dashboard interativo que ilustra os resultados da consulta. </w:t>
      </w:r>
      <w:r w:rsidR="009B3D22" w:rsidRPr="009B3D22">
        <w:rPr>
          <w:rFonts w:ascii="Exo" w:hAnsi="Exo"/>
          <w:sz w:val="20"/>
          <w:szCs w:val="20"/>
        </w:rPr>
        <w:t xml:space="preserve">A seção subsequente traz um exemplo de aplicação do indicador para um recorte de </w:t>
      </w:r>
      <w:r w:rsidR="00982053">
        <w:rPr>
          <w:rFonts w:ascii="Exo" w:hAnsi="Exo"/>
          <w:sz w:val="20"/>
          <w:szCs w:val="20"/>
        </w:rPr>
        <w:t>enfermeiros</w:t>
      </w:r>
      <w:r w:rsidR="009B3D22" w:rsidRPr="009B3D22">
        <w:rPr>
          <w:rFonts w:ascii="Exo" w:hAnsi="Exo"/>
          <w:sz w:val="20"/>
          <w:szCs w:val="20"/>
        </w:rPr>
        <w:t>.</w:t>
      </w:r>
      <w:r w:rsidR="00EF7DCA">
        <w:rPr>
          <w:rFonts w:ascii="Exo" w:hAnsi="Exo"/>
          <w:b/>
          <w:bCs/>
        </w:rPr>
        <w:br w:type="page"/>
      </w:r>
    </w:p>
    <w:p w14:paraId="1F01902A" w14:textId="77777777" w:rsidR="00D31BBD" w:rsidRPr="00ED73FD" w:rsidRDefault="00D31BBD" w:rsidP="00D31BBD">
      <w:pPr>
        <w:pStyle w:val="Ttulo1"/>
        <w:spacing w:after="200" w:line="360" w:lineRule="auto"/>
        <w:jc w:val="center"/>
        <w:rPr>
          <w:rFonts w:ascii="Exo" w:hAnsi="Exo"/>
        </w:rPr>
      </w:pPr>
      <w:bookmarkStart w:id="3" w:name="_Toc188374090"/>
      <w:r w:rsidRPr="00A440DB">
        <w:rPr>
          <w:rFonts w:ascii="Exo" w:hAnsi="Exo"/>
          <w:b/>
          <w:bCs/>
          <w:color w:val="auto"/>
        </w:rPr>
        <w:lastRenderedPageBreak/>
        <w:t>Ficha de qualificação do indicador</w:t>
      </w:r>
      <w:bookmarkEnd w:id="3"/>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FF0722"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FF0722" w:rsidRDefault="00FF0722" w:rsidP="00C84CA2">
            <w:pPr>
              <w:pStyle w:val="QuadrosFiguras1"/>
              <w:spacing w:before="60" w:after="60" w:line="240" w:lineRule="auto"/>
              <w:jc w:val="left"/>
              <w:rPr>
                <w:rFonts w:ascii="Exo" w:hAnsi="Exo"/>
                <w:sz w:val="22"/>
                <w:szCs w:val="24"/>
              </w:rPr>
            </w:pPr>
            <w:bookmarkStart w:id="4" w:name="_Hlk179444400"/>
            <w:r w:rsidRPr="00FF072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FF0722" w:rsidRDefault="00E4751F" w:rsidP="00C84CA2">
            <w:pPr>
              <w:spacing w:before="60" w:after="60"/>
              <w:rPr>
                <w:rFonts w:ascii="Exo" w:hAnsi="Exo"/>
                <w:b/>
                <w:bCs/>
                <w:szCs w:val="24"/>
              </w:rPr>
            </w:pPr>
            <w:r>
              <w:rPr>
                <w:rFonts w:ascii="Exo" w:hAnsi="Exo"/>
                <w:b/>
                <w:bCs/>
                <w:szCs w:val="24"/>
              </w:rPr>
              <w:t>R</w:t>
            </w:r>
            <w:r w:rsidRPr="00E4751F">
              <w:rPr>
                <w:rFonts w:ascii="Exo" w:hAnsi="Exo"/>
                <w:b/>
                <w:bCs/>
                <w:szCs w:val="24"/>
              </w:rPr>
              <w:t xml:space="preserve">azão de profissionais por população segundo padronização de </w:t>
            </w:r>
            <w:r w:rsidRPr="00A939B4">
              <w:rPr>
                <w:rFonts w:ascii="Exo" w:hAnsi="Exo"/>
                <w:b/>
                <w:bCs/>
                <w:i/>
                <w:iCs/>
                <w:szCs w:val="24"/>
              </w:rPr>
              <w:t xml:space="preserve">Full-time </w:t>
            </w:r>
            <w:proofErr w:type="spellStart"/>
            <w:r w:rsidRPr="00A939B4">
              <w:rPr>
                <w:rFonts w:ascii="Exo" w:hAnsi="Exo"/>
                <w:b/>
                <w:bCs/>
                <w:i/>
                <w:iCs/>
                <w:szCs w:val="24"/>
              </w:rPr>
              <w:t>equivalent</w:t>
            </w:r>
            <w:proofErr w:type="spellEnd"/>
            <w:r w:rsidRPr="00A939B4">
              <w:rPr>
                <w:rFonts w:ascii="Exo" w:hAnsi="Exo"/>
                <w:b/>
                <w:bCs/>
                <w:i/>
                <w:iCs/>
                <w:szCs w:val="24"/>
              </w:rPr>
              <w:t xml:space="preserve"> (FTE)</w:t>
            </w:r>
          </w:p>
        </w:tc>
      </w:tr>
      <w:tr w:rsidR="00FF0722" w:rsidRPr="00FF0722"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FF0722" w:rsidRDefault="00FF0722" w:rsidP="00C84CA2">
            <w:pPr>
              <w:spacing w:before="60" w:after="60"/>
              <w:rPr>
                <w:rFonts w:ascii="Exo" w:hAnsi="Exo"/>
                <w:b/>
                <w:bCs/>
                <w:color w:val="FFFFFF" w:themeColor="background1"/>
                <w:szCs w:val="24"/>
              </w:rPr>
            </w:pPr>
            <w:r w:rsidRPr="00FF072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FF0722" w:rsidRDefault="00FF0722" w:rsidP="00C84CA2">
            <w:pPr>
              <w:pStyle w:val="QuadrosFiguras1"/>
              <w:spacing w:before="60" w:after="60" w:line="240" w:lineRule="auto"/>
              <w:jc w:val="left"/>
              <w:rPr>
                <w:rFonts w:ascii="Exo" w:hAnsi="Exo"/>
                <w:color w:val="auto"/>
              </w:rPr>
            </w:pPr>
            <w:r w:rsidRPr="00FF0722">
              <w:rPr>
                <w:rFonts w:ascii="Exo" w:hAnsi="Exo"/>
                <w:color w:val="auto"/>
              </w:rPr>
              <w:t>Força de Trabalho em Saúde</w:t>
            </w:r>
          </w:p>
        </w:tc>
      </w:tr>
      <w:tr w:rsidR="00FF0722" w:rsidRPr="00FF0722"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51C4F339" w:rsidR="00FF0722" w:rsidRPr="00FF0722" w:rsidRDefault="00FF0722" w:rsidP="00C84CA2">
            <w:pPr>
              <w:spacing w:before="60" w:after="60"/>
              <w:jc w:val="both"/>
              <w:rPr>
                <w:rFonts w:ascii="Exo" w:hAnsi="Exo"/>
                <w:sz w:val="20"/>
              </w:rPr>
            </w:pPr>
            <w:r w:rsidRPr="00FF0722">
              <w:rPr>
                <w:rFonts w:ascii="Exo" w:hAnsi="Exo"/>
                <w:i/>
                <w:iCs/>
                <w:sz w:val="20"/>
              </w:rPr>
              <w:t xml:space="preserve">Full-time </w:t>
            </w:r>
            <w:proofErr w:type="spellStart"/>
            <w:r w:rsidRPr="00FF0722">
              <w:rPr>
                <w:rFonts w:ascii="Exo" w:hAnsi="Exo"/>
                <w:i/>
                <w:iCs/>
                <w:sz w:val="20"/>
              </w:rPr>
              <w:t>equivalent</w:t>
            </w:r>
            <w:proofErr w:type="spellEnd"/>
            <w:r w:rsidRPr="00FF0722">
              <w:rPr>
                <w:rFonts w:ascii="Exo" w:hAnsi="Exo"/>
                <w:sz w:val="20"/>
              </w:rPr>
              <w:t xml:space="preserve"> (FTE) ou, em português, Equivalente Tempo Integral (ETI). Corresponde ao número de profissionais em tempo integral de 40 horas</w:t>
            </w:r>
            <w:r w:rsidR="00EF7DCA">
              <w:rPr>
                <w:rFonts w:ascii="Exo" w:hAnsi="Exo"/>
                <w:sz w:val="20"/>
              </w:rPr>
              <w:t>.</w:t>
            </w:r>
          </w:p>
        </w:tc>
      </w:tr>
      <w:tr w:rsidR="00FF0722" w:rsidRPr="00FF0722"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FF0722" w:rsidRDefault="00FF0722" w:rsidP="00C84CA2">
            <w:pPr>
              <w:pStyle w:val="QuadrosFiguras1"/>
              <w:spacing w:before="60" w:after="60" w:line="240" w:lineRule="auto"/>
              <w:jc w:val="left"/>
              <w:rPr>
                <w:rFonts w:ascii="Exo" w:hAnsi="Exo"/>
                <w:color w:val="auto"/>
              </w:rPr>
            </w:pPr>
            <w:r w:rsidRPr="00FF0722">
              <w:rPr>
                <w:rFonts w:ascii="Times New Roman" w:hAnsi="Times New Roman" w:cs="Times New Roman"/>
                <w:color w:val="auto"/>
              </w:rPr>
              <w:t>●</w:t>
            </w:r>
            <w:r w:rsidRPr="00FF0722">
              <w:rPr>
                <w:rFonts w:ascii="Exo" w:hAnsi="Exo" w:cs="Courier New"/>
                <w:color w:val="auto"/>
              </w:rPr>
              <w:t xml:space="preserve"> </w:t>
            </w:r>
            <w:r w:rsidRPr="00FF0722">
              <w:rPr>
                <w:rFonts w:ascii="Exo" w:hAnsi="Exo"/>
                <w:color w:val="auto"/>
              </w:rPr>
              <w:t>Cadastro Nacional de Estabelecimentos de Saúde - Profissionais (CNES-PF)</w:t>
            </w:r>
          </w:p>
          <w:p w14:paraId="6049F746" w14:textId="5B3069E7" w:rsidR="00FF0722" w:rsidRPr="00FF0722" w:rsidRDefault="00FF0722" w:rsidP="00C84CA2">
            <w:pPr>
              <w:pStyle w:val="QuadrosFiguras1"/>
              <w:spacing w:before="60" w:after="60" w:line="240" w:lineRule="auto"/>
              <w:jc w:val="left"/>
              <w:rPr>
                <w:rFonts w:ascii="Exo" w:hAnsi="Exo"/>
                <w:color w:val="auto"/>
              </w:rPr>
            </w:pPr>
            <w:r w:rsidRPr="00FF0722">
              <w:rPr>
                <w:rFonts w:ascii="Exo" w:hAnsi="Exo"/>
                <w:color w:val="auto"/>
              </w:rPr>
              <w:t xml:space="preserve">Instituição: Ministério da Saúde, disponibilizado via </w:t>
            </w:r>
            <w:proofErr w:type="spellStart"/>
            <w:r w:rsidRPr="00FF0722">
              <w:rPr>
                <w:rFonts w:ascii="Exo" w:hAnsi="Exo"/>
                <w:color w:val="auto"/>
              </w:rPr>
              <w:t>Datasus</w:t>
            </w:r>
            <w:proofErr w:type="spellEnd"/>
          </w:p>
        </w:tc>
      </w:tr>
      <w:tr w:rsidR="00FF0722" w:rsidRPr="00FF0722"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Após isso, estas variáveis são somadas, criando uma variável chamada CH_TOTAL.</w:t>
            </w:r>
          </w:p>
          <w:p w14:paraId="681F55AF" w14:textId="0EB1B74D"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Em sequência, esta variável é dividida por 40 para contabilizar a força de trabalho equivalente de um profissional em tempo integral de 40 horas semanais.</w:t>
            </w:r>
          </w:p>
          <w:p w14:paraId="15EAF09C" w14:textId="54C9C63A"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A variável TP_UNID (CNES_PF) foi utilizada para classificar a unidade a qual o vínculo pertence. A divisão foi feita conforme:</w:t>
            </w:r>
          </w:p>
          <w:p w14:paraId="711D48A4"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Atenção Primária à Saúde: </w:t>
            </w:r>
          </w:p>
          <w:p w14:paraId="0B78AFB8"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posto de saúde (TP_UNID = “01”)</w:t>
            </w:r>
          </w:p>
          <w:p w14:paraId="2FF9EE4D"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saúde/unidade básica (TP_UNID = “02”);</w:t>
            </w:r>
          </w:p>
          <w:p w14:paraId="2237CC40"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fluvial (TP_UNID = “32”);</w:t>
            </w:r>
          </w:p>
          <w:p w14:paraId="51A389A4"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terrestre (TP_UNID = “40”);</w:t>
            </w:r>
          </w:p>
          <w:p w14:paraId="09E442FB"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apoio a saúde da família (TP_UNID = “71”);</w:t>
            </w:r>
          </w:p>
          <w:p w14:paraId="14EA47F7"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de atenção à saúde indígena (TP_UNID = “72”) e</w:t>
            </w:r>
          </w:p>
          <w:p w14:paraId="3A180C81" w14:textId="09023532" w:rsidR="00FF0722" w:rsidRPr="00EF7DCA" w:rsidRDefault="00FF0722" w:rsidP="00C84CA2">
            <w:pPr>
              <w:pStyle w:val="QuadrosFiguras1"/>
              <w:numPr>
                <w:ilvl w:val="0"/>
                <w:numId w:val="8"/>
              </w:numPr>
              <w:spacing w:before="60" w:after="60" w:line="240" w:lineRule="auto"/>
              <w:ind w:left="714" w:hanging="357"/>
              <w:jc w:val="left"/>
              <w:rPr>
                <w:rFonts w:ascii="Exo" w:hAnsi="Exo"/>
                <w:color w:val="auto"/>
              </w:rPr>
            </w:pPr>
            <w:proofErr w:type="gramStart"/>
            <w:r w:rsidRPr="00FF0722">
              <w:rPr>
                <w:rFonts w:ascii="Exo" w:hAnsi="Exo"/>
                <w:color w:val="auto"/>
              </w:rPr>
              <w:t>polo academia</w:t>
            </w:r>
            <w:proofErr w:type="gramEnd"/>
            <w:r w:rsidRPr="00FF0722">
              <w:rPr>
                <w:rFonts w:ascii="Exo" w:hAnsi="Exo"/>
                <w:color w:val="auto"/>
              </w:rPr>
              <w:t xml:space="preserve"> da saúde (TP_UNID = “74”).</w:t>
            </w:r>
          </w:p>
          <w:p w14:paraId="47A471AD"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Atenção Secundária à Saúde:</w:t>
            </w:r>
          </w:p>
          <w:p w14:paraId="0AA9D843"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policlínica (TP_UNID = “04”);</w:t>
            </w:r>
          </w:p>
          <w:p w14:paraId="30DA30B9"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mista (TP_UNID = “15”);</w:t>
            </w:r>
          </w:p>
          <w:p w14:paraId="3D8BED64"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geral (TP_UNID = “20”);</w:t>
            </w:r>
          </w:p>
          <w:p w14:paraId="3C1EFA6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especializado (TP_UNID = “21”)</w:t>
            </w:r>
          </w:p>
          <w:p w14:paraId="0B7942E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consultório isolado (TP_UNID = “22”);</w:t>
            </w:r>
          </w:p>
          <w:p w14:paraId="4608203C"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clínica/centro de especialidade (TP_UNID = “36”);</w:t>
            </w:r>
          </w:p>
          <w:p w14:paraId="40C97DDB"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de apoio à diagnose e terapia (</w:t>
            </w:r>
            <w:proofErr w:type="spellStart"/>
            <w:r w:rsidRPr="00FF0722">
              <w:rPr>
                <w:rFonts w:ascii="Exo" w:hAnsi="Exo"/>
                <w:color w:val="auto"/>
              </w:rPr>
              <w:t>sadt</w:t>
            </w:r>
            <w:proofErr w:type="spellEnd"/>
            <w:r w:rsidRPr="00FF0722">
              <w:rPr>
                <w:rFonts w:ascii="Exo" w:hAnsi="Exo"/>
                <w:color w:val="auto"/>
              </w:rPr>
              <w:t xml:space="preserve"> isolado) (TP_UNID = “39”);</w:t>
            </w:r>
          </w:p>
          <w:p w14:paraId="0CEE0F2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móvel de nível pré-hospitalar na área de urgência (TP_UNID = “42”);</w:t>
            </w:r>
          </w:p>
          <w:p w14:paraId="23C827C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parto normal – isolado (TP_UNID = “61”);</w:t>
            </w:r>
          </w:p>
          <w:p w14:paraId="50AAEA9D"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hospital/dia – isolado (TP_UNID = “62”);</w:t>
            </w:r>
          </w:p>
          <w:p w14:paraId="47F7636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hemoterapia e ou hematológica (TP_UNID = “69”);</w:t>
            </w:r>
          </w:p>
          <w:p w14:paraId="78AD1C23"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psicossocial (TP_UNID = “70”);</w:t>
            </w:r>
          </w:p>
          <w:p w14:paraId="241D73FC"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atendimento (TP_UNID = “73”);</w:t>
            </w:r>
          </w:p>
          <w:p w14:paraId="18F75B6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 xml:space="preserve">oficina ortopédica (TP_UNID = “79”) e </w:t>
            </w:r>
          </w:p>
          <w:p w14:paraId="390AD2BA" w14:textId="3C6B8B9D" w:rsidR="00FF0722" w:rsidRPr="00EF7DCA" w:rsidRDefault="00FF0722" w:rsidP="00C84CA2">
            <w:pPr>
              <w:pStyle w:val="QuadrosFiguras1"/>
              <w:numPr>
                <w:ilvl w:val="0"/>
                <w:numId w:val="9"/>
              </w:numPr>
              <w:spacing w:before="60" w:after="60" w:line="240" w:lineRule="auto"/>
              <w:ind w:left="714" w:hanging="357"/>
              <w:jc w:val="left"/>
              <w:rPr>
                <w:rFonts w:ascii="Exo" w:hAnsi="Exo"/>
                <w:color w:val="auto"/>
              </w:rPr>
            </w:pPr>
            <w:r w:rsidRPr="00FF0722">
              <w:rPr>
                <w:rFonts w:ascii="Exo" w:hAnsi="Exo"/>
                <w:color w:val="auto"/>
              </w:rPr>
              <w:t>polo de prevenção de doenças e agravos e promoção da saúde (TP_UNID = “83”).</w:t>
            </w:r>
          </w:p>
          <w:p w14:paraId="6F42F133"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lastRenderedPageBreak/>
              <w:t xml:space="preserve">Atenção Terciária à Saúde: </w:t>
            </w:r>
          </w:p>
          <w:p w14:paraId="762C243D" w14:textId="77777777" w:rsidR="00FF0722" w:rsidRPr="00FF0722" w:rsidRDefault="00FF0722" w:rsidP="00C84CA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geral (TP_UNID = “05”) e</w:t>
            </w:r>
          </w:p>
          <w:p w14:paraId="2B03D918" w14:textId="3DB37218" w:rsidR="00C84CA2" w:rsidRPr="00C84CA2" w:rsidRDefault="00FF0722" w:rsidP="00C84CA2">
            <w:pPr>
              <w:pStyle w:val="QuadrosFiguras1"/>
              <w:numPr>
                <w:ilvl w:val="0"/>
                <w:numId w:val="10"/>
              </w:numPr>
              <w:spacing w:before="60" w:after="60" w:line="240" w:lineRule="auto"/>
              <w:ind w:left="714" w:hanging="357"/>
              <w:jc w:val="left"/>
              <w:rPr>
                <w:rFonts w:ascii="Exo" w:hAnsi="Exo"/>
                <w:color w:val="auto"/>
              </w:rPr>
            </w:pPr>
            <w:r w:rsidRPr="00FF0722">
              <w:rPr>
                <w:rFonts w:ascii="Exo" w:hAnsi="Exo"/>
                <w:color w:val="auto"/>
              </w:rPr>
              <w:t>hospital especializado (TP_UNID = “07”).</w:t>
            </w:r>
          </w:p>
          <w:p w14:paraId="09A63185"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Outros/Múltiplos: </w:t>
            </w:r>
          </w:p>
          <w:p w14:paraId="47C67131" w14:textId="77777777" w:rsidR="00FF0722" w:rsidRPr="00FF0722" w:rsidRDefault="00FF0722" w:rsidP="00C84CA2">
            <w:pPr>
              <w:pStyle w:val="QuadrosFiguras1"/>
              <w:numPr>
                <w:ilvl w:val="0"/>
                <w:numId w:val="11"/>
              </w:numPr>
              <w:spacing w:before="60" w:after="60" w:line="240" w:lineRule="auto"/>
              <w:ind w:left="714" w:hanging="357"/>
              <w:jc w:val="both"/>
              <w:rPr>
                <w:rFonts w:ascii="Exo" w:hAnsi="Exo"/>
                <w:color w:val="auto"/>
              </w:rPr>
            </w:pPr>
            <w:r w:rsidRPr="00FF0722">
              <w:rPr>
                <w:rFonts w:ascii="Exo" w:hAnsi="Exo"/>
                <w:color w:val="auto"/>
              </w:rPr>
              <w:t>demais códigos TP_UNID não citados anteriormente.</w:t>
            </w:r>
          </w:p>
        </w:tc>
      </w:tr>
      <w:tr w:rsidR="009B3D22" w:rsidRPr="00FF0722"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7777777" w:rsidR="009B3D22" w:rsidRPr="009B3D22" w:rsidRDefault="009B3D22" w:rsidP="00C84CA2">
            <w:pPr>
              <w:spacing w:before="60" w:after="60"/>
              <w:ind w:left="-527" w:right="-249" w:firstLine="527"/>
              <w:jc w:val="center"/>
              <w:rPr>
                <w:rFonts w:ascii="Exo" w:eastAsiaTheme="minorEastAsia" w:hAnsi="Exo"/>
                <w:sz w:val="16"/>
                <w:szCs w:val="16"/>
              </w:rPr>
            </w:pPr>
            <m:oMathPara>
              <m:oMath>
                <m:r>
                  <w:rPr>
                    <w:rFonts w:ascii="Cambria Math" w:eastAsiaTheme="minorEastAsia" w:hAnsi="Cambria Math"/>
                    <w:sz w:val="16"/>
                    <w:szCs w:val="16"/>
                  </w:rPr>
                  <m:t>FTE=</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Exo" w:eastAsiaTheme="minorEastAsia" w:hAnsi="Exo"/>
                            <w:sz w:val="16"/>
                            <w:szCs w:val="16"/>
                          </w:rPr>
                          <m:t>Horas Ambulatoriais + Horas Hospitalares + Outras Horas</m:t>
                        </m:r>
                        <m:ctrlPr>
                          <w:rPr>
                            <w:rFonts w:ascii="Cambria Math" w:eastAsiaTheme="minorEastAsia" w:hAnsi="Cambria Math"/>
                            <w:i/>
                            <w:sz w:val="16"/>
                            <w:szCs w:val="16"/>
                          </w:rPr>
                        </m:ctrlPr>
                      </m:num>
                      <m:den>
                        <m:r>
                          <w:rPr>
                            <w:rFonts w:ascii="Cambria Math" w:eastAsiaTheme="minorEastAsia" w:hAnsi="Cambria Math"/>
                            <w:sz w:val="16"/>
                            <w:szCs w:val="16"/>
                          </w:rPr>
                          <m:t>40</m:t>
                        </m:r>
                        <m:ctrlPr>
                          <w:rPr>
                            <w:rFonts w:ascii="Cambria Math" w:eastAsiaTheme="minorEastAsia" w:hAnsi="Cambria Math"/>
                            <w:i/>
                            <w:sz w:val="16"/>
                            <w:szCs w:val="16"/>
                          </w:rPr>
                        </m:ctrlPr>
                      </m:den>
                    </m:f>
                    <m:ctrlPr>
                      <w:rPr>
                        <w:rFonts w:ascii="Cambria Math" w:eastAsiaTheme="minorEastAsia" w:hAnsi="Cambria Math"/>
                        <w:i/>
                        <w:sz w:val="16"/>
                        <w:szCs w:val="16"/>
                      </w:rPr>
                    </m:ctrlPr>
                  </m:e>
                </m:d>
              </m:oMath>
            </m:oMathPara>
          </w:p>
          <w:p w14:paraId="0277040F" w14:textId="239BF975" w:rsidR="009B3D22" w:rsidRPr="00FF0722" w:rsidRDefault="009B3D22" w:rsidP="00C84CA2">
            <w:pPr>
              <w:spacing w:before="60" w:after="60"/>
              <w:ind w:left="-527" w:right="-249" w:firstLine="527"/>
              <w:jc w:val="center"/>
              <w:rPr>
                <w:rFonts w:ascii="Exo" w:eastAsiaTheme="minorEastAsia" w:hAnsi="Exo"/>
                <w:iCs/>
                <w:sz w:val="16"/>
                <w:szCs w:val="16"/>
              </w:rPr>
            </w:pPr>
            <m:oMathPara>
              <m:oMath>
                <m:r>
                  <w:rPr>
                    <w:rFonts w:ascii="Cambria Math" w:eastAsiaTheme="minorEastAsia" w:hAnsi="Cambria Math"/>
                    <w:sz w:val="16"/>
                    <w:szCs w:val="16"/>
                  </w:rPr>
                  <m:t>FTE por população=</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Cambria Math" w:eastAsiaTheme="minorEastAsia" w:hAnsi="Exo"/>
                            <w:sz w:val="16"/>
                            <w:szCs w:val="16"/>
                          </w:rPr>
                          <m:t>FTE</m:t>
                        </m:r>
                        <m:ctrlPr>
                          <w:rPr>
                            <w:rFonts w:ascii="Cambria Math" w:eastAsiaTheme="minorEastAsia" w:hAnsi="Cambria Math"/>
                            <w:i/>
                            <w:sz w:val="16"/>
                            <w:szCs w:val="16"/>
                          </w:rPr>
                        </m:ctrlPr>
                      </m:num>
                      <m:den>
                        <m:r>
                          <w:rPr>
                            <w:rFonts w:ascii="Cambria Math" w:eastAsiaTheme="minorEastAsia" w:hAnsi="Cambria Math"/>
                            <w:sz w:val="16"/>
                            <w:szCs w:val="16"/>
                          </w:rPr>
                          <m:t>população</m:t>
                        </m:r>
                        <m:ctrlPr>
                          <w:rPr>
                            <w:rFonts w:ascii="Cambria Math" w:eastAsiaTheme="minorEastAsia" w:hAnsi="Cambria Math"/>
                            <w:i/>
                            <w:sz w:val="16"/>
                            <w:szCs w:val="16"/>
                          </w:rPr>
                        </m:ctrlPr>
                      </m:den>
                    </m:f>
                    <m:ctrlPr>
                      <w:rPr>
                        <w:rFonts w:ascii="Cambria Math" w:eastAsiaTheme="minorEastAsia" w:hAnsi="Cambria Math"/>
                        <w:i/>
                        <w:sz w:val="16"/>
                        <w:szCs w:val="16"/>
                      </w:rPr>
                    </m:ctrlPr>
                  </m:e>
                </m:d>
                <m:r>
                  <w:rPr>
                    <w:rFonts w:ascii="Cambria Math" w:eastAsiaTheme="minorEastAsia" w:hAnsi="Cambria Math"/>
                    <w:sz w:val="16"/>
                    <w:szCs w:val="16"/>
                  </w:rPr>
                  <m:t>x 10.000</m:t>
                </m:r>
              </m:oMath>
            </m:oMathPara>
          </w:p>
        </w:tc>
      </w:tr>
      <w:tr w:rsidR="009B3D22" w:rsidRPr="00FF0722"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Brasil, Região, Unidade</w:t>
            </w:r>
            <w:r>
              <w:rPr>
                <w:rFonts w:ascii="Exo" w:hAnsi="Exo"/>
                <w:color w:val="auto"/>
              </w:rPr>
              <w:t>s</w:t>
            </w:r>
            <w:r w:rsidRPr="00FF0722">
              <w:rPr>
                <w:rFonts w:ascii="Exo" w:hAnsi="Exo"/>
                <w:color w:val="auto"/>
              </w:rPr>
              <w:t xml:space="preserve"> da Federação, Macrorregiões de Saúde, Regiões de Saúde e Municípios.</w:t>
            </w:r>
          </w:p>
        </w:tc>
      </w:tr>
      <w:tr w:rsidR="009B3D22" w:rsidRPr="00FF0722"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FF0722" w:rsidRDefault="009B3D22" w:rsidP="00C84CA2">
            <w:pPr>
              <w:spacing w:before="60" w:after="60"/>
              <w:jc w:val="both"/>
              <w:rPr>
                <w:rFonts w:ascii="Exo" w:hAnsi="Exo"/>
                <w:sz w:val="20"/>
              </w:rPr>
            </w:pPr>
            <w:r w:rsidRPr="00EF7DCA">
              <w:rPr>
                <w:rFonts w:ascii="Exo" w:hAnsi="Exo"/>
                <w:sz w:val="20"/>
              </w:rPr>
              <w:t>Nível de atenção (primária, secundária e terciária) e categoria profissional</w:t>
            </w:r>
          </w:p>
        </w:tc>
      </w:tr>
      <w:tr w:rsidR="009B3D22" w:rsidRPr="00FF0722"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FF0722" w:rsidRDefault="009B3D22" w:rsidP="00C84CA2">
            <w:pPr>
              <w:pStyle w:val="QuadrosFiguras1"/>
              <w:spacing w:before="60" w:after="60" w:line="240" w:lineRule="auto"/>
              <w:jc w:val="left"/>
              <w:rPr>
                <w:rFonts w:ascii="Exo" w:hAnsi="Exo"/>
                <w:sz w:val="22"/>
                <w:szCs w:val="24"/>
              </w:rPr>
            </w:pPr>
            <w:r w:rsidRPr="00D31BBD">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FF0722" w:rsidRDefault="009B3D22" w:rsidP="00C84CA2">
            <w:pPr>
              <w:pStyle w:val="QuadrosFiguras1"/>
              <w:spacing w:before="60" w:after="60" w:line="240" w:lineRule="auto"/>
              <w:jc w:val="left"/>
              <w:rPr>
                <w:rFonts w:ascii="Exo" w:hAnsi="Exo"/>
                <w:color w:val="auto"/>
              </w:rPr>
            </w:pPr>
            <w:r w:rsidRPr="00FF0722">
              <w:rPr>
                <w:rFonts w:ascii="Exo" w:hAnsi="Exo"/>
                <w:color w:val="auto"/>
              </w:rPr>
              <w:t>Anual</w:t>
            </w:r>
          </w:p>
        </w:tc>
      </w:tr>
      <w:tr w:rsidR="009B3D22" w:rsidRPr="00FF0722"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77777777"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Competência de janeiro de cada ano de 2008 ao último ano com dados disponíveis.</w:t>
            </w:r>
          </w:p>
        </w:tc>
      </w:tr>
      <w:tr w:rsidR="009B3D22" w:rsidRPr="00FF0722"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77777777" w:rsidR="009B3D22" w:rsidRPr="00FF0722" w:rsidRDefault="009B3D22" w:rsidP="00C84CA2">
            <w:pPr>
              <w:pStyle w:val="QuadrosFiguras1"/>
              <w:spacing w:before="60" w:after="60" w:line="240" w:lineRule="auto"/>
              <w:jc w:val="both"/>
              <w:rPr>
                <w:rFonts w:ascii="Exo" w:hAnsi="Exo"/>
                <w:color w:val="auto"/>
              </w:rPr>
            </w:pPr>
            <w:proofErr w:type="spellStart"/>
            <w:r w:rsidRPr="00FF0722">
              <w:rPr>
                <w:rFonts w:ascii="Exo" w:hAnsi="Exo"/>
                <w:color w:val="auto"/>
              </w:rPr>
              <w:t>Siyam</w:t>
            </w:r>
            <w:proofErr w:type="spellEnd"/>
            <w:r w:rsidRPr="00FF0722">
              <w:rPr>
                <w:rFonts w:ascii="Exo" w:hAnsi="Exo"/>
                <w:color w:val="auto"/>
              </w:rPr>
              <w:t xml:space="preserve">. A, Nair, T.S, </w:t>
            </w:r>
            <w:proofErr w:type="spellStart"/>
            <w:r w:rsidRPr="00FF0722">
              <w:rPr>
                <w:rFonts w:ascii="Exo" w:hAnsi="Exo"/>
                <w:color w:val="auto"/>
              </w:rPr>
              <w:t>Diallo</w:t>
            </w:r>
            <w:proofErr w:type="spellEnd"/>
            <w:r w:rsidRPr="00FF0722">
              <w:rPr>
                <w:rFonts w:ascii="Exo" w:hAnsi="Exo"/>
                <w:color w:val="auto"/>
              </w:rPr>
              <w:t xml:space="preserve">, K. </w:t>
            </w:r>
            <w:proofErr w:type="spellStart"/>
            <w:r w:rsidRPr="00FF0722">
              <w:rPr>
                <w:rFonts w:ascii="Exo" w:hAnsi="Exo"/>
                <w:color w:val="auto"/>
              </w:rPr>
              <w:t>Dussault</w:t>
            </w:r>
            <w:proofErr w:type="spellEnd"/>
            <w:r w:rsidRPr="00FF0722">
              <w:rPr>
                <w:rFonts w:ascii="Exo" w:hAnsi="Exo"/>
                <w:color w:val="auto"/>
              </w:rPr>
              <w:t xml:space="preserve">, G. (2022). </w:t>
            </w:r>
            <w:proofErr w:type="spellStart"/>
            <w:r w:rsidRPr="00FF0722">
              <w:rPr>
                <w:rFonts w:ascii="Exo" w:hAnsi="Exo"/>
                <w:color w:val="auto"/>
              </w:rPr>
              <w:t>Strengthening</w:t>
            </w:r>
            <w:proofErr w:type="spellEnd"/>
            <w:r w:rsidRPr="00FF0722">
              <w:rPr>
                <w:rFonts w:ascii="Exo" w:hAnsi="Exo"/>
                <w:color w:val="auto"/>
              </w:rPr>
              <w:t xml:space="preserve"> </w:t>
            </w:r>
            <w:proofErr w:type="spellStart"/>
            <w:r w:rsidRPr="00FF0722">
              <w:rPr>
                <w:rFonts w:ascii="Exo" w:hAnsi="Exo"/>
                <w:color w:val="auto"/>
              </w:rPr>
              <w:t>the</w:t>
            </w:r>
            <w:proofErr w:type="spellEnd"/>
            <w:r w:rsidRPr="00FF0722">
              <w:rPr>
                <w:rFonts w:ascii="Exo" w:hAnsi="Exo"/>
                <w:color w:val="auto"/>
              </w:rPr>
              <w:t xml:space="preserve"> </w:t>
            </w:r>
            <w:proofErr w:type="spellStart"/>
            <w:r w:rsidRPr="00FF0722">
              <w:rPr>
                <w:rFonts w:ascii="Exo" w:hAnsi="Exo"/>
                <w:color w:val="auto"/>
              </w:rPr>
              <w:t>collection</w:t>
            </w:r>
            <w:proofErr w:type="spellEnd"/>
            <w:r w:rsidRPr="00FF0722">
              <w:rPr>
                <w:rFonts w:ascii="Exo" w:hAnsi="Exo"/>
                <w:color w:val="auto"/>
              </w:rPr>
              <w:t xml:space="preserve">, </w:t>
            </w:r>
            <w:proofErr w:type="spellStart"/>
            <w:r w:rsidRPr="00FF0722">
              <w:rPr>
                <w:rFonts w:ascii="Exo" w:hAnsi="Exo"/>
                <w:color w:val="auto"/>
              </w:rPr>
              <w:t>analysis</w:t>
            </w:r>
            <w:proofErr w:type="spellEnd"/>
            <w:r w:rsidRPr="00FF0722">
              <w:rPr>
                <w:rFonts w:ascii="Exo" w:hAnsi="Exo"/>
                <w:color w:val="auto"/>
              </w:rPr>
              <w:t xml:space="preserve"> </w:t>
            </w:r>
            <w:proofErr w:type="spellStart"/>
            <w:r w:rsidRPr="00FF0722">
              <w:rPr>
                <w:rFonts w:ascii="Exo" w:hAnsi="Exo"/>
                <w:color w:val="auto"/>
              </w:rPr>
              <w:t>and</w:t>
            </w:r>
            <w:proofErr w:type="spellEnd"/>
            <w:r w:rsidRPr="00FF0722">
              <w:rPr>
                <w:rFonts w:ascii="Exo" w:hAnsi="Exo"/>
                <w:color w:val="auto"/>
              </w:rPr>
              <w:t xml:space="preserve"> use </w:t>
            </w:r>
            <w:proofErr w:type="spellStart"/>
            <w:r w:rsidRPr="00FF0722">
              <w:rPr>
                <w:rFonts w:ascii="Exo" w:hAnsi="Exo"/>
                <w:color w:val="auto"/>
              </w:rPr>
              <w:t>of</w:t>
            </w:r>
            <w:proofErr w:type="spellEnd"/>
            <w:r w:rsidRPr="00FF0722">
              <w:rPr>
                <w:rFonts w:ascii="Exo" w:hAnsi="Exo"/>
                <w:color w:val="auto"/>
              </w:rPr>
              <w:t xml:space="preserve"> </w:t>
            </w:r>
            <w:proofErr w:type="spellStart"/>
            <w:r w:rsidRPr="00FF0722">
              <w:rPr>
                <w:rFonts w:ascii="Exo" w:hAnsi="Exo"/>
                <w:color w:val="auto"/>
              </w:rPr>
              <w:t>health</w:t>
            </w:r>
            <w:proofErr w:type="spellEnd"/>
            <w:r w:rsidRPr="00FF0722">
              <w:rPr>
                <w:rFonts w:ascii="Exo" w:hAnsi="Exo"/>
                <w:color w:val="auto"/>
              </w:rPr>
              <w:t xml:space="preserve"> </w:t>
            </w:r>
            <w:proofErr w:type="spellStart"/>
            <w:r w:rsidRPr="00FF0722">
              <w:rPr>
                <w:rFonts w:ascii="Exo" w:hAnsi="Exo"/>
                <w:color w:val="auto"/>
              </w:rPr>
              <w:t>workforce</w:t>
            </w:r>
            <w:proofErr w:type="spellEnd"/>
            <w:r w:rsidRPr="00FF0722">
              <w:rPr>
                <w:rFonts w:ascii="Exo" w:hAnsi="Exo"/>
                <w:color w:val="auto"/>
              </w:rPr>
              <w:t xml:space="preserve"> data </w:t>
            </w:r>
            <w:proofErr w:type="spellStart"/>
            <w:r w:rsidRPr="00FF0722">
              <w:rPr>
                <w:rFonts w:ascii="Exo" w:hAnsi="Exo"/>
                <w:color w:val="auto"/>
              </w:rPr>
              <w:t>and</w:t>
            </w:r>
            <w:proofErr w:type="spellEnd"/>
            <w:r w:rsidRPr="00FF0722">
              <w:rPr>
                <w:rFonts w:ascii="Exo" w:hAnsi="Exo"/>
                <w:color w:val="auto"/>
              </w:rPr>
              <w:t xml:space="preserve"> </w:t>
            </w:r>
            <w:proofErr w:type="spellStart"/>
            <w:r w:rsidRPr="00FF0722">
              <w:rPr>
                <w:rFonts w:ascii="Exo" w:hAnsi="Exo"/>
                <w:color w:val="auto"/>
              </w:rPr>
              <w:t>information</w:t>
            </w:r>
            <w:proofErr w:type="spellEnd"/>
            <w:r w:rsidRPr="00FF0722">
              <w:rPr>
                <w:rFonts w:ascii="Exo" w:hAnsi="Exo"/>
                <w:color w:val="auto"/>
              </w:rPr>
              <w:t xml:space="preserve">: a handbook. World Health </w:t>
            </w:r>
            <w:proofErr w:type="spellStart"/>
            <w:r w:rsidRPr="00FF0722">
              <w:rPr>
                <w:rFonts w:ascii="Exo" w:hAnsi="Exo"/>
                <w:color w:val="auto"/>
              </w:rPr>
              <w:t>Organization</w:t>
            </w:r>
            <w:proofErr w:type="spellEnd"/>
            <w:r w:rsidRPr="00FF0722">
              <w:rPr>
                <w:rFonts w:ascii="Exo" w:hAnsi="Exo"/>
                <w:color w:val="auto"/>
              </w:rPr>
              <w:t>. Geneva. Disponível em: &lt;https://iris.who.int/bitstream/handle/10665/365680/9789240058712-eng.pdf?sequence=1&gt;</w:t>
            </w:r>
          </w:p>
        </w:tc>
      </w:tr>
      <w:tr w:rsidR="009B3D22" w:rsidRPr="00FF0722"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FF0722" w:rsidRDefault="009B3D22" w:rsidP="00C84CA2">
            <w:pPr>
              <w:pStyle w:val="QuadrosFiguras1"/>
              <w:spacing w:before="60" w:after="60" w:line="240" w:lineRule="auto"/>
              <w:jc w:val="left"/>
              <w:rPr>
                <w:rFonts w:ascii="Exo" w:hAnsi="Exo"/>
                <w:b/>
                <w:bCs/>
                <w:color w:val="FFFFFF" w:themeColor="background1"/>
                <w:sz w:val="22"/>
                <w:szCs w:val="24"/>
              </w:rPr>
            </w:pPr>
            <w:r w:rsidRPr="00FF072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77777777"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Este indicador quantifica um aspecto positivo para os sistemas de saúde. Nesse sentido, quanto maior o valor obtido de médicos da família, melhor será o resultado.</w:t>
            </w:r>
          </w:p>
        </w:tc>
      </w:tr>
      <w:tr w:rsidR="009B3D22" w:rsidRPr="00FF0722"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FF0722" w:rsidRDefault="009B3D22" w:rsidP="00C84CA2">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4EA0EFA5" w:rsidR="009B3D22" w:rsidRPr="00FF0722" w:rsidRDefault="009B3D22" w:rsidP="00C84CA2">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1F6541E6" w14:textId="77777777" w:rsidR="00F732D7" w:rsidRPr="00A33D0A" w:rsidRDefault="00D31BBD" w:rsidP="00D31BBD">
      <w:pPr>
        <w:spacing w:before="200" w:after="200" w:line="360" w:lineRule="auto"/>
        <w:ind w:firstLine="851"/>
        <w:jc w:val="both"/>
        <w:rPr>
          <w:rFonts w:ascii="Exo" w:hAnsi="Exo"/>
          <w:sz w:val="20"/>
          <w:szCs w:val="20"/>
        </w:rPr>
      </w:pPr>
      <w:bookmarkStart w:id="5" w:name="_Hlk188458701"/>
      <w:bookmarkEnd w:id="4"/>
      <w:r w:rsidRPr="00A33D0A">
        <w:rPr>
          <w:rFonts w:ascii="Exo" w:hAnsi="Exo"/>
          <w:sz w:val="20"/>
          <w:szCs w:val="20"/>
        </w:rPr>
        <w:t xml:space="preserve">Como informado acima, existem alguns artefatos que decorrem da criação deste indicador, como o código SQL usado para construir o indicador, o resultado dos cálculos e o </w:t>
      </w:r>
      <w:r w:rsidRPr="00A33D0A">
        <w:rPr>
          <w:rFonts w:ascii="Exo" w:hAnsi="Exo"/>
          <w:i/>
          <w:iCs/>
          <w:sz w:val="20"/>
          <w:szCs w:val="20"/>
        </w:rPr>
        <w:t>dashboard</w:t>
      </w:r>
      <w:r w:rsidRPr="00A33D0A">
        <w:rPr>
          <w:rFonts w:ascii="Exo" w:hAnsi="Exo"/>
          <w:sz w:val="20"/>
          <w:szCs w:val="20"/>
        </w:rPr>
        <w:t xml:space="preserve"> interativo. Para acessar estes artefatos, basta clicar nos ícones abaixo.</w:t>
      </w:r>
    </w:p>
    <w:bookmarkEnd w:id="5"/>
    <w:p w14:paraId="0A9DD5D2" w14:textId="77777777" w:rsidR="00F732D7" w:rsidRPr="00982DD4" w:rsidRDefault="00F732D7" w:rsidP="00F732D7">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642094C8" w14:textId="77777777" w:rsidR="00F732D7" w:rsidRPr="00ED73FD" w:rsidRDefault="00F732D7" w:rsidP="00F732D7">
      <w:pPr>
        <w:pStyle w:val="PargrafodaLista"/>
        <w:ind w:left="0"/>
        <w:jc w:val="center"/>
        <w:rPr>
          <w:rFonts w:ascii="Exo" w:hAnsi="Exo"/>
        </w:rPr>
      </w:pPr>
      <w:commentRangeStart w:id="6"/>
      <w:r w:rsidRPr="00ED73FD">
        <w:rPr>
          <w:rFonts w:ascii="Exo" w:hAnsi="Exo"/>
          <w:noProof/>
        </w:rPr>
        <w:drawing>
          <wp:inline distT="0" distB="0" distL="0" distR="0" wp14:anchorId="6CFA0910" wp14:editId="3126B27B">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commentRangeEnd w:id="6"/>
      <w:r>
        <w:rPr>
          <w:rStyle w:val="Refdecomentrio"/>
        </w:rPr>
        <w:commentReference w:id="6"/>
      </w:r>
    </w:p>
    <w:p w14:paraId="61B93D22" w14:textId="004D65DF" w:rsidR="00D31BBD" w:rsidRPr="00D31BBD" w:rsidRDefault="00F732D7" w:rsidP="00F732D7">
      <w:pPr>
        <w:pStyle w:val="PargrafodaLista"/>
        <w:ind w:left="0"/>
        <w:jc w:val="center"/>
        <w:rPr>
          <w:rFonts w:ascii="Exo" w:hAnsi="Exo"/>
        </w:rPr>
      </w:pPr>
      <w:r w:rsidRPr="00982DD4">
        <w:rPr>
          <w:rFonts w:ascii="Exo" w:hAnsi="Exo"/>
          <w:i/>
          <w:iCs/>
          <w:sz w:val="18"/>
          <w:szCs w:val="18"/>
        </w:rPr>
        <w:t>Fonte: elaborado pelos autores</w:t>
      </w:r>
      <w:r w:rsidR="00D31BBD">
        <w:rPr>
          <w:rFonts w:ascii="Exo" w:hAnsi="Exo"/>
          <w:b/>
          <w:bCs/>
        </w:rPr>
        <w:br w:type="page"/>
      </w:r>
    </w:p>
    <w:p w14:paraId="4B346B7F" w14:textId="6CF72E54" w:rsidR="004A3585" w:rsidRPr="00FF0722" w:rsidRDefault="004A3585" w:rsidP="00D31BBD">
      <w:pPr>
        <w:pStyle w:val="Ttulo1"/>
        <w:spacing w:after="200" w:line="360" w:lineRule="auto"/>
        <w:jc w:val="center"/>
        <w:rPr>
          <w:rFonts w:ascii="Exo" w:hAnsi="Exo"/>
          <w:b/>
          <w:bCs/>
          <w:color w:val="auto"/>
        </w:rPr>
      </w:pPr>
      <w:bookmarkStart w:id="7" w:name="_Toc188374091"/>
      <w:r w:rsidRPr="00EC4CF0">
        <w:rPr>
          <w:rFonts w:ascii="Exo" w:hAnsi="Exo"/>
          <w:b/>
          <w:bCs/>
          <w:color w:val="auto"/>
        </w:rPr>
        <w:lastRenderedPageBreak/>
        <w:t>Exemplo de aplicação</w:t>
      </w:r>
      <w:bookmarkEnd w:id="7"/>
    </w:p>
    <w:p w14:paraId="04FFFC67" w14:textId="36001C4B" w:rsidR="00992B0A" w:rsidRPr="00EC355E" w:rsidRDefault="00EC4CF0" w:rsidP="00EC4CF0">
      <w:pPr>
        <w:pStyle w:val="SemEspaamento"/>
        <w:spacing w:after="200" w:line="360" w:lineRule="auto"/>
        <w:ind w:firstLine="851"/>
        <w:jc w:val="both"/>
        <w:rPr>
          <w:rFonts w:ascii="Exo" w:hAnsi="Exo"/>
          <w:sz w:val="20"/>
          <w:szCs w:val="20"/>
        </w:rPr>
      </w:pPr>
      <w:r w:rsidRPr="00EC4CF0">
        <w:rPr>
          <w:rFonts w:ascii="Exo" w:hAnsi="Exo"/>
          <w:sz w:val="20"/>
          <w:szCs w:val="20"/>
        </w:rPr>
        <w:t xml:space="preserve">A figura 2 exemplifica a aplicação do indicador, considerando um recorte de enfermeiros da Atenção Primária à Saúde, conforme a métrica Full-Time </w:t>
      </w:r>
      <w:proofErr w:type="spellStart"/>
      <w:r w:rsidRPr="00EC4CF0">
        <w:rPr>
          <w:rFonts w:ascii="Exo" w:hAnsi="Exo"/>
          <w:sz w:val="20"/>
          <w:szCs w:val="20"/>
        </w:rPr>
        <w:t>Equivalent</w:t>
      </w:r>
      <w:proofErr w:type="spellEnd"/>
      <w:r w:rsidRPr="00EC4CF0">
        <w:rPr>
          <w:rFonts w:ascii="Exo" w:hAnsi="Exo"/>
          <w:sz w:val="20"/>
          <w:szCs w:val="20"/>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r>
        <w:rPr>
          <w:rFonts w:ascii="Exo" w:hAnsi="Exo"/>
          <w:sz w:val="20"/>
          <w:szCs w:val="20"/>
        </w:rPr>
        <w:t>.</w:t>
      </w:r>
    </w:p>
    <w:p w14:paraId="6B82B170" w14:textId="77777777" w:rsidR="00992B0A" w:rsidRPr="00CE06B6" w:rsidRDefault="00992B0A" w:rsidP="00992B0A">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0FDE1478" w14:textId="77745664" w:rsidR="00992B0A" w:rsidRDefault="00A939B4" w:rsidP="00992B0A">
      <w:pPr>
        <w:pStyle w:val="NormalWeb"/>
        <w:spacing w:before="0" w:beforeAutospacing="0" w:after="0" w:afterAutospacing="0"/>
        <w:jc w:val="center"/>
      </w:pPr>
      <w:bookmarkStart w:id="8" w:name="_Hlk184288995"/>
      <w:r>
        <w:rPr>
          <w:noProof/>
          <w14:ligatures w14:val="standardContextual"/>
        </w:rPr>
        <w:drawing>
          <wp:inline distT="0" distB="0" distL="0" distR="0" wp14:anchorId="4523403A" wp14:editId="2DA84716">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55C3FFF5" w14:textId="77777777" w:rsidR="00992B0A" w:rsidRPr="00CE06B6" w:rsidRDefault="00992B0A" w:rsidP="00992B0A">
      <w:pPr>
        <w:pStyle w:val="PargrafodaLista"/>
        <w:ind w:left="0"/>
        <w:jc w:val="center"/>
        <w:rPr>
          <w:rFonts w:ascii="Exo" w:hAnsi="Exo"/>
          <w:i/>
          <w:iCs/>
          <w:sz w:val="18"/>
          <w:szCs w:val="18"/>
        </w:rPr>
      </w:pPr>
      <w:r w:rsidRPr="00CE06B6">
        <w:rPr>
          <w:rFonts w:ascii="Exo" w:hAnsi="Exo"/>
          <w:i/>
          <w:iCs/>
          <w:sz w:val="18"/>
          <w:szCs w:val="18"/>
        </w:rPr>
        <w:t>Fonte: elaborado pelos autores</w:t>
      </w:r>
      <w:bookmarkEnd w:id="8"/>
    </w:p>
    <w:p w14:paraId="35562002" w14:textId="12B1CA04" w:rsidR="00050F4B" w:rsidRPr="00050F4B" w:rsidRDefault="00992B0A" w:rsidP="00050F4B">
      <w:pPr>
        <w:ind w:left="-1701"/>
        <w:jc w:val="center"/>
        <w:rPr>
          <w:rFonts w:ascii="Exo" w:hAnsi="Exo"/>
        </w:rPr>
      </w:pPr>
      <w:r w:rsidRPr="00420B56">
        <w:rPr>
          <w:rFonts w:ascii="Exo" w:hAnsi="Exo"/>
          <w:sz w:val="20"/>
          <w:szCs w:val="20"/>
        </w:rPr>
        <w:t xml:space="preserve">Para acessar o link do código que resultou no mapa, clique </w:t>
      </w:r>
      <w:hyperlink r:id="rId21" w:history="1">
        <w:r w:rsidRPr="00420B56">
          <w:rPr>
            <w:rStyle w:val="Hyperlink"/>
            <w:rFonts w:ascii="Exo" w:hAnsi="Exo"/>
            <w:sz w:val="20"/>
            <w:szCs w:val="20"/>
          </w:rPr>
          <w:t>aqui</w:t>
        </w:r>
      </w:hyperlink>
      <w:r w:rsidR="00050F4B">
        <w:rPr>
          <w:rFonts w:ascii="Exo" w:hAnsi="Exo"/>
        </w:rPr>
        <w:t>.</w:t>
      </w:r>
      <w:r w:rsidR="00050F4B">
        <w:rPr>
          <w:rFonts w:ascii="Exo" w:hAnsi="Exo"/>
          <w:b/>
          <w:bCs/>
        </w:rPr>
        <w:br w:type="page"/>
      </w:r>
    </w:p>
    <w:p w14:paraId="6EFC34B2" w14:textId="62280BB6" w:rsidR="003F6595" w:rsidRPr="00FF0722" w:rsidRDefault="00666086" w:rsidP="00666086">
      <w:pPr>
        <w:pStyle w:val="Ttulo1"/>
        <w:jc w:val="center"/>
        <w:rPr>
          <w:rFonts w:ascii="Exo" w:hAnsi="Exo"/>
          <w:b/>
          <w:bCs/>
          <w:color w:val="auto"/>
        </w:rPr>
      </w:pPr>
      <w:bookmarkStart w:id="9" w:name="_Toc188374092"/>
      <w:r w:rsidRPr="00FF0722">
        <w:rPr>
          <w:rFonts w:ascii="Exo" w:hAnsi="Exo"/>
          <w:b/>
          <w:bCs/>
          <w:color w:val="auto"/>
        </w:rPr>
        <w:lastRenderedPageBreak/>
        <w:t>Referências</w:t>
      </w:r>
      <w:bookmarkEnd w:id="9"/>
    </w:p>
    <w:p w14:paraId="393A9936" w14:textId="77777777" w:rsidR="00666086" w:rsidRPr="00FF07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sidR="00F732D7">
            <w:rPr>
              <w:rFonts w:ascii="Exo" w:eastAsia="Times New Roman" w:hAnsi="Exo"/>
              <w:color w:val="000000"/>
              <w:sz w:val="20"/>
              <w:szCs w:val="20"/>
            </w:rPr>
            <w:t xml:space="preserve">World Health </w:t>
          </w:r>
          <w:proofErr w:type="spellStart"/>
          <w:r w:rsidR="00F732D7">
            <w:rPr>
              <w:rFonts w:ascii="Exo" w:eastAsia="Times New Roman" w:hAnsi="Exo"/>
              <w:color w:val="000000"/>
              <w:sz w:val="20"/>
              <w:szCs w:val="20"/>
            </w:rPr>
            <w:t>Organization</w:t>
          </w:r>
          <w:proofErr w:type="spellEnd"/>
          <w:r w:rsidR="00F732D7">
            <w:rPr>
              <w:rFonts w:ascii="Exo" w:eastAsia="Times New Roman" w:hAnsi="Exo"/>
              <w:color w:val="000000"/>
              <w:sz w:val="20"/>
              <w:szCs w:val="20"/>
            </w:rPr>
            <w:t xml:space="preserve">. Global </w:t>
          </w:r>
          <w:proofErr w:type="spellStart"/>
          <w:r w:rsidR="00F732D7">
            <w:rPr>
              <w:rFonts w:ascii="Exo" w:eastAsia="Times New Roman" w:hAnsi="Exo"/>
              <w:color w:val="000000"/>
              <w:sz w:val="20"/>
              <w:szCs w:val="20"/>
            </w:rPr>
            <w:t>strategy</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on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human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resources</w:t>
          </w:r>
          <w:proofErr w:type="spellEnd"/>
          <w:r w:rsidR="00F732D7">
            <w:rPr>
              <w:rFonts w:ascii="Exo" w:eastAsia="Times New Roman" w:hAnsi="Exo"/>
              <w:color w:val="000000"/>
              <w:sz w:val="20"/>
              <w:szCs w:val="20"/>
            </w:rPr>
            <w:t xml:space="preserve"> for </w:t>
          </w:r>
          <w:proofErr w:type="spellStart"/>
          <w:r w:rsidR="00F732D7">
            <w:rPr>
              <w:rFonts w:ascii="Exo" w:eastAsia="Times New Roman" w:hAnsi="Exo"/>
              <w:color w:val="000000"/>
              <w:sz w:val="20"/>
              <w:szCs w:val="20"/>
            </w:rPr>
            <w:t>health</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Workforce</w:t>
          </w:r>
          <w:proofErr w:type="spellEnd"/>
          <w:r w:rsidR="00F732D7">
            <w:rPr>
              <w:rFonts w:ascii="Exo" w:eastAsia="Times New Roman" w:hAnsi="Exo"/>
              <w:color w:val="000000"/>
              <w:sz w:val="20"/>
              <w:szCs w:val="20"/>
            </w:rPr>
            <w:t xml:space="preserve"> 2030. Geneva: WHO; 2016. </w:t>
          </w:r>
        </w:p>
        <w:p w14:paraId="5DEDED95"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BC0543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C6C32DF"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DE8943E"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2E8BD27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2AC30F27" w14:textId="148BD672" w:rsidR="00666086" w:rsidRPr="00654A25"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7. </w:t>
          </w:r>
          <w:r w:rsidRPr="00FF0722">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Girardi</w:t>
          </w:r>
          <w:proofErr w:type="spellEnd"/>
          <w:r w:rsidR="00050F4B" w:rsidRPr="00050F4B">
            <w:rPr>
              <w:rFonts w:ascii="Exo" w:eastAsia="Times New Roman" w:hAnsi="Exo"/>
              <w:color w:val="000000"/>
              <w:sz w:val="20"/>
              <w:szCs w:val="20"/>
            </w:rPr>
            <w:t xml:space="preserve"> SN, Carvalho CL, Araújo JF, Farah JM, </w:t>
          </w:r>
          <w:proofErr w:type="spellStart"/>
          <w:r w:rsidR="00050F4B" w:rsidRPr="00050F4B">
            <w:rPr>
              <w:rFonts w:ascii="Exo" w:eastAsia="Times New Roman" w:hAnsi="Exo"/>
              <w:color w:val="000000"/>
              <w:sz w:val="20"/>
              <w:szCs w:val="20"/>
            </w:rPr>
            <w:t>Wan</w:t>
          </w:r>
          <w:proofErr w:type="spellEnd"/>
          <w:r w:rsidR="00050F4B" w:rsidRPr="00050F4B">
            <w:rPr>
              <w:rFonts w:ascii="Exo" w:eastAsia="Times New Roman" w:hAnsi="Exo"/>
              <w:color w:val="000000"/>
              <w:sz w:val="20"/>
              <w:szCs w:val="20"/>
            </w:rPr>
            <w:t xml:space="preserve"> der Maas L, Campos LAD. Índice de escassez de médicos no Brasil: estudo exploratório no âmbito da Atenção Primária. In: </w:t>
          </w:r>
          <w:proofErr w:type="spellStart"/>
          <w:r w:rsidR="00050F4B" w:rsidRPr="00050F4B">
            <w:rPr>
              <w:rFonts w:ascii="Exo" w:eastAsia="Times New Roman" w:hAnsi="Exo"/>
              <w:color w:val="000000"/>
              <w:sz w:val="20"/>
              <w:szCs w:val="20"/>
            </w:rPr>
            <w:t>Pierantoni</w:t>
          </w:r>
          <w:proofErr w:type="spellEnd"/>
          <w:r w:rsidR="00050F4B" w:rsidRPr="00050F4B">
            <w:rPr>
              <w:rFonts w:ascii="Exo" w:eastAsia="Times New Roman" w:hAnsi="Exo"/>
              <w:color w:val="000000"/>
              <w:sz w:val="20"/>
              <w:szCs w:val="20"/>
            </w:rPr>
            <w:t xml:space="preserve"> CR, </w:t>
          </w:r>
          <w:proofErr w:type="spellStart"/>
          <w:r w:rsidR="00050F4B" w:rsidRPr="00050F4B">
            <w:rPr>
              <w:rFonts w:ascii="Exo" w:eastAsia="Times New Roman" w:hAnsi="Exo"/>
              <w:color w:val="000000"/>
              <w:sz w:val="20"/>
              <w:szCs w:val="20"/>
            </w:rPr>
            <w:t>Poz</w:t>
          </w:r>
          <w:proofErr w:type="spellEnd"/>
          <w:r w:rsidR="00050F4B" w:rsidRPr="00050F4B">
            <w:rPr>
              <w:rFonts w:ascii="Exo" w:eastAsia="Times New Roman" w:hAnsi="Exo"/>
              <w:color w:val="000000"/>
              <w:sz w:val="20"/>
              <w:szCs w:val="20"/>
            </w:rPr>
            <w:t xml:space="preserve"> MR</w:t>
          </w:r>
          <w:r w:rsidR="0024145C" w:rsidRPr="00050F4B">
            <w:rPr>
              <w:rFonts w:ascii="Exo" w:eastAsia="Times New Roman" w:hAnsi="Exo"/>
              <w:color w:val="000000"/>
              <w:sz w:val="20"/>
              <w:szCs w:val="20"/>
            </w:rPr>
            <w:t>D</w:t>
          </w:r>
          <w:r w:rsidR="00050F4B" w:rsidRPr="00050F4B">
            <w:rPr>
              <w:rFonts w:ascii="Exo" w:eastAsia="Times New Roman" w:hAnsi="Exo"/>
              <w:color w:val="000000"/>
              <w:sz w:val="20"/>
              <w:szCs w:val="20"/>
            </w:rPr>
            <w:t xml:space="preserve">, França T, organizadores. O trabalho em saúde: abordagens quantitativas e qualitativas. Rio de Janeiro: </w:t>
          </w:r>
          <w:proofErr w:type="spellStart"/>
          <w:r w:rsidR="00050F4B" w:rsidRPr="00050F4B">
            <w:rPr>
              <w:rFonts w:ascii="Exo" w:eastAsia="Times New Roman" w:hAnsi="Exo"/>
              <w:color w:val="000000"/>
              <w:sz w:val="20"/>
              <w:szCs w:val="20"/>
            </w:rPr>
            <w:t>Cepesc</w:t>
          </w:r>
          <w:proofErr w:type="spellEnd"/>
          <w:r w:rsidR="00050F4B" w:rsidRPr="00050F4B">
            <w:rPr>
              <w:rFonts w:ascii="Exo" w:eastAsia="Times New Roman" w:hAnsi="Exo"/>
              <w:color w:val="000000"/>
              <w:sz w:val="20"/>
              <w:szCs w:val="20"/>
            </w:rPr>
            <w:t xml:space="preserve">/IMS/UERJ, </w:t>
          </w:r>
          <w:proofErr w:type="spellStart"/>
          <w:r w:rsidR="00050F4B" w:rsidRPr="00050F4B">
            <w:rPr>
              <w:rFonts w:ascii="Exo" w:eastAsia="Times New Roman" w:hAnsi="Exo"/>
              <w:color w:val="000000"/>
              <w:sz w:val="20"/>
              <w:szCs w:val="20"/>
            </w:rPr>
            <w:t>ObservaRH</w:t>
          </w:r>
          <w:proofErr w:type="spellEnd"/>
          <w:r w:rsidR="00050F4B" w:rsidRPr="00050F4B">
            <w:rPr>
              <w:rFonts w:ascii="Exo" w:eastAsia="Times New Roman" w:hAnsi="Exo"/>
              <w:color w:val="000000"/>
              <w:sz w:val="20"/>
              <w:szCs w:val="20"/>
            </w:rPr>
            <w:t>; 2011. p. 171-86</w:t>
          </w:r>
          <w:r w:rsidR="00050F4B">
            <w:rPr>
              <w:rFonts w:ascii="Exo" w:eastAsia="Times New Roman" w:hAnsi="Exo"/>
              <w:color w:val="000000"/>
              <w:sz w:val="20"/>
              <w:szCs w:val="20"/>
            </w:rPr>
            <w:t>.</w:t>
          </w:r>
        </w:p>
        <w:p w14:paraId="4F3EC5A5" w14:textId="2EB07243" w:rsidR="00E4751F" w:rsidRPr="00654A25"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8.</w:t>
          </w:r>
          <w:r w:rsidRPr="00654A25">
            <w:rPr>
              <w:rFonts w:ascii="Exo" w:eastAsia="Times New Roman" w:hAnsi="Exo"/>
              <w:color w:val="000000"/>
              <w:sz w:val="20"/>
              <w:szCs w:val="20"/>
            </w:rPr>
            <w:tab/>
          </w:r>
          <w:r w:rsidRPr="00654A25">
            <w:rPr>
              <w:rFonts w:ascii="Exo" w:eastAsia="Times New Roman" w:hAnsi="Exo"/>
              <w:color w:val="000000"/>
              <w:sz w:val="20"/>
              <w:szCs w:val="20"/>
            </w:rPr>
            <w:annotationRef/>
          </w:r>
          <w:proofErr w:type="spellStart"/>
          <w:r w:rsidR="00050F4B" w:rsidRPr="00654A25">
            <w:rPr>
              <w:rFonts w:ascii="Exo" w:eastAsia="Times New Roman" w:hAnsi="Exo"/>
              <w:color w:val="000000"/>
              <w:sz w:val="20"/>
              <w:szCs w:val="20"/>
            </w:rPr>
            <w:t>Bruckner</w:t>
          </w:r>
          <w:proofErr w:type="spellEnd"/>
          <w:r w:rsidR="00050F4B" w:rsidRPr="00654A25">
            <w:rPr>
              <w:rFonts w:ascii="Exo" w:eastAsia="Times New Roman" w:hAnsi="Exo"/>
              <w:color w:val="000000"/>
              <w:sz w:val="20"/>
              <w:szCs w:val="20"/>
            </w:rPr>
            <w:t xml:space="preserve"> TA, </w:t>
          </w:r>
          <w:proofErr w:type="spellStart"/>
          <w:r w:rsidR="00050F4B" w:rsidRPr="00654A25">
            <w:rPr>
              <w:rFonts w:ascii="Exo" w:eastAsia="Times New Roman" w:hAnsi="Exo"/>
              <w:color w:val="000000"/>
              <w:sz w:val="20"/>
              <w:szCs w:val="20"/>
            </w:rPr>
            <w:t>Scheffler</w:t>
          </w:r>
          <w:proofErr w:type="spellEnd"/>
          <w:r w:rsidR="00050F4B" w:rsidRPr="00654A25">
            <w:rPr>
              <w:rFonts w:ascii="Exo" w:eastAsia="Times New Roman" w:hAnsi="Exo"/>
              <w:color w:val="000000"/>
              <w:sz w:val="20"/>
              <w:szCs w:val="20"/>
            </w:rPr>
            <w:t xml:space="preserve"> RM, </w:t>
          </w:r>
          <w:proofErr w:type="spellStart"/>
          <w:r w:rsidR="00050F4B" w:rsidRPr="00654A25">
            <w:rPr>
              <w:rFonts w:ascii="Exo" w:eastAsia="Times New Roman" w:hAnsi="Exo"/>
              <w:color w:val="000000"/>
              <w:sz w:val="20"/>
              <w:szCs w:val="20"/>
            </w:rPr>
            <w:t>Shen</w:t>
          </w:r>
          <w:proofErr w:type="spellEnd"/>
          <w:r w:rsidR="00050F4B" w:rsidRPr="00654A25">
            <w:rPr>
              <w:rFonts w:ascii="Exo" w:eastAsia="Times New Roman" w:hAnsi="Exo"/>
              <w:color w:val="000000"/>
              <w:sz w:val="20"/>
              <w:szCs w:val="20"/>
            </w:rPr>
            <w:t xml:space="preserve"> G, </w:t>
          </w:r>
          <w:proofErr w:type="spellStart"/>
          <w:r w:rsidR="00050F4B" w:rsidRPr="00654A25">
            <w:rPr>
              <w:rFonts w:ascii="Exo" w:eastAsia="Times New Roman" w:hAnsi="Exo"/>
              <w:color w:val="000000"/>
              <w:sz w:val="20"/>
              <w:szCs w:val="20"/>
            </w:rPr>
            <w:t>Yoon</w:t>
          </w:r>
          <w:proofErr w:type="spellEnd"/>
          <w:r w:rsidR="00050F4B" w:rsidRPr="00654A25">
            <w:rPr>
              <w:rFonts w:ascii="Exo" w:eastAsia="Times New Roman" w:hAnsi="Exo"/>
              <w:color w:val="000000"/>
              <w:sz w:val="20"/>
              <w:szCs w:val="20"/>
            </w:rPr>
            <w:t xml:space="preserve"> J, </w:t>
          </w:r>
          <w:proofErr w:type="spellStart"/>
          <w:r w:rsidR="00050F4B" w:rsidRPr="00654A25">
            <w:rPr>
              <w:rFonts w:ascii="Exo" w:eastAsia="Times New Roman" w:hAnsi="Exo"/>
              <w:color w:val="000000"/>
              <w:sz w:val="20"/>
              <w:szCs w:val="20"/>
            </w:rPr>
            <w:t>Chisholm</w:t>
          </w:r>
          <w:proofErr w:type="spellEnd"/>
          <w:r w:rsidR="00050F4B" w:rsidRPr="00654A25">
            <w:rPr>
              <w:rFonts w:ascii="Exo" w:eastAsia="Times New Roman" w:hAnsi="Exo"/>
              <w:color w:val="000000"/>
              <w:sz w:val="20"/>
              <w:szCs w:val="20"/>
            </w:rPr>
            <w:t xml:space="preserve"> D, Morris J, et al. The mental </w:t>
          </w:r>
          <w:proofErr w:type="spellStart"/>
          <w:r w:rsidR="00050F4B" w:rsidRPr="00654A25">
            <w:rPr>
              <w:rFonts w:ascii="Exo" w:eastAsia="Times New Roman" w:hAnsi="Exo"/>
              <w:color w:val="000000"/>
              <w:sz w:val="20"/>
              <w:szCs w:val="20"/>
            </w:rPr>
            <w:t>health</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workforce</w:t>
          </w:r>
          <w:proofErr w:type="spellEnd"/>
          <w:r w:rsidR="00050F4B" w:rsidRPr="00654A25">
            <w:rPr>
              <w:rFonts w:ascii="Exo" w:eastAsia="Times New Roman" w:hAnsi="Exo"/>
              <w:color w:val="000000"/>
              <w:sz w:val="20"/>
              <w:szCs w:val="20"/>
            </w:rPr>
            <w:t xml:space="preserve"> gap in </w:t>
          </w:r>
          <w:proofErr w:type="spellStart"/>
          <w:r w:rsidR="00050F4B" w:rsidRPr="00654A25">
            <w:rPr>
              <w:rFonts w:ascii="Exo" w:eastAsia="Times New Roman" w:hAnsi="Exo"/>
              <w:color w:val="000000"/>
              <w:sz w:val="20"/>
              <w:szCs w:val="20"/>
            </w:rPr>
            <w:t>low</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and</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middle</w:t>
          </w:r>
          <w:proofErr w:type="spellEnd"/>
          <w:r w:rsidR="00050F4B" w:rsidRPr="00654A25">
            <w:rPr>
              <w:rFonts w:ascii="Exo" w:eastAsia="Times New Roman" w:hAnsi="Exo"/>
              <w:color w:val="000000"/>
              <w:sz w:val="20"/>
              <w:szCs w:val="20"/>
            </w:rPr>
            <w:t xml:space="preserve">-income countries: a </w:t>
          </w:r>
          <w:proofErr w:type="spellStart"/>
          <w:r w:rsidR="00050F4B" w:rsidRPr="00654A25">
            <w:rPr>
              <w:rFonts w:ascii="Exo" w:eastAsia="Times New Roman" w:hAnsi="Exo"/>
              <w:color w:val="000000"/>
              <w:sz w:val="20"/>
              <w:szCs w:val="20"/>
            </w:rPr>
            <w:t>needs-based</w:t>
          </w:r>
          <w:proofErr w:type="spellEnd"/>
          <w:r w:rsidR="00050F4B" w:rsidRPr="00654A25">
            <w:rPr>
              <w:rFonts w:ascii="Exo" w:eastAsia="Times New Roman" w:hAnsi="Exo"/>
              <w:color w:val="000000"/>
              <w:sz w:val="20"/>
              <w:szCs w:val="20"/>
            </w:rPr>
            <w:t xml:space="preserve"> approach. Bull World Health Organ. </w:t>
          </w:r>
          <w:proofErr w:type="gramStart"/>
          <w:r w:rsidR="00050F4B" w:rsidRPr="00654A25">
            <w:rPr>
              <w:rFonts w:ascii="Exo" w:eastAsia="Times New Roman" w:hAnsi="Exo"/>
              <w:color w:val="000000"/>
              <w:sz w:val="20"/>
              <w:szCs w:val="20"/>
            </w:rPr>
            <w:t>2011;89:184</w:t>
          </w:r>
          <w:proofErr w:type="gramEnd"/>
          <w:r w:rsidR="00050F4B" w:rsidRPr="00654A25">
            <w:rPr>
              <w:rFonts w:ascii="Exo" w:eastAsia="Times New Roman" w:hAnsi="Exo"/>
              <w:color w:val="000000"/>
              <w:sz w:val="20"/>
              <w:szCs w:val="20"/>
            </w:rPr>
            <w:t>-94.</w:t>
          </w:r>
        </w:p>
        <w:p w14:paraId="1AD0438A" w14:textId="771BCE85" w:rsidR="0078205E" w:rsidRPr="00050F4B"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9.</w:t>
          </w:r>
          <w:r w:rsidRPr="00654A25">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Ayudina</w:t>
          </w:r>
          <w:proofErr w:type="spellEnd"/>
          <w:r w:rsidR="00050F4B" w:rsidRPr="00050F4B">
            <w:rPr>
              <w:rFonts w:ascii="Exo" w:eastAsia="Times New Roman" w:hAnsi="Exo"/>
              <w:color w:val="000000"/>
              <w:sz w:val="20"/>
              <w:szCs w:val="20"/>
            </w:rPr>
            <w:t xml:space="preserve"> Y, Sudirman S, </w:t>
          </w:r>
          <w:proofErr w:type="spellStart"/>
          <w:r w:rsidR="00050F4B" w:rsidRPr="00050F4B">
            <w:rPr>
              <w:rFonts w:ascii="Exo" w:eastAsia="Times New Roman" w:hAnsi="Exo"/>
              <w:color w:val="000000"/>
              <w:sz w:val="20"/>
              <w:szCs w:val="20"/>
            </w:rPr>
            <w:t>Nurjanah</w:t>
          </w:r>
          <w:proofErr w:type="spellEnd"/>
          <w:r w:rsidR="00050F4B" w:rsidRPr="00050F4B">
            <w:rPr>
              <w:rFonts w:ascii="Exo" w:eastAsia="Times New Roman" w:hAnsi="Exo"/>
              <w:color w:val="000000"/>
              <w:sz w:val="20"/>
              <w:szCs w:val="20"/>
            </w:rPr>
            <w:t xml:space="preserve"> N. </w:t>
          </w:r>
          <w:proofErr w:type="spellStart"/>
          <w:r w:rsidR="00050F4B" w:rsidRPr="00050F4B">
            <w:rPr>
              <w:rFonts w:ascii="Exo" w:eastAsia="Times New Roman" w:hAnsi="Exo"/>
              <w:color w:val="000000"/>
              <w:sz w:val="20"/>
              <w:szCs w:val="20"/>
            </w:rPr>
            <w:t>Analysis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job</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burden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using</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method</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FTE (Full Time </w:t>
          </w:r>
          <w:proofErr w:type="spellStart"/>
          <w:r w:rsidR="00050F4B" w:rsidRPr="00050F4B">
            <w:rPr>
              <w:rFonts w:ascii="Exo" w:eastAsia="Times New Roman" w:hAnsi="Exo"/>
              <w:color w:val="000000"/>
              <w:sz w:val="20"/>
              <w:szCs w:val="20"/>
            </w:rPr>
            <w:t>Equivalent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at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Puskesmas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Pantoloan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Int</w:t>
          </w:r>
          <w:proofErr w:type="spellEnd"/>
          <w:r w:rsidR="00050F4B" w:rsidRPr="00050F4B">
            <w:rPr>
              <w:rFonts w:ascii="Exo" w:eastAsia="Times New Roman" w:hAnsi="Exo"/>
              <w:color w:val="000000"/>
              <w:sz w:val="20"/>
              <w:szCs w:val="20"/>
            </w:rPr>
            <w:t xml:space="preserve"> J Health </w:t>
          </w:r>
          <w:proofErr w:type="spellStart"/>
          <w:r w:rsidR="00050F4B" w:rsidRPr="00050F4B">
            <w:rPr>
              <w:rFonts w:ascii="Exo" w:eastAsia="Times New Roman" w:hAnsi="Exo"/>
              <w:color w:val="000000"/>
              <w:sz w:val="20"/>
              <w:szCs w:val="20"/>
            </w:rPr>
            <w:t>Econ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Soc</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Sci</w:t>
          </w:r>
          <w:proofErr w:type="spellEnd"/>
          <w:r w:rsidR="00050F4B" w:rsidRPr="00050F4B">
            <w:rPr>
              <w:rFonts w:ascii="Exo" w:eastAsia="Times New Roman" w:hAnsi="Exo"/>
              <w:color w:val="000000"/>
              <w:sz w:val="20"/>
              <w:szCs w:val="20"/>
            </w:rPr>
            <w:t>.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NRIQUE RIBEIRO DA SILVEIRA" w:date="2025-01-21T09:57:00Z" w:initials="HRDS">
    <w:p w14:paraId="17441B46" w14:textId="77777777" w:rsidR="00F732D7" w:rsidRDefault="00F732D7" w:rsidP="00F732D7">
      <w:pPr>
        <w:pStyle w:val="Textodecomentrio"/>
      </w:pPr>
      <w:r>
        <w:rPr>
          <w:rStyle w:val="Refdecomentrio"/>
        </w:rPr>
        <w:annotationRef/>
      </w:r>
      <w:proofErr w:type="spellStart"/>
      <w:r>
        <w:t>Add</w:t>
      </w:r>
      <w:proofErr w:type="spellEnd"/>
      <w:r>
        <w:t xml:space="preserve"> link dos dados resultantes, após atualização do nome no site dados.face.ufg.br. </w:t>
      </w:r>
      <w:proofErr w:type="spellStart"/>
      <w:r>
        <w:t>Add</w:t>
      </w:r>
      <w:proofErr w:type="spellEnd"/>
      <w:r>
        <w:t xml:space="preserve"> o link do dashboard após atualização do nome.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441B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9EE13" w16cex:dateUtc="2025-01-21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441B46" w16cid:durableId="2B39EE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9E943" w14:textId="77777777" w:rsidR="002A4C98" w:rsidRDefault="002A4C98" w:rsidP="0078205E">
      <w:pPr>
        <w:spacing w:after="0" w:line="240" w:lineRule="auto"/>
      </w:pPr>
      <w:r>
        <w:separator/>
      </w:r>
    </w:p>
  </w:endnote>
  <w:endnote w:type="continuationSeparator" w:id="0">
    <w:p w14:paraId="30110122" w14:textId="77777777" w:rsidR="002A4C98" w:rsidRDefault="002A4C9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08835" w14:textId="77777777" w:rsidR="002A4C98" w:rsidRDefault="002A4C98" w:rsidP="0078205E">
      <w:pPr>
        <w:spacing w:after="0" w:line="240" w:lineRule="auto"/>
      </w:pPr>
      <w:r>
        <w:separator/>
      </w:r>
    </w:p>
  </w:footnote>
  <w:footnote w:type="continuationSeparator" w:id="0">
    <w:p w14:paraId="6D3FD134" w14:textId="77777777" w:rsidR="002A4C98" w:rsidRDefault="002A4C9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46231"/>
    <w:rsid w:val="00050F4B"/>
    <w:rsid w:val="00070E8E"/>
    <w:rsid w:val="0009184F"/>
    <w:rsid w:val="001239B3"/>
    <w:rsid w:val="00197F3C"/>
    <w:rsid w:val="001D0EE0"/>
    <w:rsid w:val="001F561B"/>
    <w:rsid w:val="0024145C"/>
    <w:rsid w:val="00255C97"/>
    <w:rsid w:val="002826EF"/>
    <w:rsid w:val="00290AFB"/>
    <w:rsid w:val="002A4C98"/>
    <w:rsid w:val="002A6FB3"/>
    <w:rsid w:val="002D5D78"/>
    <w:rsid w:val="003F0045"/>
    <w:rsid w:val="003F6595"/>
    <w:rsid w:val="00496AA8"/>
    <w:rsid w:val="004A3585"/>
    <w:rsid w:val="004A74C2"/>
    <w:rsid w:val="004C446E"/>
    <w:rsid w:val="004E0F3E"/>
    <w:rsid w:val="004F64E3"/>
    <w:rsid w:val="0051118D"/>
    <w:rsid w:val="00537021"/>
    <w:rsid w:val="00590F04"/>
    <w:rsid w:val="005C3030"/>
    <w:rsid w:val="005D0D45"/>
    <w:rsid w:val="006447AB"/>
    <w:rsid w:val="00654A25"/>
    <w:rsid w:val="00666086"/>
    <w:rsid w:val="0067139C"/>
    <w:rsid w:val="006C52FB"/>
    <w:rsid w:val="0078205E"/>
    <w:rsid w:val="00814305"/>
    <w:rsid w:val="00822BC6"/>
    <w:rsid w:val="008C64CD"/>
    <w:rsid w:val="008D281E"/>
    <w:rsid w:val="00936921"/>
    <w:rsid w:val="00982053"/>
    <w:rsid w:val="00992B0A"/>
    <w:rsid w:val="009B3D22"/>
    <w:rsid w:val="009C0265"/>
    <w:rsid w:val="009E5CEE"/>
    <w:rsid w:val="00A33D0A"/>
    <w:rsid w:val="00A80BE7"/>
    <w:rsid w:val="00A92A31"/>
    <w:rsid w:val="00A939B4"/>
    <w:rsid w:val="00B13018"/>
    <w:rsid w:val="00B55CBE"/>
    <w:rsid w:val="00C05C2B"/>
    <w:rsid w:val="00C567EB"/>
    <w:rsid w:val="00C84CA2"/>
    <w:rsid w:val="00CA4CA1"/>
    <w:rsid w:val="00CB5C51"/>
    <w:rsid w:val="00CF7F96"/>
    <w:rsid w:val="00D24869"/>
    <w:rsid w:val="00D31BBD"/>
    <w:rsid w:val="00D36EEF"/>
    <w:rsid w:val="00D7294F"/>
    <w:rsid w:val="00D94AD2"/>
    <w:rsid w:val="00DF5847"/>
    <w:rsid w:val="00E00FA9"/>
    <w:rsid w:val="00E14844"/>
    <w:rsid w:val="00E47210"/>
    <w:rsid w:val="00E4751F"/>
    <w:rsid w:val="00EC4CF0"/>
    <w:rsid w:val="00EF7DCA"/>
    <w:rsid w:val="00F732D7"/>
    <w:rsid w:val="00FB42E6"/>
    <w:rsid w:val="00FF0722"/>
    <w:rsid w:val="00FF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6_razao_profissionais_fte/06_razao_profissionais_fte.R"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microsoft.com/office/2011/relationships/commentsExtended" Target="commentsExtended.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11/relationships/people" Target="peop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B386B9D2CB04CFDA58E48557B99D51D"/>
        <w:category>
          <w:name w:val="Geral"/>
          <w:gallery w:val="placeholder"/>
        </w:category>
        <w:types>
          <w:type w:val="bbPlcHdr"/>
        </w:types>
        <w:behaviors>
          <w:behavior w:val="content"/>
        </w:behaviors>
        <w:guid w:val="{E5E739DF-C2AD-45E7-A2B4-C9A3D2C2E310}"/>
      </w:docPartPr>
      <w:docPartBody>
        <w:p w:rsidR="003B4519" w:rsidRDefault="00B84321" w:rsidP="00B84321">
          <w:pPr>
            <w:pStyle w:val="4B386B9D2CB04CFDA58E48557B99D51D"/>
          </w:pPr>
          <w:r w:rsidRPr="0031018C">
            <w:rPr>
              <w:rStyle w:val="TextodoEspaoReservado"/>
            </w:rPr>
            <w:t>Clique ou toque aqui para inserir o texto.</w:t>
          </w:r>
        </w:p>
      </w:docPartBody>
    </w:docPart>
    <w:docPart>
      <w:docPartPr>
        <w:name w:val="EBD5DA4DC6A64EC8B174FBE90A6DA828"/>
        <w:category>
          <w:name w:val="Geral"/>
          <w:gallery w:val="placeholder"/>
        </w:category>
        <w:types>
          <w:type w:val="bbPlcHdr"/>
        </w:types>
        <w:behaviors>
          <w:behavior w:val="content"/>
        </w:behaviors>
        <w:guid w:val="{E2A0F44C-C40C-499C-BB4E-91198863D656}"/>
      </w:docPartPr>
      <w:docPartBody>
        <w:p w:rsidR="003B4519" w:rsidRDefault="00B84321" w:rsidP="00B84321">
          <w:pPr>
            <w:pStyle w:val="EBD5DA4DC6A64EC8B174FBE90A6DA828"/>
          </w:pPr>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3B4519"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3B4519"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3B4519" w:rsidRDefault="00B84321" w:rsidP="00B84321">
          <w:pPr>
            <w:pStyle w:val="2C98C37892F944FDA20934A0A38AEE79"/>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337B4"/>
    <w:rsid w:val="000D47C8"/>
    <w:rsid w:val="00201B4E"/>
    <w:rsid w:val="003B4519"/>
    <w:rsid w:val="004A74C2"/>
    <w:rsid w:val="005968AC"/>
    <w:rsid w:val="009A2513"/>
    <w:rsid w:val="00A647F7"/>
    <w:rsid w:val="00AC7EBC"/>
    <w:rsid w:val="00AE103D"/>
    <w:rsid w:val="00AE4B47"/>
    <w:rsid w:val="00B84321"/>
    <w:rsid w:val="00B84B28"/>
    <w:rsid w:val="00BA0934"/>
    <w:rsid w:val="00C26E7B"/>
    <w:rsid w:val="00CA3EDD"/>
    <w:rsid w:val="00CF7F96"/>
    <w:rsid w:val="00E13579"/>
    <w:rsid w:val="00EA7B6C"/>
    <w:rsid w:val="00EB6977"/>
    <w:rsid w:val="00EB6B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84321"/>
    <w:rPr>
      <w:color w:val="808080"/>
    </w:rPr>
  </w:style>
  <w:style w:type="paragraph" w:customStyle="1" w:styleId="4B386B9D2CB04CFDA58E48557B99D51D">
    <w:name w:val="4B386B9D2CB04CFDA58E48557B99D51D"/>
    <w:rsid w:val="00B84321"/>
  </w:style>
  <w:style w:type="paragraph" w:customStyle="1" w:styleId="EBD5DA4DC6A64EC8B174FBE90A6DA828">
    <w:name w:val="EBD5DA4DC6A64EC8B174FBE90A6DA828"/>
    <w:rsid w:val="00B84321"/>
  </w:style>
  <w:style w:type="paragraph" w:customStyle="1" w:styleId="6552C7ABB66841FBAD5B3355B8E06BB4">
    <w:name w:val="6552C7ABB66841FBAD5B3355B8E06BB4"/>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11</Pages>
  <Words>1881</Words>
  <Characters>10163</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11</cp:revision>
  <dcterms:created xsi:type="dcterms:W3CDTF">2025-01-21T13:07:00Z</dcterms:created>
  <dcterms:modified xsi:type="dcterms:W3CDTF">2025-01-23T17:38:00Z</dcterms:modified>
</cp:coreProperties>
</file>