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0F7E76AF"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4</w:t>
            </w:r>
            <w:r w:rsidR="007D26D7" w:rsidRPr="007D26D7">
              <w:rPr>
                <w:rStyle w:val="Hyperlink"/>
                <w:rFonts w:ascii="Exo" w:hAnsi="Exo"/>
                <w:b/>
                <w:bCs/>
                <w:webHidden/>
              </w:rPr>
              <w:fldChar w:fldCharType="end"/>
            </w:r>
          </w:hyperlink>
        </w:p>
        <w:p w14:paraId="5ADE8605" w14:textId="3F230C8E" w:rsidR="007D26D7" w:rsidRPr="007D26D7" w:rsidRDefault="009A798D">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5</w:t>
            </w:r>
            <w:r w:rsidR="007D26D7" w:rsidRPr="007D26D7">
              <w:rPr>
                <w:rStyle w:val="Hyperlink"/>
                <w:rFonts w:ascii="Exo" w:hAnsi="Exo"/>
                <w:b/>
                <w:bCs/>
                <w:webHidden/>
              </w:rPr>
              <w:fldChar w:fldCharType="end"/>
            </w:r>
          </w:hyperlink>
        </w:p>
        <w:p w14:paraId="25C8615C" w14:textId="6116E576" w:rsidR="007D26D7" w:rsidRPr="007D26D7" w:rsidRDefault="009A798D">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7</w:t>
            </w:r>
            <w:r w:rsidR="007D26D7" w:rsidRPr="007D26D7">
              <w:rPr>
                <w:rStyle w:val="Hyperlink"/>
                <w:rFonts w:ascii="Exo" w:hAnsi="Exo"/>
                <w:b/>
                <w:bCs/>
                <w:webHidden/>
              </w:rPr>
              <w:fldChar w:fldCharType="end"/>
            </w:r>
          </w:hyperlink>
        </w:p>
        <w:p w14:paraId="134BBD59" w14:textId="7AA8B29A" w:rsidR="007D26D7" w:rsidRPr="007D26D7" w:rsidRDefault="009A798D">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127EBA6B" w14:textId="77777777" w:rsidR="004C586F" w:rsidRPr="004C586F" w:rsidRDefault="004C586F" w:rsidP="004C586F">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Global Strategy for Human Resources for Health: Workforce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6D487C58F144504993FC3ED399EB9D1"/>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333303AD" w14:textId="77777777" w:rsidR="00AE7889" w:rsidRPr="00971322" w:rsidRDefault="00AE7889" w:rsidP="00AE788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FC42992AEA4C1B87C534C2CABE14B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FC42992AEA4C1B87C534C2CABE14B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1B367DAB" w14:textId="5C80BD82" w:rsidR="003361F9" w:rsidRPr="004C586F" w:rsidRDefault="00D36EEF" w:rsidP="004C586F">
      <w:pPr>
        <w:spacing w:after="200" w:line="360" w:lineRule="auto"/>
        <w:ind w:firstLine="851"/>
        <w:jc w:val="both"/>
        <w:rPr>
          <w:rFonts w:ascii="Exo" w:hAnsi="Exo"/>
          <w:sz w:val="20"/>
          <w:szCs w:val="20"/>
        </w:rPr>
      </w:pPr>
      <w:r w:rsidRPr="004C586F">
        <w:rPr>
          <w:rFonts w:ascii="Exo" w:hAnsi="Exo"/>
          <w:sz w:val="20"/>
          <w:szCs w:val="20"/>
        </w:rPr>
        <w:t>Neste documento descrevemos os processos executados para construção do indicador</w:t>
      </w:r>
      <w:r w:rsidR="00E47210" w:rsidRPr="004C586F">
        <w:rPr>
          <w:rFonts w:ascii="Exo" w:hAnsi="Exo"/>
          <w:sz w:val="20"/>
          <w:szCs w:val="20"/>
        </w:rPr>
        <w:t xml:space="preserve"> </w:t>
      </w:r>
      <w:r w:rsidR="003361F9" w:rsidRPr="004C586F">
        <w:rPr>
          <w:rFonts w:ascii="Exo" w:hAnsi="Exo"/>
          <w:sz w:val="20"/>
          <w:szCs w:val="20"/>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Pr>
              <w:rFonts w:ascii="Exo" w:hAnsi="Exo"/>
              <w:color w:val="000000"/>
              <w:sz w:val="20"/>
              <w:szCs w:val="20"/>
              <w:vertAlign w:val="superscript"/>
            </w:rPr>
            <w:t>7</w:t>
          </w:r>
        </w:sdtContent>
      </w:sdt>
      <w:r w:rsidR="003361F9" w:rsidRPr="004C586F">
        <w:rPr>
          <w:rFonts w:ascii="Exo" w:hAnsi="Exo"/>
          <w:sz w:val="20"/>
          <w:szCs w:val="20"/>
        </w:rPr>
        <w:t>.</w:t>
      </w:r>
    </w:p>
    <w:p w14:paraId="00B525C2" w14:textId="63BEA3B8" w:rsidR="00D36EEF" w:rsidRPr="004C586F" w:rsidRDefault="003361F9" w:rsidP="004C586F">
      <w:pPr>
        <w:spacing w:after="200" w:line="360" w:lineRule="auto"/>
        <w:ind w:firstLine="851"/>
        <w:jc w:val="both"/>
        <w:rPr>
          <w:rFonts w:ascii="Exo" w:hAnsi="Exo"/>
          <w:sz w:val="20"/>
          <w:szCs w:val="20"/>
        </w:rPr>
      </w:pPr>
      <w:r w:rsidRPr="004C586F">
        <w:rPr>
          <w:rFonts w:ascii="Exo" w:hAnsi="Exo"/>
          <w:sz w:val="20"/>
          <w:szCs w:val="20"/>
        </w:rPr>
        <w:t>Portanto, monitorar a quantidade de IES com cursos d</w:t>
      </w:r>
      <w:r w:rsidR="00AE7889">
        <w:rPr>
          <w:rFonts w:ascii="Exo" w:hAnsi="Exo"/>
          <w:sz w:val="20"/>
          <w:szCs w:val="20"/>
        </w:rPr>
        <w:t>a área da</w:t>
      </w:r>
      <w:r w:rsidRPr="004C586F">
        <w:rPr>
          <w:rFonts w:ascii="Exo" w:hAnsi="Exo"/>
          <w:sz w:val="20"/>
          <w:szCs w:val="20"/>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Pr>
              <w:rFonts w:ascii="Exo" w:hAnsi="Exo"/>
              <w:color w:val="000000"/>
              <w:sz w:val="20"/>
              <w:szCs w:val="20"/>
              <w:vertAlign w:val="superscript"/>
            </w:rPr>
            <w:t>8</w:t>
          </w:r>
        </w:sdtContent>
      </w:sdt>
      <w:r w:rsidR="005049B6">
        <w:rPr>
          <w:rFonts w:ascii="Exo" w:hAnsi="Exo"/>
          <w:sz w:val="20"/>
          <w:szCs w:val="20"/>
        </w:rPr>
        <w:t>.</w:t>
      </w:r>
    </w:p>
    <w:p w14:paraId="6A4D83B7" w14:textId="575C0B47" w:rsidR="004C586F" w:rsidRPr="004C586F" w:rsidRDefault="004C586F" w:rsidP="004C586F">
      <w:pPr>
        <w:pStyle w:val="SemEspaamento"/>
        <w:spacing w:after="200" w:line="360" w:lineRule="auto"/>
        <w:ind w:firstLine="851"/>
        <w:jc w:val="both"/>
        <w:rPr>
          <w:rFonts w:ascii="Montserrat" w:hAnsi="Montserrat"/>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AE7889">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009F7A8E" w:rsidRPr="009F7A8E">
        <w:rPr>
          <w:rFonts w:ascii="Exo" w:hAnsi="Exo"/>
          <w:sz w:val="20"/>
          <w:szCs w:val="20"/>
        </w:rPr>
        <w:t>das capitais da Região Norte do Brasil</w:t>
      </w:r>
      <w:r w:rsidRPr="009F7A8E">
        <w:rPr>
          <w:rFonts w:ascii="Exo" w:hAnsi="Exo"/>
          <w:sz w:val="20"/>
          <w:szCs w:val="20"/>
        </w:rPr>
        <w:t>.</w:t>
      </w:r>
      <w:r>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3" w:name="_Toc188374090"/>
      <w:bookmarkStart w:id="4" w:name="_Toc188459875"/>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5"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5C5D2997"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Após isso, é feita a soma da quantidade de IES, utilizando uma contagem distinta da variável co_ies, que possuía pelo menos um dos cursos listados acima por ano e localidade. Assim, é gerada a variável qtd_ies_cursos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ies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w:t>
            </w:r>
            <w:r w:rsidR="005676CD">
              <w:rPr>
                <w:rFonts w:ascii="Exo" w:hAnsi="Exo"/>
                <w:color w:val="auto"/>
              </w:rPr>
              <w:t>s</w:t>
            </w:r>
            <w:r w:rsidRPr="009F7A8E">
              <w:rPr>
                <w:rFonts w:ascii="Exo" w:hAnsi="Exo"/>
                <w:color w:val="auto"/>
              </w:rPr>
              <w:t xml:space="preserv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F529C7A" w:rsidR="00317332" w:rsidRPr="009F7A8E" w:rsidRDefault="00317332" w:rsidP="00777CB9">
            <w:pPr>
              <w:pStyle w:val="QuadrosFiguras1"/>
              <w:spacing w:before="60" w:after="60" w:line="240" w:lineRule="auto"/>
              <w:jc w:val="both"/>
              <w:rPr>
                <w:rFonts w:ascii="Exo" w:hAnsi="Exo"/>
                <w:sz w:val="22"/>
              </w:rPr>
            </w:pPr>
            <w:r w:rsidRPr="009F7A8E">
              <w:rPr>
                <w:rFonts w:ascii="Exo" w:hAnsi="Exo"/>
                <w:color w:val="auto"/>
              </w:rPr>
              <w:t>Poz, M. R. D., Couto, M. H. C., &amp; Franco, T. D. A. V. (2016). Inovação, desenvolvimento e financiamento das instituições de Ensino Superior em saúde. Cadernos de Saúde Pública, 32, 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Este indicador quantifica uma contagem simples de IES. Nesse sentido, valores mais elevados indicam maior presença de IES com cursos de saúde.</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bookmarkEnd w:id="5"/>
    <w:p w14:paraId="1F28EBA7" w14:textId="77777777" w:rsidR="004C586F" w:rsidRPr="008D02AF" w:rsidRDefault="004C586F" w:rsidP="004C586F">
      <w:pPr>
        <w:spacing w:before="200" w:after="200" w:line="360" w:lineRule="auto"/>
        <w:ind w:firstLine="851"/>
        <w:jc w:val="both"/>
        <w:rPr>
          <w:rFonts w:ascii="Exo" w:hAnsi="Exo"/>
          <w:sz w:val="20"/>
          <w:szCs w:val="20"/>
        </w:rPr>
      </w:pPr>
      <w:r w:rsidRPr="008D02AF">
        <w:rPr>
          <w:rFonts w:ascii="Exo" w:hAnsi="Exo"/>
          <w:sz w:val="20"/>
          <w:szCs w:val="20"/>
        </w:rPr>
        <w:t xml:space="preserve">Como informado acima, existem alguns artefatos que decorrem da criação deste indicador, como o código SQL usado para construir o indicador, o resultado dos cálculos e o </w:t>
      </w:r>
      <w:r w:rsidRPr="008D02AF">
        <w:rPr>
          <w:rFonts w:ascii="Exo" w:hAnsi="Exo"/>
          <w:i/>
          <w:iCs/>
          <w:sz w:val="20"/>
          <w:szCs w:val="20"/>
        </w:rPr>
        <w:t>dashboard</w:t>
      </w:r>
      <w:r w:rsidRPr="008D02AF">
        <w:rPr>
          <w:rFonts w:ascii="Exo" w:hAnsi="Exo"/>
          <w:sz w:val="20"/>
          <w:szCs w:val="20"/>
        </w:rPr>
        <w:t xml:space="preserve"> interativo. Para acessar estes artefatos, basta clicar nos ícones abaixo.</w:t>
      </w:r>
    </w:p>
    <w:p w14:paraId="123F27AC" w14:textId="77777777"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commentRangeStart w:id="6"/>
      <w:r>
        <w:rPr>
          <w:rFonts w:ascii="Montserrat" w:hAnsi="Montserrat"/>
          <w:noProof/>
        </w:rPr>
        <w:drawing>
          <wp:inline distT="0" distB="0" distL="0" distR="0" wp14:anchorId="2CF285D3" wp14:editId="00C42F5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6"/>
      <w:r w:rsidR="00CA03A3">
        <w:rPr>
          <w:rStyle w:val="Refdecomentrio"/>
        </w:rPr>
        <w:commentReference w:id="6"/>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7" w:name="_Toc188459876"/>
      <w:r w:rsidRPr="00F44797">
        <w:rPr>
          <w:rFonts w:ascii="Exo" w:hAnsi="Exo"/>
          <w:b/>
          <w:bCs/>
          <w:color w:val="auto"/>
        </w:rPr>
        <w:lastRenderedPageBreak/>
        <w:t>Exemplo de aplicação</w:t>
      </w:r>
      <w:bookmarkEnd w:id="7"/>
    </w:p>
    <w:p w14:paraId="2B9707BA" w14:textId="43C6F35C" w:rsidR="00AE55C5" w:rsidRPr="002E7BD9" w:rsidRDefault="009566B7" w:rsidP="009566B7">
      <w:pPr>
        <w:pStyle w:val="SemEspaamento"/>
        <w:spacing w:after="200" w:line="360" w:lineRule="auto"/>
        <w:ind w:firstLine="851"/>
        <w:jc w:val="both"/>
        <w:rPr>
          <w:rFonts w:ascii="Exo" w:hAnsi="Exo"/>
          <w:sz w:val="20"/>
          <w:szCs w:val="20"/>
        </w:rPr>
      </w:pPr>
      <w:bookmarkStart w:id="8" w:name="_Hlk188883288"/>
      <w:r w:rsidRPr="009566B7">
        <w:rPr>
          <w:rFonts w:ascii="Exo" w:hAnsi="Exo"/>
          <w:sz w:val="20"/>
          <w:szCs w:val="20"/>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8"/>
    <w:p w14:paraId="50ED47F9" w14:textId="4725B73D"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w:t>
      </w:r>
      <w:r w:rsidR="004036A2">
        <w:rPr>
          <w:rFonts w:ascii="Exo" w:hAnsi="Exo"/>
          <w:b/>
          <w:bCs/>
          <w:color w:val="auto"/>
        </w:rPr>
        <w:t>a região</w:t>
      </w:r>
    </w:p>
    <w:p w14:paraId="39EEE99C" w14:textId="58826981" w:rsidR="00F44797" w:rsidRDefault="005049B6" w:rsidP="00F44797">
      <w:pPr>
        <w:pStyle w:val="NormalWeb"/>
        <w:spacing w:before="0" w:beforeAutospacing="0" w:after="0" w:afterAutospacing="0"/>
        <w:jc w:val="center"/>
      </w:pPr>
      <w:bookmarkStart w:id="9"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44BD6DC9" w14:textId="5BF01F4C" w:rsidR="00F44797" w:rsidRPr="00F44797" w:rsidRDefault="00F44797" w:rsidP="00621F37">
      <w:pPr>
        <w:spacing w:line="360" w:lineRule="auto"/>
        <w:ind w:firstLine="851"/>
        <w:jc w:val="both"/>
        <w:rPr>
          <w:rFonts w:ascii="Montserrat" w:hAnsi="Montserrat"/>
          <w:sz w:val="20"/>
          <w:szCs w:val="20"/>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Pr>
          <w:rFonts w:ascii="Exo" w:hAnsi="Exo"/>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10" w:name="_Toc188459877"/>
      <w:r w:rsidRPr="00F44797">
        <w:rPr>
          <w:rFonts w:ascii="Exo" w:hAnsi="Exo"/>
          <w:b/>
          <w:bCs/>
          <w:color w:val="auto"/>
        </w:rPr>
        <w:lastRenderedPageBreak/>
        <w:t>Referências</w:t>
      </w:r>
      <w:bookmarkEnd w:id="10"/>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Organization. Global strategy on human resources for health: Workforce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Franco TAV, Poz MRD. A participação de instituições de ensino superior privadas na formação em saúde no Brasil. Trab Educ Saúde. 2018;16(3):1017–37.</w:t>
          </w:r>
        </w:p>
        <w:p w14:paraId="1AD0438A" w14:textId="79E2F27C"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Garbin CAS, Saliba NA, Moimaz SAS, Santos KTD. O papel das universidades na formação de profissionais na área de saúde. Rev Abeno.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3T17:06:00Z" w:initials="HRDS">
    <w:p w14:paraId="7056278C" w14:textId="3A8AD4F0" w:rsidR="00CA03A3" w:rsidRPr="00134CD6" w:rsidRDefault="00134CD6" w:rsidP="00134CD6">
      <w:pPr>
        <w:pStyle w:val="Textodecomentrio"/>
      </w:pPr>
      <w:r>
        <w:rPr>
          <w:rStyle w:val="Refdecomentrio"/>
        </w:rPr>
        <w:annotationRef/>
      </w:r>
      <w:r>
        <w:rPr>
          <w:rStyle w:val="Refdecomentrio"/>
        </w:rPr>
        <w:annotationRef/>
      </w:r>
      <w:r>
        <w:t>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562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F58E" w16cex:dateUtc="2025-01-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56278C" w16cid:durableId="2B3CF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75F1" w14:textId="77777777" w:rsidR="009A798D" w:rsidRDefault="009A798D" w:rsidP="0078205E">
      <w:pPr>
        <w:spacing w:after="0" w:line="240" w:lineRule="auto"/>
      </w:pPr>
      <w:r>
        <w:separator/>
      </w:r>
    </w:p>
  </w:endnote>
  <w:endnote w:type="continuationSeparator" w:id="0">
    <w:p w14:paraId="69FC9174" w14:textId="77777777" w:rsidR="009A798D" w:rsidRDefault="009A798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A66C" w14:textId="77777777" w:rsidR="009A798D" w:rsidRDefault="009A798D" w:rsidP="0078205E">
      <w:pPr>
        <w:spacing w:after="0" w:line="240" w:lineRule="auto"/>
      </w:pPr>
      <w:r>
        <w:separator/>
      </w:r>
    </w:p>
  </w:footnote>
  <w:footnote w:type="continuationSeparator" w:id="0">
    <w:p w14:paraId="1589D071" w14:textId="77777777" w:rsidR="009A798D" w:rsidRDefault="009A798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3659"/>
    <w:rsid w:val="00070E8E"/>
    <w:rsid w:val="001239B3"/>
    <w:rsid w:val="00134CD6"/>
    <w:rsid w:val="001D0EE0"/>
    <w:rsid w:val="00255C97"/>
    <w:rsid w:val="002826EF"/>
    <w:rsid w:val="002D5D78"/>
    <w:rsid w:val="00312956"/>
    <w:rsid w:val="0031525C"/>
    <w:rsid w:val="00317332"/>
    <w:rsid w:val="003361F9"/>
    <w:rsid w:val="00393255"/>
    <w:rsid w:val="003F6595"/>
    <w:rsid w:val="004036A2"/>
    <w:rsid w:val="00492D6C"/>
    <w:rsid w:val="00496AA8"/>
    <w:rsid w:val="004A3585"/>
    <w:rsid w:val="004C446E"/>
    <w:rsid w:val="004C586F"/>
    <w:rsid w:val="004E0F3E"/>
    <w:rsid w:val="005049B6"/>
    <w:rsid w:val="0051118D"/>
    <w:rsid w:val="0051366A"/>
    <w:rsid w:val="00537021"/>
    <w:rsid w:val="005676CD"/>
    <w:rsid w:val="005C3030"/>
    <w:rsid w:val="00611B15"/>
    <w:rsid w:val="00621F37"/>
    <w:rsid w:val="00630F4B"/>
    <w:rsid w:val="006447AB"/>
    <w:rsid w:val="00666086"/>
    <w:rsid w:val="0067139C"/>
    <w:rsid w:val="00734DA8"/>
    <w:rsid w:val="00777CB9"/>
    <w:rsid w:val="0078205E"/>
    <w:rsid w:val="007B242D"/>
    <w:rsid w:val="007D148F"/>
    <w:rsid w:val="007D26D7"/>
    <w:rsid w:val="00814305"/>
    <w:rsid w:val="008A4697"/>
    <w:rsid w:val="008B2C81"/>
    <w:rsid w:val="008D02AF"/>
    <w:rsid w:val="009566B7"/>
    <w:rsid w:val="00973F1E"/>
    <w:rsid w:val="009A798D"/>
    <w:rsid w:val="009E5922"/>
    <w:rsid w:val="009E5CEE"/>
    <w:rsid w:val="009F4BFC"/>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4AD2"/>
    <w:rsid w:val="00E172AE"/>
    <w:rsid w:val="00E47210"/>
    <w:rsid w:val="00E72E2A"/>
    <w:rsid w:val="00E901DF"/>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9_quantidade_ies_saude/09_quantidade_ies_saude.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6D487C58F144504993FC3ED399EB9D1"/>
        <w:category>
          <w:name w:val="Geral"/>
          <w:gallery w:val="placeholder"/>
        </w:category>
        <w:types>
          <w:type w:val="bbPlcHdr"/>
        </w:types>
        <w:behaviors>
          <w:behavior w:val="content"/>
        </w:behaviors>
        <w:guid w:val="{F40DDAC4-4324-46E3-B92F-3D470E1DA19E}"/>
      </w:docPartPr>
      <w:docPartBody>
        <w:p w:rsidR="00CC7901" w:rsidRDefault="0003657F" w:rsidP="0003657F">
          <w:pPr>
            <w:pStyle w:val="06D487C58F144504993FC3ED399EB9D1"/>
          </w:pPr>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A8FC42992AEA4C1B87C534C2CABE14BC"/>
        <w:category>
          <w:name w:val="Geral"/>
          <w:gallery w:val="placeholder"/>
        </w:category>
        <w:types>
          <w:type w:val="bbPlcHdr"/>
        </w:types>
        <w:behaviors>
          <w:behavior w:val="content"/>
        </w:behaviors>
        <w:guid w:val="{ED11494E-90F9-4FAD-8569-8E5CF05845D8}"/>
      </w:docPartPr>
      <w:docPartBody>
        <w:p w:rsidR="00481F5E" w:rsidRDefault="00EE7DAC" w:rsidP="00EE7DAC">
          <w:pPr>
            <w:pStyle w:val="A8FC42992AEA4C1B87C534C2CABE14B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657F"/>
    <w:rsid w:val="001D5101"/>
    <w:rsid w:val="00201B4E"/>
    <w:rsid w:val="00234B10"/>
    <w:rsid w:val="00481F5E"/>
    <w:rsid w:val="004E3978"/>
    <w:rsid w:val="00673525"/>
    <w:rsid w:val="007C6DAE"/>
    <w:rsid w:val="009A2513"/>
    <w:rsid w:val="00A647F7"/>
    <w:rsid w:val="00AE103D"/>
    <w:rsid w:val="00B10BB0"/>
    <w:rsid w:val="00BA0934"/>
    <w:rsid w:val="00BC5F8A"/>
    <w:rsid w:val="00C21B55"/>
    <w:rsid w:val="00C8124C"/>
    <w:rsid w:val="00CC7901"/>
    <w:rsid w:val="00DA591C"/>
    <w:rsid w:val="00E5426F"/>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E7DAC"/>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06D487C58F144504993FC3ED399EB9D1">
    <w:name w:val="06D487C58F144504993FC3ED399EB9D1"/>
    <w:rsid w:val="0003657F"/>
  </w:style>
  <w:style w:type="paragraph" w:customStyle="1" w:styleId="A8FC42992AEA4C1B87C534C2CABE14BC">
    <w:name w:val="A8FC42992AEA4C1B87C534C2CABE14BC"/>
    <w:rsid w:val="00EE7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9</Pages>
  <Words>1439</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dcterms:created xsi:type="dcterms:W3CDTF">2025-01-22T20:08:00Z</dcterms:created>
  <dcterms:modified xsi:type="dcterms:W3CDTF">2025-01-28T12:44:00Z</dcterms:modified>
</cp:coreProperties>
</file>