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F15649C" w:rsidR="0078205E" w:rsidRDefault="00AA2977"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72B67DE" wp14:editId="5C678505">
            <wp:simplePos x="0" y="0"/>
            <wp:positionH relativeFrom="column">
              <wp:posOffset>-1073311</wp:posOffset>
            </wp:positionH>
            <wp:positionV relativeFrom="paragraph">
              <wp:posOffset>-892425</wp:posOffset>
            </wp:positionV>
            <wp:extent cx="7562938" cy="10697225"/>
            <wp:effectExtent l="0" t="0" r="0" b="8890"/>
            <wp:wrapNone/>
            <wp:docPr id="21420054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7225"/>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6484DC0" w:rsidR="0078205E" w:rsidRDefault="00AA2977" w:rsidP="0078205E">
      <w:pPr>
        <w:pStyle w:val="Texto"/>
        <w:spacing w:after="0" w:line="240" w:lineRule="auto"/>
        <w:jc w:val="center"/>
        <w:rPr>
          <w:b/>
          <w:bCs/>
          <w:sz w:val="30"/>
          <w:szCs w:val="30"/>
        </w:rPr>
      </w:pPr>
      <w:r w:rsidRPr="00AA2977">
        <w:rPr>
          <w:b/>
          <w:bCs/>
          <w:sz w:val="30"/>
          <w:szCs w:val="30"/>
        </w:rPr>
        <w:lastRenderedPageBreak/>
        <w:t>Quantidade de IES com cursos de saúde por município</w:t>
      </w:r>
      <w:r>
        <w:rPr>
          <w:rFonts w:ascii="Montserrat" w:hAnsi="Montserrat"/>
          <w:b/>
          <w:bCs/>
          <w:color w:val="auto"/>
          <w:szCs w:val="24"/>
        </w:rPr>
        <w:t xml:space="preserve"> </w:t>
      </w:r>
    </w:p>
    <w:p w14:paraId="4C007F63" w14:textId="69BF47D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00F2EB6" w:rsidR="0078205E" w:rsidRDefault="004C586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00262DB" w14:textId="77777777" w:rsidR="004C586F" w:rsidRDefault="004C586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7472926" w:rsidR="00D36EEF" w:rsidRPr="004C586F" w:rsidRDefault="00D36EEF" w:rsidP="004C586F">
          <w:pPr>
            <w:pStyle w:val="CabealhodoSumrio"/>
            <w:spacing w:after="200" w:line="360" w:lineRule="auto"/>
            <w:jc w:val="center"/>
            <w:rPr>
              <w:rFonts w:ascii="Exo" w:hAnsi="Exo"/>
              <w:b/>
              <w:bCs/>
              <w:color w:val="auto"/>
              <w:kern w:val="2"/>
              <w:lang w:eastAsia="en-US"/>
              <w14:ligatures w14:val="standardContextual"/>
            </w:rPr>
          </w:pPr>
          <w:r w:rsidRPr="004C586F">
            <w:rPr>
              <w:rFonts w:ascii="Exo" w:hAnsi="Exo"/>
              <w:b/>
              <w:bCs/>
              <w:color w:val="auto"/>
              <w:kern w:val="2"/>
              <w:lang w:eastAsia="en-US"/>
              <w14:ligatures w14:val="standardContextual"/>
            </w:rPr>
            <w:t>Sumário</w:t>
          </w:r>
        </w:p>
        <w:p w14:paraId="69C8E3F8" w14:textId="0F7E76AF" w:rsidR="007D26D7" w:rsidRPr="007D26D7"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459874" w:history="1">
            <w:r w:rsidR="007D26D7" w:rsidRPr="00EA6B98">
              <w:rPr>
                <w:rStyle w:val="Hyperlink"/>
                <w:rFonts w:ascii="Exo" w:hAnsi="Exo"/>
                <w:b/>
                <w:bCs/>
                <w:noProof/>
              </w:rPr>
              <w:t>Introdução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_Toc188459874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4</w:t>
            </w:r>
            <w:r w:rsidR="007D26D7" w:rsidRPr="007D26D7">
              <w:rPr>
                <w:rStyle w:val="Hyperlink"/>
                <w:rFonts w:ascii="Exo" w:hAnsi="Exo"/>
                <w:b/>
                <w:bCs/>
                <w:webHidden/>
              </w:rPr>
              <w:fldChar w:fldCharType="end"/>
            </w:r>
          </w:hyperlink>
        </w:p>
        <w:p w14:paraId="5ADE8605" w14:textId="3F230C8E" w:rsidR="007D26D7" w:rsidRPr="007D26D7" w:rsidRDefault="007D26D7">
          <w:pPr>
            <w:pStyle w:val="Sumrio1"/>
            <w:tabs>
              <w:tab w:val="right" w:leader="dot" w:pos="9062"/>
            </w:tabs>
            <w:rPr>
              <w:rStyle w:val="Hyperlink"/>
              <w:rFonts w:ascii="Exo" w:hAnsi="Exo"/>
              <w:b/>
              <w:bCs/>
            </w:rPr>
          </w:pPr>
          <w:hyperlink w:anchor="_Toc188459875" w:history="1">
            <w:r w:rsidRPr="00EA6B98">
              <w:rPr>
                <w:rStyle w:val="Hyperlink"/>
                <w:rFonts w:ascii="Exo" w:hAnsi="Exo"/>
                <w:b/>
                <w:bCs/>
                <w:noProof/>
              </w:rPr>
              <w:t>Ficha de qualificação do indicador</w:t>
            </w:r>
            <w:r w:rsidRPr="007D26D7">
              <w:rPr>
                <w:rStyle w:val="Hyperlink"/>
                <w:rFonts w:ascii="Exo" w:hAnsi="Exo"/>
                <w:b/>
                <w:bCs/>
                <w:webHidden/>
              </w:rPr>
              <w:tab/>
            </w:r>
            <w:r w:rsidRPr="007D26D7">
              <w:rPr>
                <w:rStyle w:val="Hyperlink"/>
                <w:rFonts w:ascii="Exo" w:hAnsi="Exo"/>
                <w:b/>
                <w:bCs/>
                <w:webHidden/>
              </w:rPr>
              <w:fldChar w:fldCharType="begin"/>
            </w:r>
            <w:r w:rsidRPr="007D26D7">
              <w:rPr>
                <w:rStyle w:val="Hyperlink"/>
                <w:rFonts w:ascii="Exo" w:hAnsi="Exo"/>
                <w:b/>
                <w:bCs/>
                <w:webHidden/>
              </w:rPr>
              <w:instrText xml:space="preserve"> PAGEREF _Toc188459875 \h </w:instrText>
            </w:r>
            <w:r w:rsidRPr="007D26D7">
              <w:rPr>
                <w:rStyle w:val="Hyperlink"/>
                <w:rFonts w:ascii="Exo" w:hAnsi="Exo"/>
                <w:b/>
                <w:bCs/>
                <w:webHidden/>
              </w:rPr>
            </w:r>
            <w:r w:rsidRPr="007D26D7">
              <w:rPr>
                <w:rStyle w:val="Hyperlink"/>
                <w:rFonts w:ascii="Exo" w:hAnsi="Exo"/>
                <w:b/>
                <w:bCs/>
                <w:webHidden/>
              </w:rPr>
              <w:fldChar w:fldCharType="separate"/>
            </w:r>
            <w:r w:rsidRPr="007D26D7">
              <w:rPr>
                <w:rStyle w:val="Hyperlink"/>
                <w:rFonts w:ascii="Exo" w:hAnsi="Exo"/>
                <w:b/>
                <w:bCs/>
                <w:webHidden/>
              </w:rPr>
              <w:t>5</w:t>
            </w:r>
            <w:r w:rsidRPr="007D26D7">
              <w:rPr>
                <w:rStyle w:val="Hyperlink"/>
                <w:rFonts w:ascii="Exo" w:hAnsi="Exo"/>
                <w:b/>
                <w:bCs/>
                <w:webHidden/>
              </w:rPr>
              <w:fldChar w:fldCharType="end"/>
            </w:r>
          </w:hyperlink>
        </w:p>
        <w:p w14:paraId="25C8615C" w14:textId="6116E576" w:rsidR="007D26D7" w:rsidRPr="007D26D7" w:rsidRDefault="007D26D7">
          <w:pPr>
            <w:pStyle w:val="Sumrio1"/>
            <w:tabs>
              <w:tab w:val="right" w:leader="dot" w:pos="9062"/>
            </w:tabs>
            <w:rPr>
              <w:rStyle w:val="Hyperlink"/>
              <w:rFonts w:ascii="Exo" w:hAnsi="Exo"/>
              <w:b/>
              <w:bCs/>
            </w:rPr>
          </w:pPr>
          <w:hyperlink w:anchor="_Toc188459876" w:history="1">
            <w:r w:rsidRPr="00EA6B98">
              <w:rPr>
                <w:rStyle w:val="Hyperlink"/>
                <w:rFonts w:ascii="Exo" w:hAnsi="Exo"/>
                <w:b/>
                <w:bCs/>
                <w:noProof/>
              </w:rPr>
              <w:t>Exemplo de aplicação</w:t>
            </w:r>
            <w:r w:rsidRPr="007D26D7">
              <w:rPr>
                <w:rStyle w:val="Hyperlink"/>
                <w:rFonts w:ascii="Exo" w:hAnsi="Exo"/>
                <w:b/>
                <w:bCs/>
                <w:webHidden/>
              </w:rPr>
              <w:tab/>
            </w:r>
            <w:r w:rsidRPr="007D26D7">
              <w:rPr>
                <w:rStyle w:val="Hyperlink"/>
                <w:rFonts w:ascii="Exo" w:hAnsi="Exo"/>
                <w:b/>
                <w:bCs/>
                <w:webHidden/>
              </w:rPr>
              <w:fldChar w:fldCharType="begin"/>
            </w:r>
            <w:r w:rsidRPr="007D26D7">
              <w:rPr>
                <w:rStyle w:val="Hyperlink"/>
                <w:rFonts w:ascii="Exo" w:hAnsi="Exo"/>
                <w:b/>
                <w:bCs/>
                <w:webHidden/>
              </w:rPr>
              <w:instrText xml:space="preserve"> PAGEREF _Toc188459876 \h </w:instrText>
            </w:r>
            <w:r w:rsidRPr="007D26D7">
              <w:rPr>
                <w:rStyle w:val="Hyperlink"/>
                <w:rFonts w:ascii="Exo" w:hAnsi="Exo"/>
                <w:b/>
                <w:bCs/>
                <w:webHidden/>
              </w:rPr>
            </w:r>
            <w:r w:rsidRPr="007D26D7">
              <w:rPr>
                <w:rStyle w:val="Hyperlink"/>
                <w:rFonts w:ascii="Exo" w:hAnsi="Exo"/>
                <w:b/>
                <w:bCs/>
                <w:webHidden/>
              </w:rPr>
              <w:fldChar w:fldCharType="separate"/>
            </w:r>
            <w:r w:rsidRPr="007D26D7">
              <w:rPr>
                <w:rStyle w:val="Hyperlink"/>
                <w:rFonts w:ascii="Exo" w:hAnsi="Exo"/>
                <w:b/>
                <w:bCs/>
                <w:webHidden/>
              </w:rPr>
              <w:t>7</w:t>
            </w:r>
            <w:r w:rsidRPr="007D26D7">
              <w:rPr>
                <w:rStyle w:val="Hyperlink"/>
                <w:rFonts w:ascii="Exo" w:hAnsi="Exo"/>
                <w:b/>
                <w:bCs/>
                <w:webHidden/>
              </w:rPr>
              <w:fldChar w:fldCharType="end"/>
            </w:r>
          </w:hyperlink>
        </w:p>
        <w:p w14:paraId="134BBD59" w14:textId="7AA8B29A" w:rsidR="007D26D7" w:rsidRPr="007D26D7" w:rsidRDefault="007D26D7">
          <w:pPr>
            <w:pStyle w:val="Sumrio1"/>
            <w:tabs>
              <w:tab w:val="right" w:leader="dot" w:pos="9062"/>
            </w:tabs>
            <w:rPr>
              <w:rStyle w:val="Hyperlink"/>
              <w:rFonts w:ascii="Exo" w:hAnsi="Exo"/>
              <w:b/>
              <w:bCs/>
            </w:rPr>
          </w:pPr>
          <w:hyperlink w:anchor="_Toc188459877" w:history="1">
            <w:r w:rsidRPr="00EA6B98">
              <w:rPr>
                <w:rStyle w:val="Hyperlink"/>
                <w:rFonts w:ascii="Exo" w:hAnsi="Exo"/>
                <w:b/>
                <w:bCs/>
                <w:noProof/>
              </w:rPr>
              <w:t>Referências</w:t>
            </w:r>
            <w:r w:rsidRPr="007D26D7">
              <w:rPr>
                <w:rStyle w:val="Hyperlink"/>
                <w:rFonts w:ascii="Exo" w:hAnsi="Exo"/>
                <w:b/>
                <w:bCs/>
                <w:webHidden/>
              </w:rPr>
              <w:tab/>
            </w:r>
            <w:r w:rsidRPr="007D26D7">
              <w:rPr>
                <w:rStyle w:val="Hyperlink"/>
                <w:rFonts w:ascii="Exo" w:hAnsi="Exo"/>
                <w:b/>
                <w:bCs/>
                <w:webHidden/>
              </w:rPr>
              <w:fldChar w:fldCharType="begin"/>
            </w:r>
            <w:r w:rsidRPr="007D26D7">
              <w:rPr>
                <w:rStyle w:val="Hyperlink"/>
                <w:rFonts w:ascii="Exo" w:hAnsi="Exo"/>
                <w:b/>
                <w:bCs/>
                <w:webHidden/>
              </w:rPr>
              <w:instrText xml:space="preserve"> PAGEREF _Toc188459877 \h </w:instrText>
            </w:r>
            <w:r w:rsidRPr="007D26D7">
              <w:rPr>
                <w:rStyle w:val="Hyperlink"/>
                <w:rFonts w:ascii="Exo" w:hAnsi="Exo"/>
                <w:b/>
                <w:bCs/>
                <w:webHidden/>
              </w:rPr>
            </w:r>
            <w:r w:rsidRPr="007D26D7">
              <w:rPr>
                <w:rStyle w:val="Hyperlink"/>
                <w:rFonts w:ascii="Exo" w:hAnsi="Exo"/>
                <w:b/>
                <w:bCs/>
                <w:webHidden/>
              </w:rPr>
              <w:fldChar w:fldCharType="separate"/>
            </w:r>
            <w:r w:rsidRPr="007D26D7">
              <w:rPr>
                <w:rStyle w:val="Hyperlink"/>
                <w:rFonts w:ascii="Exo" w:hAnsi="Exo"/>
                <w:b/>
                <w:bCs/>
                <w:webHidden/>
              </w:rPr>
              <w:t>8</w:t>
            </w:r>
            <w:r w:rsidRPr="007D26D7">
              <w:rPr>
                <w:rStyle w:val="Hyperlink"/>
                <w:rFonts w:ascii="Exo" w:hAnsi="Exo"/>
                <w:b/>
                <w:bCs/>
                <w:webHidden/>
              </w:rPr>
              <w:fldChar w:fldCharType="end"/>
            </w:r>
          </w:hyperlink>
        </w:p>
        <w:p w14:paraId="69F39152" w14:textId="5BABB847" w:rsidR="00D36EEF" w:rsidRDefault="00D36EEF">
          <w:r w:rsidRPr="001239B3">
            <w:fldChar w:fldCharType="end"/>
          </w:r>
        </w:p>
      </w:sdtContent>
    </w:sdt>
    <w:p w14:paraId="31C49D2B" w14:textId="77777777" w:rsidR="004C586F" w:rsidRDefault="004C586F">
      <w:pPr>
        <w:rPr>
          <w:rFonts w:ascii="Montserrat" w:eastAsiaTheme="majorEastAsia" w:hAnsi="Montserrat" w:cstheme="majorBidi"/>
          <w:b/>
          <w:bCs/>
          <w:sz w:val="32"/>
          <w:szCs w:val="32"/>
        </w:rPr>
      </w:pPr>
      <w:r>
        <w:rPr>
          <w:rFonts w:ascii="Montserrat" w:hAnsi="Montserrat"/>
          <w:b/>
          <w:bCs/>
        </w:rPr>
        <w:br w:type="page"/>
      </w:r>
    </w:p>
    <w:p w14:paraId="318E65E8" w14:textId="479B742C" w:rsidR="00A80BE7" w:rsidRPr="004C586F" w:rsidRDefault="00A80BE7" w:rsidP="004C586F">
      <w:pPr>
        <w:pStyle w:val="Ttulo1"/>
        <w:spacing w:after="200" w:line="360" w:lineRule="auto"/>
        <w:jc w:val="center"/>
        <w:rPr>
          <w:rFonts w:ascii="Exo" w:hAnsi="Exo"/>
          <w:b/>
          <w:bCs/>
          <w:color w:val="auto"/>
        </w:rPr>
      </w:pPr>
      <w:bookmarkStart w:id="0" w:name="_Toc188459874"/>
      <w:r w:rsidRPr="004C586F">
        <w:rPr>
          <w:rFonts w:ascii="Exo" w:hAnsi="Exo"/>
          <w:b/>
          <w:bCs/>
          <w:color w:val="auto"/>
        </w:rPr>
        <w:lastRenderedPageBreak/>
        <w:t>Introdução</w:t>
      </w:r>
      <w:bookmarkEnd w:id="0"/>
    </w:p>
    <w:p w14:paraId="127EBA6B" w14:textId="77777777" w:rsidR="004C586F" w:rsidRPr="004C586F" w:rsidRDefault="004C586F" w:rsidP="004C586F">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06D487C58F144504993FC3ED399EB9D1"/>
          </w:placeholder>
        </w:sdtPr>
        <w:sdtContent>
          <w:r w:rsidRPr="004C586F">
            <w:rPr>
              <w:rFonts w:ascii="Exo" w:hAnsi="Exo"/>
              <w:color w:val="000000"/>
              <w:sz w:val="20"/>
              <w:szCs w:val="20"/>
              <w:vertAlign w:val="superscript"/>
            </w:rPr>
            <w:t>1</w:t>
          </w:r>
        </w:sdtContent>
      </w:sdt>
      <w:r w:rsidRPr="004C586F">
        <w:rPr>
          <w:rFonts w:ascii="Exo" w:hAnsi="Exo"/>
          <w:sz w:val="20"/>
          <w:szCs w:val="20"/>
        </w:rPr>
        <w:t>.</w:t>
      </w:r>
    </w:p>
    <w:p w14:paraId="22C25C96" w14:textId="77777777" w:rsidR="004C586F" w:rsidRPr="004C586F" w:rsidRDefault="004C586F" w:rsidP="004C586F">
      <w:pPr>
        <w:spacing w:after="200" w:line="360" w:lineRule="auto"/>
        <w:ind w:firstLine="851"/>
        <w:jc w:val="both"/>
        <w:rPr>
          <w:rFonts w:ascii="Exo" w:hAnsi="Exo"/>
          <w:sz w:val="20"/>
          <w:szCs w:val="20"/>
        </w:rPr>
      </w:pPr>
      <w:bookmarkStart w:id="2" w:name="_Hlk188254946"/>
      <w:bookmarkEnd w:id="1"/>
      <w:r w:rsidRPr="004C586F">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BB5BC92EDF64EFC95D8ED741F487262"/>
          </w:placeholder>
        </w:sdtPr>
        <w:sdtContent>
          <w:r w:rsidRPr="004C586F">
            <w:rPr>
              <w:rFonts w:ascii="Exo" w:hAnsi="Exo"/>
              <w:color w:val="000000"/>
              <w:sz w:val="20"/>
              <w:szCs w:val="20"/>
              <w:vertAlign w:val="superscript"/>
            </w:rPr>
            <w:t>2,3</w:t>
          </w:r>
        </w:sdtContent>
      </w:sdt>
      <w:r w:rsidRPr="004C586F">
        <w:rPr>
          <w:rFonts w:ascii="Exo" w:hAnsi="Exo"/>
          <w:sz w:val="20"/>
          <w:szCs w:val="20"/>
        </w:rPr>
        <w:t xml:space="preserve">. Diante disso, este relatório faz parte de uma coletânea sobre indicadores que compõe as dinâmicas da força de trabalho em saúde. Para isso, foram levantadas múltiplas referências acerca de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BB5BC92EDF64EFC95D8ED741F487262"/>
          </w:placeholder>
        </w:sdtPr>
        <w:sdtContent>
          <w:r w:rsidRPr="004C586F">
            <w:rPr>
              <w:rFonts w:ascii="Exo" w:hAnsi="Exo"/>
              <w:color w:val="000000"/>
              <w:sz w:val="20"/>
              <w:szCs w:val="20"/>
              <w:vertAlign w:val="superscript"/>
            </w:rPr>
            <w:t>4–6</w:t>
          </w:r>
        </w:sdtContent>
      </w:sdt>
      <w:r w:rsidRPr="004C586F">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1B367DAB" w14:textId="0A7D55F7" w:rsidR="003361F9" w:rsidRPr="004C586F" w:rsidRDefault="00D36EEF" w:rsidP="004C586F">
      <w:pPr>
        <w:spacing w:after="200" w:line="360" w:lineRule="auto"/>
        <w:ind w:firstLine="851"/>
        <w:jc w:val="both"/>
        <w:rPr>
          <w:rFonts w:ascii="Exo" w:hAnsi="Exo"/>
          <w:sz w:val="20"/>
          <w:szCs w:val="20"/>
        </w:rPr>
      </w:pPr>
      <w:r w:rsidRPr="004C586F">
        <w:rPr>
          <w:rFonts w:ascii="Exo" w:hAnsi="Exo"/>
          <w:sz w:val="20"/>
          <w:szCs w:val="20"/>
        </w:rPr>
        <w:t>Neste documento descrevemos os processos executados para construção do indicador</w:t>
      </w:r>
      <w:r w:rsidR="00E47210" w:rsidRPr="004C586F">
        <w:rPr>
          <w:rFonts w:ascii="Exo" w:hAnsi="Exo"/>
          <w:sz w:val="20"/>
          <w:szCs w:val="20"/>
        </w:rPr>
        <w:t xml:space="preserve"> </w:t>
      </w:r>
      <w:r w:rsidR="003361F9" w:rsidRPr="004C586F">
        <w:rPr>
          <w:rFonts w:ascii="Exo" w:hAnsi="Exo"/>
          <w:sz w:val="20"/>
          <w:szCs w:val="20"/>
        </w:rPr>
        <w:t xml:space="preserve">Quantidade de Instituições de Ensino Superior (IES) com cursos da área da saúde. </w:t>
      </w:r>
      <w:commentRangeStart w:id="3"/>
      <w:commentRangeStart w:id="4"/>
      <w:r w:rsidR="003361F9" w:rsidRPr="004C586F">
        <w:rPr>
          <w:rFonts w:ascii="Exo" w:hAnsi="Exo"/>
          <w:sz w:val="20"/>
          <w:szCs w:val="20"/>
        </w:rPr>
        <w:t>Este indicador é um indicador crucial para avaliar a capacidade de formação de profissionais qualificados no setor. A expansão dessas instituições pode influenciar diretamente a disponibilidade de serviços de saúde e a qualidade do atendimento prestado à população.</w:t>
      </w:r>
      <w:commentRangeEnd w:id="3"/>
      <w:r w:rsidR="003361F9" w:rsidRPr="004C586F">
        <w:rPr>
          <w:rFonts w:ascii="Exo" w:hAnsi="Exo"/>
          <w:sz w:val="20"/>
          <w:szCs w:val="20"/>
        </w:rPr>
        <w:commentReference w:id="3"/>
      </w:r>
      <w:commentRangeEnd w:id="4"/>
      <w:r w:rsidR="009E5922" w:rsidRPr="004C586F">
        <w:rPr>
          <w:rFonts w:ascii="Exo" w:hAnsi="Exo"/>
          <w:sz w:val="20"/>
          <w:szCs w:val="20"/>
        </w:rPr>
        <w:commentReference w:id="4"/>
      </w:r>
    </w:p>
    <w:p w14:paraId="00B525C2" w14:textId="0B6729DF" w:rsidR="00D36EEF" w:rsidRPr="004C586F" w:rsidRDefault="003361F9" w:rsidP="004C586F">
      <w:pPr>
        <w:spacing w:after="200" w:line="360" w:lineRule="auto"/>
        <w:ind w:firstLine="851"/>
        <w:jc w:val="both"/>
        <w:rPr>
          <w:rFonts w:ascii="Exo" w:hAnsi="Exo"/>
          <w:sz w:val="20"/>
          <w:szCs w:val="20"/>
        </w:rPr>
      </w:pPr>
      <w:commentRangeStart w:id="5"/>
      <w:r w:rsidRPr="004C586F">
        <w:rPr>
          <w:rFonts w:ascii="Exo" w:hAnsi="Exo"/>
          <w:sz w:val="20"/>
          <w:szCs w:val="20"/>
        </w:rPr>
        <w:t>Portanto, monitorar a quantidade de IES com cursos de saúde é essencial para compreender a dinâmica de formação de profissionais no país, identificar tendências de expansão ou retração e orientar políticas educacionais e de saúde que assegurem a qualidade e a equidade na oferta desses cursos.</w:t>
      </w:r>
      <w:commentRangeEnd w:id="5"/>
      <w:r w:rsidRPr="004C586F">
        <w:rPr>
          <w:rFonts w:ascii="Exo" w:hAnsi="Exo"/>
          <w:sz w:val="20"/>
          <w:szCs w:val="20"/>
        </w:rPr>
        <w:commentReference w:id="5"/>
      </w:r>
    </w:p>
    <w:p w14:paraId="6A4D83B7" w14:textId="3AC2F779" w:rsidR="004C586F" w:rsidRPr="004C586F" w:rsidRDefault="004C586F" w:rsidP="004C586F">
      <w:pPr>
        <w:pStyle w:val="SemEspaamento"/>
        <w:spacing w:after="200" w:line="360" w:lineRule="auto"/>
        <w:ind w:firstLine="851"/>
        <w:jc w:val="both"/>
        <w:rPr>
          <w:rFonts w:ascii="Montserrat" w:hAnsi="Montserrat"/>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dashboard interativo que ilustra os resultados da consulta. </w:t>
      </w:r>
      <w:r w:rsidRPr="004C586F">
        <w:rPr>
          <w:rFonts w:ascii="Exo" w:hAnsi="Exo"/>
          <w:sz w:val="20"/>
          <w:szCs w:val="20"/>
          <w:highlight w:val="yellow"/>
        </w:rPr>
        <w:t>A seção subsequente traz um exemplo de aplicação do indicador para um recorte de enfermeiros.</w:t>
      </w:r>
      <w:r>
        <w:rPr>
          <w:rFonts w:ascii="Montserrat" w:hAnsi="Montserrat"/>
          <w:b/>
          <w:bCs/>
        </w:rPr>
        <w:br w:type="page"/>
      </w:r>
    </w:p>
    <w:p w14:paraId="0180C6AD" w14:textId="77777777" w:rsidR="004C586F" w:rsidRPr="00ED73FD" w:rsidRDefault="004C586F" w:rsidP="004C586F">
      <w:pPr>
        <w:pStyle w:val="Ttulo1"/>
        <w:spacing w:after="200" w:line="360" w:lineRule="auto"/>
        <w:jc w:val="center"/>
        <w:rPr>
          <w:rFonts w:ascii="Exo" w:hAnsi="Exo"/>
        </w:rPr>
      </w:pPr>
      <w:bookmarkStart w:id="6" w:name="_Toc188374090"/>
      <w:bookmarkStart w:id="7" w:name="_Toc188459875"/>
      <w:r w:rsidRPr="00A440DB">
        <w:rPr>
          <w:rFonts w:ascii="Exo" w:hAnsi="Exo"/>
          <w:b/>
          <w:bCs/>
          <w:color w:val="auto"/>
        </w:rPr>
        <w:lastRenderedPageBreak/>
        <w:t>Ficha de qualificação do indicador</w:t>
      </w:r>
      <w:bookmarkEnd w:id="6"/>
      <w:bookmarkEnd w:id="7"/>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51366A" w:rsidRPr="0051366A" w14:paraId="1C38CC17"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BB613C">
            <w:pPr>
              <w:pStyle w:val="QuadrosFiguras1"/>
              <w:spacing w:before="60" w:line="276" w:lineRule="auto"/>
              <w:jc w:val="left"/>
              <w:rPr>
                <w:color w:val="auto"/>
                <w:sz w:val="22"/>
                <w:szCs w:val="24"/>
              </w:rPr>
            </w:pPr>
            <w:bookmarkStart w:id="8" w:name="_Hlk179446599"/>
            <w:r w:rsidRPr="0051366A">
              <w:rPr>
                <w:b/>
                <w:bCs/>
                <w:color w:val="auto"/>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6AE2DCAD" w14:textId="0779DC2E" w:rsidR="00317332" w:rsidRPr="0051366A" w:rsidRDefault="00317332" w:rsidP="00BB613C">
            <w:pPr>
              <w:rPr>
                <w:rFonts w:ascii="Montserrat" w:hAnsi="Montserrat"/>
                <w:b/>
                <w:bCs/>
                <w:szCs w:val="24"/>
              </w:rPr>
            </w:pPr>
            <w:r w:rsidRPr="0051366A">
              <w:rPr>
                <w:rFonts w:ascii="Montserrat" w:hAnsi="Montserrat"/>
                <w:b/>
                <w:bCs/>
                <w:szCs w:val="24"/>
              </w:rPr>
              <w:t xml:space="preserve">Quantidade de </w:t>
            </w:r>
            <w:r w:rsidR="008B2C81">
              <w:rPr>
                <w:rFonts w:ascii="Montserrat" w:hAnsi="Montserrat"/>
                <w:b/>
                <w:bCs/>
                <w:szCs w:val="24"/>
              </w:rPr>
              <w:t>Instituições de Ensino Superior (</w:t>
            </w:r>
            <w:r w:rsidRPr="0051366A">
              <w:rPr>
                <w:rFonts w:ascii="Montserrat" w:hAnsi="Montserrat"/>
                <w:b/>
                <w:bCs/>
                <w:szCs w:val="24"/>
              </w:rPr>
              <w:t>IES</w:t>
            </w:r>
            <w:r w:rsidR="008B2C81">
              <w:rPr>
                <w:rFonts w:ascii="Montserrat" w:hAnsi="Montserrat"/>
                <w:b/>
                <w:bCs/>
                <w:szCs w:val="24"/>
              </w:rPr>
              <w:t>)</w:t>
            </w:r>
            <w:r w:rsidRPr="0051366A">
              <w:rPr>
                <w:rFonts w:ascii="Montserrat" w:hAnsi="Montserrat"/>
                <w:b/>
                <w:bCs/>
                <w:szCs w:val="24"/>
              </w:rPr>
              <w:t xml:space="preserve"> com cursos de saúde</w:t>
            </w:r>
          </w:p>
        </w:tc>
      </w:tr>
      <w:tr w:rsidR="0051366A" w:rsidRPr="0051366A" w14:paraId="708D418E"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51366A" w:rsidRDefault="00317332" w:rsidP="00BB613C">
            <w:pPr>
              <w:rPr>
                <w:rFonts w:ascii="Montserrat" w:hAnsi="Montserrat"/>
                <w:b/>
                <w:bCs/>
                <w:szCs w:val="24"/>
              </w:rPr>
            </w:pPr>
            <w:r w:rsidRPr="0051366A">
              <w:rPr>
                <w:rFonts w:ascii="Montserrat" w:hAnsi="Montserrat"/>
                <w:b/>
                <w:bCs/>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51366A" w:rsidRDefault="00317332" w:rsidP="00BB613C">
            <w:pPr>
              <w:pStyle w:val="QuadrosFiguras1"/>
              <w:spacing w:before="60" w:after="60" w:line="240" w:lineRule="auto"/>
              <w:jc w:val="left"/>
              <w:rPr>
                <w:color w:val="auto"/>
              </w:rPr>
            </w:pPr>
            <w:r w:rsidRPr="0051366A">
              <w:rPr>
                <w:color w:val="auto"/>
              </w:rPr>
              <w:t>Educação</w:t>
            </w:r>
          </w:p>
        </w:tc>
      </w:tr>
      <w:tr w:rsidR="0051366A" w:rsidRPr="0051366A" w14:paraId="214275A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51366A" w:rsidRDefault="00317332" w:rsidP="00BB613C">
            <w:pPr>
              <w:rPr>
                <w:rFonts w:ascii="Montserrat" w:hAnsi="Montserrat"/>
                <w:sz w:val="20"/>
              </w:rPr>
            </w:pPr>
            <w:r w:rsidRPr="0051366A">
              <w:rPr>
                <w:rFonts w:ascii="Montserrat" w:hAnsi="Montserrat"/>
                <w:sz w:val="20"/>
              </w:rPr>
              <w:t>Número de IES que possuíam cursos de saúde por ano e município</w:t>
            </w:r>
          </w:p>
        </w:tc>
      </w:tr>
      <w:tr w:rsidR="0051366A" w:rsidRPr="0051366A" w14:paraId="6158F26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3B11B650" w14:textId="77777777" w:rsidR="00317332" w:rsidRPr="0051366A" w:rsidRDefault="00317332" w:rsidP="00BB613C">
            <w:pPr>
              <w:pStyle w:val="QuadrosFiguras1"/>
              <w:spacing w:before="60" w:after="60" w:line="240" w:lineRule="auto"/>
              <w:jc w:val="left"/>
              <w:rPr>
                <w:color w:val="auto"/>
              </w:rPr>
            </w:pPr>
            <w:r w:rsidRPr="0051366A">
              <w:rPr>
                <w:rFonts w:ascii="Courier New" w:hAnsi="Courier New" w:cs="Courier New"/>
                <w:color w:val="auto"/>
              </w:rPr>
              <w:t>●</w:t>
            </w:r>
            <w:r w:rsidRPr="0051366A">
              <w:rPr>
                <w:rFonts w:cs="Courier New"/>
                <w:color w:val="auto"/>
              </w:rPr>
              <w:t xml:space="preserve"> </w:t>
            </w:r>
            <w:r w:rsidRPr="0051366A">
              <w:rPr>
                <w:color w:val="auto"/>
              </w:rPr>
              <w:t>Censo da Educação Superior.</w:t>
            </w:r>
          </w:p>
          <w:p w14:paraId="318BF594" w14:textId="77777777" w:rsidR="00317332" w:rsidRPr="0051366A" w:rsidRDefault="00317332" w:rsidP="00BB613C">
            <w:pPr>
              <w:pStyle w:val="QuadrosFiguras1"/>
              <w:spacing w:before="60" w:after="60" w:line="240" w:lineRule="auto"/>
              <w:jc w:val="both"/>
              <w:rPr>
                <w:color w:val="auto"/>
              </w:rPr>
            </w:pPr>
            <w:r w:rsidRPr="0051366A">
              <w:rPr>
                <w:color w:val="auto"/>
              </w:rPr>
              <w:t>Instituição: Ministério da Educação, Instituto Nacional de Estudos e Pesquisas Educacionais Anísio Teixeira - Inep.</w:t>
            </w:r>
          </w:p>
        </w:tc>
      </w:tr>
      <w:tr w:rsidR="0051366A" w:rsidRPr="0051366A" w14:paraId="5D376431"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71514DEF" w14:textId="77777777" w:rsidR="00317332" w:rsidRPr="0051366A" w:rsidRDefault="00317332" w:rsidP="00BB613C">
            <w:pPr>
              <w:jc w:val="both"/>
              <w:rPr>
                <w:rFonts w:ascii="Montserrat" w:hAnsi="Montserrat"/>
                <w:sz w:val="20"/>
              </w:rPr>
            </w:pPr>
            <w:r w:rsidRPr="0051366A">
              <w:rPr>
                <w:rFonts w:ascii="Montserrat" w:hAnsi="Montserrat"/>
                <w:sz w:val="20"/>
              </w:rPr>
              <w:t>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5727C29C" w14:textId="77777777" w:rsidR="00317332" w:rsidRPr="0051366A" w:rsidRDefault="00317332" w:rsidP="00BB613C">
            <w:pPr>
              <w:rPr>
                <w:rFonts w:ascii="Montserrat" w:hAnsi="Montserrat"/>
                <w:sz w:val="20"/>
              </w:rPr>
            </w:pPr>
          </w:p>
          <w:p w14:paraId="2B61AD05" w14:textId="77777777" w:rsidR="00317332" w:rsidRPr="0051366A" w:rsidRDefault="00317332" w:rsidP="00BB613C">
            <w:pPr>
              <w:jc w:val="both"/>
              <w:rPr>
                <w:rFonts w:ascii="Montserrat" w:hAnsi="Montserrat"/>
                <w:sz w:val="20"/>
              </w:rPr>
            </w:pPr>
            <w:r w:rsidRPr="0051366A">
              <w:rPr>
                <w:rFonts w:ascii="Montserrat" w:hAnsi="Montserrat"/>
                <w:sz w:val="20"/>
              </w:rPr>
              <w:t xml:space="preserve">Após isso, é feita a soma da quantidade de IES, utilizando uma contagem distinta da variável </w:t>
            </w:r>
            <w:proofErr w:type="spellStart"/>
            <w:r w:rsidRPr="0051366A">
              <w:rPr>
                <w:rFonts w:ascii="Montserrat" w:hAnsi="Montserrat"/>
                <w:sz w:val="20"/>
              </w:rPr>
              <w:t>co_ies</w:t>
            </w:r>
            <w:proofErr w:type="spellEnd"/>
            <w:r w:rsidRPr="0051366A">
              <w:rPr>
                <w:rFonts w:ascii="Montserrat" w:hAnsi="Montserrat"/>
                <w:sz w:val="20"/>
              </w:rPr>
              <w:t xml:space="preserve">, que possuía pelo menos um dos cursos listados acima por ano e localidade. Assim, é gerada a variável </w:t>
            </w:r>
            <w:proofErr w:type="spellStart"/>
            <w:r w:rsidRPr="0051366A">
              <w:rPr>
                <w:rFonts w:ascii="Montserrat" w:hAnsi="Montserrat"/>
                <w:sz w:val="20"/>
              </w:rPr>
              <w:t>qtd_ies_cursos</w:t>
            </w:r>
            <w:proofErr w:type="spellEnd"/>
            <w:r w:rsidRPr="0051366A">
              <w:rPr>
                <w:rFonts w:ascii="Montserrat" w:hAnsi="Montserrat"/>
                <w:sz w:val="20"/>
              </w:rPr>
              <w:t xml:space="preserve"> que mostra os resultados do cálculo.</w:t>
            </w:r>
          </w:p>
        </w:tc>
      </w:tr>
      <w:tr w:rsidR="0051366A" w:rsidRPr="0051366A" w14:paraId="5DC541B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2645C5E2" w14:textId="77777777" w:rsidR="00317332" w:rsidRPr="0051366A" w:rsidRDefault="00317332" w:rsidP="00BB613C">
            <w:pPr>
              <w:jc w:val="center"/>
              <w:rPr>
                <w:rFonts w:ascii="Cambria Math" w:eastAsiaTheme="minorEastAsia" w:hAnsi="Cambria Math"/>
                <w:sz w:val="16"/>
                <w:szCs w:val="16"/>
              </w:rPr>
            </w:pPr>
            <m:oMathPara>
              <m:oMath>
                <m:r>
                  <m:rPr>
                    <m:nor/>
                  </m:rPr>
                  <w:rPr>
                    <w:rFonts w:ascii="Cambria Math" w:eastAsia="Cambria Math" w:hAnsi="Cambria Math" w:cs="Cambria Math"/>
                    <w:sz w:val="16"/>
                    <w:szCs w:val="16"/>
                  </w:rPr>
                  <m:t xml:space="preserve">quantidade de </m:t>
                </m:r>
                <w:proofErr w:type="spellStart"/>
                <m:r>
                  <m:rPr>
                    <m:nor/>
                  </m:rPr>
                  <w:rPr>
                    <w:rFonts w:ascii="Cambria Math" w:eastAsia="Cambria Math" w:hAnsi="Cambria Math" w:cs="Cambria Math"/>
                    <w:sz w:val="16"/>
                    <w:szCs w:val="16"/>
                  </w:rPr>
                  <m:t>ies</m:t>
                </m:r>
                <w:proofErr w:type="spellEnd"/>
                <m:r>
                  <m:rPr>
                    <m:nor/>
                  </m:rPr>
                  <w:rPr>
                    <w:rFonts w:ascii="Cambria Math" w:eastAsia="Cambria Math" w:hAnsi="Cambria Math" w:cs="Cambria Math"/>
                    <w:sz w:val="16"/>
                    <w:szCs w:val="16"/>
                  </w:rPr>
                  <m:t xml:space="preserve"> </m:t>
                </m:r>
                <m:r>
                  <m:rPr>
                    <m:sty m:val="p"/>
                  </m:rPr>
                  <w:rPr>
                    <w:rFonts w:ascii="Cambria Math" w:eastAsia="Cambria Math" w:hAnsi="Cambria Math" w:cs="Cambria Math"/>
                    <w:sz w:val="16"/>
                    <w:szCs w:val="16"/>
                  </w:rPr>
                  <m:t>=</m:t>
                </m:r>
                <m:d>
                  <m:dPr>
                    <m:ctrlPr>
                      <w:rPr>
                        <w:rFonts w:ascii="Cambria Math" w:eastAsia="Cambria Math" w:hAnsi="Cambria Math" w:cs="Cambria Math"/>
                        <w:sz w:val="16"/>
                        <w:szCs w:val="16"/>
                      </w:rPr>
                    </m:ctrlPr>
                  </m:dPr>
                  <m:e>
                    <m:r>
                      <m:rPr>
                        <m:sty m:val="p"/>
                      </m:rPr>
                      <w:rPr>
                        <w:rFonts w:ascii="Cambria Math" w:eastAsia="Cambria Math" w:hAnsi="Cambria Math" w:cs="Cambria Math"/>
                        <w:sz w:val="16"/>
                        <w:szCs w:val="16"/>
                      </w:rPr>
                      <m:t>count(distinct (co_ies)</m:t>
                    </m:r>
                  </m:e>
                </m:d>
              </m:oMath>
            </m:oMathPara>
          </w:p>
        </w:tc>
      </w:tr>
      <w:tr w:rsidR="0051366A" w:rsidRPr="0051366A" w14:paraId="7A08DCEA"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62FC0997" w14:textId="77777777" w:rsidR="00317332" w:rsidRPr="0051366A" w:rsidRDefault="00317332" w:rsidP="00BB613C">
            <w:pPr>
              <w:pStyle w:val="QuadrosFiguras1"/>
              <w:spacing w:before="60" w:after="60" w:line="240" w:lineRule="auto"/>
              <w:jc w:val="both"/>
              <w:rPr>
                <w:color w:val="auto"/>
              </w:rPr>
            </w:pPr>
            <w:r w:rsidRPr="0051366A">
              <w:rPr>
                <w:color w:val="auto"/>
              </w:rPr>
              <w:t>Brasil, Região, Unidade da Federação, Macrorregiões de Saúde, Regiões de Saúde e Municípios.</w:t>
            </w:r>
          </w:p>
        </w:tc>
      </w:tr>
      <w:tr w:rsidR="0051366A" w:rsidRPr="0051366A" w14:paraId="6C143927"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51366A" w:rsidRDefault="00317332" w:rsidP="00BB613C">
            <w:pPr>
              <w:pStyle w:val="QuadrosFiguras1"/>
              <w:spacing w:before="60" w:after="60" w:line="240" w:lineRule="auto"/>
              <w:jc w:val="both"/>
              <w:rPr>
                <w:color w:val="auto"/>
              </w:rPr>
            </w:pPr>
            <w:r w:rsidRPr="0051366A">
              <w:rPr>
                <w:color w:val="auto"/>
              </w:rPr>
              <w:t>Instituição pública (federal, estadual ou municipal) ou privada (com ou sem fins lucrativos).</w:t>
            </w:r>
          </w:p>
        </w:tc>
      </w:tr>
      <w:tr w:rsidR="0051366A" w:rsidRPr="0051366A" w14:paraId="2387FCB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51366A" w:rsidRDefault="00317332" w:rsidP="00BB613C">
            <w:pPr>
              <w:pStyle w:val="QuadrosFiguras1"/>
              <w:spacing w:before="60" w:after="60" w:line="240" w:lineRule="auto"/>
              <w:jc w:val="left"/>
              <w:rPr>
                <w:color w:val="auto"/>
              </w:rPr>
            </w:pPr>
            <w:r w:rsidRPr="0051366A">
              <w:rPr>
                <w:color w:val="auto"/>
              </w:rPr>
              <w:t>Anual</w:t>
            </w:r>
          </w:p>
        </w:tc>
      </w:tr>
      <w:tr w:rsidR="0051366A" w:rsidRPr="0051366A" w14:paraId="41D5F75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62FDE8B9" w14:textId="77777777" w:rsidR="00317332" w:rsidRPr="0051366A" w:rsidRDefault="00317332" w:rsidP="00BB613C">
            <w:pPr>
              <w:jc w:val="both"/>
              <w:rPr>
                <w:rFonts w:ascii="Montserrat" w:hAnsi="Montserrat"/>
                <w:sz w:val="20"/>
              </w:rPr>
            </w:pPr>
            <w:r w:rsidRPr="0051366A">
              <w:rPr>
                <w:rFonts w:ascii="Montserrat" w:hAnsi="Montserrat"/>
                <w:sz w:val="20"/>
              </w:rPr>
              <w:t>Competência de janeiro de 2010 ao último ano com dados disponíveis.</w:t>
            </w:r>
          </w:p>
        </w:tc>
      </w:tr>
      <w:tr w:rsidR="0051366A" w:rsidRPr="0051366A" w14:paraId="2C0E4F7B"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61BFF7" w14:textId="77777777" w:rsidR="00317332" w:rsidRPr="0051366A" w:rsidRDefault="00317332" w:rsidP="00BB613C">
            <w:pPr>
              <w:jc w:val="both"/>
              <w:rPr>
                <w:rFonts w:ascii="Montserrat" w:hAnsi="Montserrat"/>
                <w:sz w:val="20"/>
              </w:rPr>
            </w:pPr>
            <w:proofErr w:type="spellStart"/>
            <w:r w:rsidRPr="0051366A">
              <w:rPr>
                <w:rFonts w:ascii="Montserrat" w:hAnsi="Montserrat"/>
                <w:sz w:val="20"/>
              </w:rPr>
              <w:t>Poz</w:t>
            </w:r>
            <w:proofErr w:type="spellEnd"/>
            <w:r w:rsidRPr="0051366A">
              <w:rPr>
                <w:rFonts w:ascii="Montserrat" w:hAnsi="Montserrat"/>
                <w:sz w:val="20"/>
              </w:rPr>
              <w:t xml:space="preserve">, M. R. D., Couto, M. H. C., &amp; Franco, T. D. A. V. (2016). Inovação, desenvolvimento e financiamento das instituições de Ensino Superior em saúde. </w:t>
            </w:r>
            <w:r w:rsidRPr="0051366A">
              <w:rPr>
                <w:rFonts w:ascii="Montserrat" w:hAnsi="Montserrat"/>
                <w:i/>
                <w:iCs/>
                <w:sz w:val="20"/>
              </w:rPr>
              <w:t>Cadernos de Saúde Pública</w:t>
            </w:r>
            <w:r w:rsidRPr="0051366A">
              <w:rPr>
                <w:rFonts w:ascii="Montserrat" w:hAnsi="Montserrat"/>
                <w:sz w:val="20"/>
              </w:rPr>
              <w:t>, 32, e00139915.</w:t>
            </w:r>
          </w:p>
        </w:tc>
      </w:tr>
      <w:tr w:rsidR="0051366A" w:rsidRPr="0051366A" w14:paraId="758EE6C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51366A" w:rsidRDefault="00317332" w:rsidP="00BB613C">
            <w:pPr>
              <w:pStyle w:val="QuadrosFiguras1"/>
              <w:spacing w:before="60" w:line="276" w:lineRule="auto"/>
              <w:jc w:val="left"/>
              <w:rPr>
                <w:b/>
                <w:bCs/>
                <w:color w:val="auto"/>
                <w:sz w:val="22"/>
                <w:szCs w:val="24"/>
              </w:rPr>
            </w:pPr>
            <w:r w:rsidRPr="0051366A">
              <w:rPr>
                <w:b/>
                <w:bCs/>
                <w:color w:val="auto"/>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325B59C0" w14:textId="77777777" w:rsidR="00317332" w:rsidRPr="0051366A" w:rsidRDefault="00317332" w:rsidP="00BB613C">
            <w:pPr>
              <w:jc w:val="both"/>
              <w:rPr>
                <w:rFonts w:ascii="Montserrat" w:hAnsi="Montserrat"/>
                <w:sz w:val="20"/>
              </w:rPr>
            </w:pPr>
            <w:r w:rsidRPr="0051366A">
              <w:rPr>
                <w:rFonts w:ascii="Montserrat" w:hAnsi="Montserrat"/>
                <w:sz w:val="20"/>
              </w:rPr>
              <w:t>Este indicador quantifica uma contagem simples de IES. Nesse sentido, valores mais elevados indicam maior presença de IES com cursos de saúde.</w:t>
            </w:r>
          </w:p>
        </w:tc>
      </w:tr>
    </w:tbl>
    <w:bookmarkEnd w:id="8"/>
    <w:p w14:paraId="1F28EBA7" w14:textId="77777777" w:rsidR="004C586F" w:rsidRDefault="004C586F" w:rsidP="004C586F">
      <w:pPr>
        <w:spacing w:before="200" w:after="200" w:line="360" w:lineRule="auto"/>
        <w:ind w:firstLine="851"/>
        <w:jc w:val="both"/>
        <w:rPr>
          <w:rFonts w:ascii="Exo" w:hAnsi="Exo"/>
        </w:rPr>
      </w:pPr>
      <w:r w:rsidRPr="00ED73FD">
        <w:rPr>
          <w:rFonts w:ascii="Exo" w:hAnsi="Exo"/>
        </w:rPr>
        <w:t xml:space="preserve">Como informado acima, existem alguns artefatos que decorrem da criação deste indicador, como o código SQL usado para construir o indicador, o resultado dos cálculos e o </w:t>
      </w:r>
      <w:r w:rsidRPr="00290AFB">
        <w:rPr>
          <w:rFonts w:ascii="Exo" w:hAnsi="Exo"/>
          <w:i/>
          <w:iCs/>
        </w:rPr>
        <w:t>dashboard</w:t>
      </w:r>
      <w:r w:rsidRPr="00ED73FD">
        <w:rPr>
          <w:rFonts w:ascii="Exo" w:hAnsi="Exo"/>
        </w:rPr>
        <w:t xml:space="preserve"> interativo. Para acessar estes artefatos, basta clicar nos ícones abaixo.</w:t>
      </w:r>
    </w:p>
    <w:p w14:paraId="123F27AC" w14:textId="77777777" w:rsidR="004C586F" w:rsidRPr="00982DD4" w:rsidRDefault="004C586F" w:rsidP="004C586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411D186" w14:textId="77777777" w:rsidR="00630F4B" w:rsidRDefault="00630F4B" w:rsidP="004C586F">
      <w:pPr>
        <w:pStyle w:val="PargrafodaLista"/>
        <w:ind w:left="0"/>
        <w:jc w:val="center"/>
        <w:rPr>
          <w:rFonts w:ascii="Montserrat" w:hAnsi="Montserrat"/>
        </w:rPr>
      </w:pPr>
      <w:r>
        <w:rPr>
          <w:rFonts w:ascii="Montserrat" w:hAnsi="Montserrat"/>
          <w:noProof/>
        </w:rPr>
        <w:drawing>
          <wp:inline distT="0" distB="0" distL="0" distR="0" wp14:anchorId="2CF285D3" wp14:editId="1BD8D9E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C88FD78" w14:textId="5E70CCE4" w:rsidR="004C586F" w:rsidRPr="004C586F" w:rsidRDefault="004C586F" w:rsidP="004C586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258B5001" w:rsidR="004A3585" w:rsidRPr="00F44797" w:rsidRDefault="004A3585" w:rsidP="00F44797">
      <w:pPr>
        <w:pStyle w:val="Ttulo1"/>
        <w:spacing w:after="200" w:line="360" w:lineRule="auto"/>
        <w:jc w:val="center"/>
        <w:rPr>
          <w:rFonts w:ascii="Exo" w:hAnsi="Exo"/>
          <w:b/>
          <w:bCs/>
          <w:color w:val="auto"/>
        </w:rPr>
      </w:pPr>
      <w:bookmarkStart w:id="9" w:name="_Toc188459876"/>
      <w:commentRangeStart w:id="10"/>
      <w:r w:rsidRPr="00F44797">
        <w:rPr>
          <w:rFonts w:ascii="Exo" w:hAnsi="Exo"/>
          <w:b/>
          <w:bCs/>
          <w:color w:val="auto"/>
        </w:rPr>
        <w:lastRenderedPageBreak/>
        <w:t>Exemplo de aplicação</w:t>
      </w:r>
      <w:commentRangeEnd w:id="10"/>
      <w:r w:rsidR="009E5922" w:rsidRPr="00F44797">
        <w:rPr>
          <w:rFonts w:ascii="Exo" w:hAnsi="Exo"/>
          <w:b/>
          <w:bCs/>
        </w:rPr>
        <w:commentReference w:id="10"/>
      </w:r>
      <w:bookmarkEnd w:id="9"/>
    </w:p>
    <w:p w14:paraId="2C0B84AA" w14:textId="77777777" w:rsidR="00F44797" w:rsidRPr="00EC355E" w:rsidRDefault="00F44797" w:rsidP="00F44797">
      <w:pPr>
        <w:pStyle w:val="SemEspaamento"/>
        <w:spacing w:after="200" w:line="360" w:lineRule="auto"/>
        <w:ind w:firstLine="851"/>
        <w:jc w:val="both"/>
        <w:rPr>
          <w:rFonts w:ascii="Exo" w:hAnsi="Exo"/>
          <w:sz w:val="20"/>
          <w:szCs w:val="20"/>
        </w:rPr>
      </w:pPr>
      <w:r w:rsidRPr="00EC4CF0">
        <w:rPr>
          <w:rFonts w:ascii="Exo" w:hAnsi="Exo"/>
          <w:sz w:val="20"/>
          <w:szCs w:val="20"/>
        </w:rPr>
        <w:t xml:space="preserve">A figura 2 exemplifica a aplicação do indicador, considerando um recorte de enfermeiros da Atenção Primária à Saúde, conforme a métrica Full-Time </w:t>
      </w:r>
      <w:proofErr w:type="spellStart"/>
      <w:r w:rsidRPr="00EC4CF0">
        <w:rPr>
          <w:rFonts w:ascii="Exo" w:hAnsi="Exo"/>
          <w:sz w:val="20"/>
          <w:szCs w:val="20"/>
        </w:rPr>
        <w:t>Equivalent</w:t>
      </w:r>
      <w:proofErr w:type="spellEnd"/>
      <w:r w:rsidRPr="00EC4CF0">
        <w:rPr>
          <w:rFonts w:ascii="Exo" w:hAnsi="Exo"/>
          <w:sz w:val="20"/>
          <w:szCs w:val="20"/>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r>
        <w:rPr>
          <w:rFonts w:ascii="Exo" w:hAnsi="Exo"/>
          <w:sz w:val="20"/>
          <w:szCs w:val="20"/>
        </w:rPr>
        <w:t>.</w:t>
      </w:r>
    </w:p>
    <w:p w14:paraId="50ED47F9" w14:textId="77777777" w:rsidR="00F44797" w:rsidRPr="00CE06B6" w:rsidRDefault="00F44797" w:rsidP="00F44797">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39EEE99C" w14:textId="77777777" w:rsidR="00F44797" w:rsidRDefault="00F44797" w:rsidP="00F44797">
      <w:pPr>
        <w:pStyle w:val="NormalWeb"/>
        <w:spacing w:before="0" w:beforeAutospacing="0" w:after="0" w:afterAutospacing="0"/>
        <w:jc w:val="center"/>
      </w:pPr>
      <w:bookmarkStart w:id="11" w:name="_Hlk184288995"/>
      <w:r>
        <w:rPr>
          <w:noProof/>
          <w14:ligatures w14:val="standardContextual"/>
        </w:rPr>
        <w:drawing>
          <wp:inline distT="0" distB="0" distL="0" distR="0" wp14:anchorId="629E8673" wp14:editId="7698E82E">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1D84CA75" w14:textId="77777777" w:rsidR="00F44797" w:rsidRPr="00CE06B6" w:rsidRDefault="00F44797" w:rsidP="00F44797">
      <w:pPr>
        <w:pStyle w:val="PargrafodaLista"/>
        <w:ind w:left="0"/>
        <w:jc w:val="center"/>
        <w:rPr>
          <w:rFonts w:ascii="Exo" w:hAnsi="Exo"/>
          <w:i/>
          <w:iCs/>
          <w:sz w:val="18"/>
          <w:szCs w:val="18"/>
        </w:rPr>
      </w:pPr>
      <w:r w:rsidRPr="00CE06B6">
        <w:rPr>
          <w:rFonts w:ascii="Exo" w:hAnsi="Exo"/>
          <w:i/>
          <w:iCs/>
          <w:sz w:val="18"/>
          <w:szCs w:val="18"/>
        </w:rPr>
        <w:t>Fonte: elaborado pelos autores</w:t>
      </w:r>
      <w:bookmarkEnd w:id="11"/>
    </w:p>
    <w:p w14:paraId="44BD6DC9" w14:textId="7BA7F4B0" w:rsidR="00F44797" w:rsidRPr="00F44797" w:rsidRDefault="00F44797" w:rsidP="00F44797">
      <w:pPr>
        <w:ind w:left="-1701"/>
        <w:jc w:val="center"/>
        <w:rPr>
          <w:rFonts w:ascii="Montserrat" w:hAnsi="Montserrat"/>
          <w:sz w:val="20"/>
          <w:szCs w:val="20"/>
        </w:rPr>
      </w:pPr>
      <w:r w:rsidRPr="00420B56">
        <w:rPr>
          <w:rFonts w:ascii="Exo" w:hAnsi="Exo"/>
          <w:sz w:val="20"/>
          <w:szCs w:val="20"/>
        </w:rPr>
        <w:t xml:space="preserve">Para acessar o link do código que resultou no mapa, clique </w:t>
      </w:r>
      <w:hyperlink r:id="rId21" w:history="1">
        <w:r w:rsidRPr="00420B56">
          <w:rPr>
            <w:rStyle w:val="Hyperlink"/>
            <w:rFonts w:ascii="Exo" w:hAnsi="Exo"/>
            <w:sz w:val="20"/>
            <w:szCs w:val="20"/>
          </w:rPr>
          <w:t>aqui</w:t>
        </w:r>
      </w:hyperlink>
      <w:r>
        <w:rPr>
          <w:rFonts w:ascii="Exo" w:hAnsi="Exo"/>
        </w:rPr>
        <w:t>.</w:t>
      </w:r>
      <w:r>
        <w:rPr>
          <w:rFonts w:ascii="Exo" w:hAnsi="Exo"/>
          <w:b/>
          <w:bCs/>
        </w:rPr>
        <w:br w:type="page"/>
      </w:r>
    </w:p>
    <w:p w14:paraId="393A9936" w14:textId="347D4499" w:rsidR="00666086" w:rsidRPr="00F44797" w:rsidRDefault="00666086" w:rsidP="00F44797">
      <w:pPr>
        <w:pStyle w:val="Ttulo1"/>
        <w:spacing w:after="200" w:line="360" w:lineRule="auto"/>
        <w:jc w:val="center"/>
        <w:rPr>
          <w:rFonts w:ascii="Exo" w:hAnsi="Exo"/>
          <w:b/>
          <w:bCs/>
          <w:color w:val="auto"/>
        </w:rPr>
      </w:pPr>
      <w:bookmarkStart w:id="12" w:name="_Toc188459877"/>
      <w:r w:rsidRPr="00F44797">
        <w:rPr>
          <w:rFonts w:ascii="Exo" w:hAnsi="Exo"/>
          <w:b/>
          <w:bCs/>
          <w:color w:val="auto"/>
        </w:rPr>
        <w:lastRenderedPageBreak/>
        <w:t>Referências</w:t>
      </w:r>
      <w:bookmarkEnd w:id="12"/>
    </w:p>
    <w:sdt>
      <w:sdtPr>
        <w:tag w:val="MENDELEY_BIBLIOGRAPHY"/>
        <w:id w:val="951600538"/>
        <w:placeholder>
          <w:docPart w:val="DefaultPlaceholder_-1854013440"/>
        </w:placeholder>
      </w:sdtPr>
      <w:sdtEndPr/>
      <w:sdtContent>
        <w:p w14:paraId="7B01E829"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1334684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5C92321B"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F99115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E3C4200"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4F3778C"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1AD0438A" w14:textId="7799D992" w:rsidR="0078205E" w:rsidRP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7D26D7">
            <w:rPr>
              <w:rFonts w:ascii="Exo" w:eastAsia="Times New Roman" w:hAnsi="Exo"/>
              <w:color w:val="000000"/>
              <w:sz w:val="20"/>
              <w:szCs w:val="20"/>
            </w:rPr>
            <w:t xml:space="preserve">Franco TAV, </w:t>
          </w:r>
          <w:proofErr w:type="spellStart"/>
          <w:r w:rsidRPr="007D26D7">
            <w:rPr>
              <w:rFonts w:ascii="Exo" w:eastAsia="Times New Roman" w:hAnsi="Exo"/>
              <w:color w:val="000000"/>
              <w:sz w:val="20"/>
              <w:szCs w:val="20"/>
            </w:rPr>
            <w:t>Poz</w:t>
          </w:r>
          <w:proofErr w:type="spellEnd"/>
          <w:r w:rsidRPr="007D26D7">
            <w:rPr>
              <w:rFonts w:ascii="Exo" w:eastAsia="Times New Roman" w:hAnsi="Exo"/>
              <w:color w:val="000000"/>
              <w:sz w:val="20"/>
              <w:szCs w:val="20"/>
            </w:rPr>
            <w:t xml:space="preserve"> MRD. A participação de instituições de ensino superior privadas na formação em saúde no Brasil. </w:t>
          </w:r>
          <w:proofErr w:type="spellStart"/>
          <w:r w:rsidRPr="007D26D7">
            <w:rPr>
              <w:rFonts w:ascii="Exo" w:eastAsia="Times New Roman" w:hAnsi="Exo"/>
              <w:color w:val="000000"/>
              <w:sz w:val="20"/>
              <w:szCs w:val="20"/>
            </w:rPr>
            <w:t>Trab</w:t>
          </w:r>
          <w:proofErr w:type="spellEnd"/>
          <w:r w:rsidRPr="007D26D7">
            <w:rPr>
              <w:rFonts w:ascii="Exo" w:eastAsia="Times New Roman" w:hAnsi="Exo"/>
              <w:color w:val="000000"/>
              <w:sz w:val="20"/>
              <w:szCs w:val="20"/>
            </w:rPr>
            <w:t xml:space="preserve"> </w:t>
          </w:r>
          <w:proofErr w:type="spellStart"/>
          <w:r w:rsidRPr="007D26D7">
            <w:rPr>
              <w:rFonts w:ascii="Exo" w:eastAsia="Times New Roman" w:hAnsi="Exo"/>
              <w:color w:val="000000"/>
              <w:sz w:val="20"/>
              <w:szCs w:val="20"/>
            </w:rPr>
            <w:t>Educ</w:t>
          </w:r>
          <w:proofErr w:type="spellEnd"/>
          <w:r w:rsidRPr="007D26D7">
            <w:rPr>
              <w:rFonts w:ascii="Exo" w:eastAsia="Times New Roman" w:hAnsi="Exo"/>
              <w:color w:val="000000"/>
              <w:sz w:val="20"/>
              <w:szCs w:val="20"/>
            </w:rPr>
            <w:t xml:space="preserve"> Saúde. 2018;16(3):1017–37.</w:t>
          </w:r>
          <w:r w:rsidR="00666086" w:rsidRPr="0051366A">
            <w:rPr>
              <w:rFonts w:eastAsia="Times New Roman"/>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Érika Aquino" w:date="2025-01-11T22:59:00Z" w:initials="E.A.">
    <w:p w14:paraId="36F98F7C" w14:textId="77777777" w:rsidR="003361F9" w:rsidRDefault="003361F9" w:rsidP="003361F9">
      <w:pPr>
        <w:pStyle w:val="Textodecomentrio"/>
      </w:pPr>
      <w:r>
        <w:rPr>
          <w:rStyle w:val="Refdecomentrio"/>
        </w:rPr>
        <w:annotationRef/>
      </w:r>
      <w:r>
        <w:rPr>
          <w:color w:val="222222"/>
          <w:highlight w:val="white"/>
        </w:rPr>
        <w:t xml:space="preserve">FRANCO, Thais de Andrade </w:t>
      </w:r>
      <w:proofErr w:type="spellStart"/>
      <w:r>
        <w:rPr>
          <w:color w:val="222222"/>
          <w:highlight w:val="white"/>
        </w:rPr>
        <w:t>Vidaurre</w:t>
      </w:r>
      <w:proofErr w:type="spellEnd"/>
      <w:r>
        <w:rPr>
          <w:color w:val="222222"/>
          <w:highlight w:val="white"/>
        </w:rPr>
        <w:t>; POZ, Mario Roberto Dal. A participação de instituições de ensino superior privadas na formação em saúde no Brasil. </w:t>
      </w:r>
      <w:r>
        <w:rPr>
          <w:b/>
          <w:bCs/>
          <w:color w:val="222222"/>
          <w:highlight w:val="white"/>
        </w:rPr>
        <w:t>Trabalho, Educação e Saúde</w:t>
      </w:r>
      <w:r>
        <w:rPr>
          <w:color w:val="222222"/>
          <w:highlight w:val="white"/>
        </w:rPr>
        <w:t>, v. 16, n. 3, p. 1017-1037, 2018.</w:t>
      </w:r>
      <w:r>
        <w:t xml:space="preserve"> </w:t>
      </w:r>
    </w:p>
  </w:comment>
  <w:comment w:id="4" w:author="Daniel Pagotto" w:date="2025-01-15T10:21:00Z" w:initials="DP">
    <w:p w14:paraId="2C82B537" w14:textId="1A76F9D9" w:rsidR="009E5922" w:rsidRDefault="009E5922">
      <w:pPr>
        <w:pStyle w:val="Textodecomentrio"/>
      </w:pPr>
      <w:r>
        <w:rPr>
          <w:rStyle w:val="Refdecomentrio"/>
        </w:rPr>
        <w:annotationRef/>
      </w:r>
      <w:r>
        <w:t>Adicionar a final</w:t>
      </w:r>
    </w:p>
  </w:comment>
  <w:comment w:id="5" w:author="Érika Aquino" w:date="2025-01-11T23:01:00Z" w:initials="E.A.">
    <w:p w14:paraId="327807E3" w14:textId="77777777" w:rsidR="003361F9" w:rsidRDefault="003361F9" w:rsidP="003361F9">
      <w:pPr>
        <w:pStyle w:val="Textodecomentrio"/>
      </w:pPr>
      <w:r>
        <w:rPr>
          <w:rStyle w:val="Refdecomentrio"/>
        </w:rPr>
        <w:annotationRef/>
      </w:r>
      <w:r>
        <w:rPr>
          <w:color w:val="222222"/>
          <w:highlight w:val="white"/>
        </w:rPr>
        <w:t xml:space="preserve">GARBIN, Cléa Adas </w:t>
      </w:r>
      <w:proofErr w:type="spellStart"/>
      <w:r>
        <w:rPr>
          <w:color w:val="222222"/>
          <w:highlight w:val="white"/>
        </w:rPr>
        <w:t>Saliba</w:t>
      </w:r>
      <w:proofErr w:type="spellEnd"/>
      <w:r>
        <w:rPr>
          <w:color w:val="222222"/>
          <w:highlight w:val="white"/>
        </w:rPr>
        <w:t xml:space="preserve"> et al. O papel das universidades na formação de profissionais na área de saúde. </w:t>
      </w:r>
      <w:proofErr w:type="spellStart"/>
      <w:r>
        <w:rPr>
          <w:b/>
          <w:bCs/>
          <w:color w:val="222222"/>
          <w:highlight w:val="white"/>
        </w:rPr>
        <w:t>Rev</w:t>
      </w:r>
      <w:proofErr w:type="spellEnd"/>
      <w:r>
        <w:rPr>
          <w:b/>
          <w:bCs/>
          <w:color w:val="222222"/>
          <w:highlight w:val="white"/>
        </w:rPr>
        <w:t xml:space="preserve"> </w:t>
      </w:r>
      <w:proofErr w:type="spellStart"/>
      <w:r>
        <w:rPr>
          <w:b/>
          <w:bCs/>
          <w:color w:val="222222"/>
          <w:highlight w:val="white"/>
        </w:rPr>
        <w:t>Abeno</w:t>
      </w:r>
      <w:proofErr w:type="spellEnd"/>
      <w:r>
        <w:rPr>
          <w:color w:val="222222"/>
          <w:highlight w:val="white"/>
        </w:rPr>
        <w:t>, v. 6, n. 1, p. 6-10, 2006.</w:t>
      </w:r>
      <w:r>
        <w:t xml:space="preserve"> </w:t>
      </w:r>
    </w:p>
  </w:comment>
  <w:comment w:id="10" w:author="Daniel Pagotto" w:date="2025-01-15T10:21:00Z" w:initials="DP">
    <w:p w14:paraId="446CE77B" w14:textId="0F0FFA4C" w:rsidR="009E5922" w:rsidRDefault="009E5922">
      <w:pPr>
        <w:pStyle w:val="Textodecomentrio"/>
      </w:pPr>
      <w:r>
        <w:rPr>
          <w:rStyle w:val="Refdecomentrio"/>
        </w:rPr>
        <w:annotationRef/>
      </w:r>
      <w:r>
        <w:t>adicionar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F98F7C" w15:done="0"/>
  <w15:commentEx w15:paraId="2C82B537" w15:paraIdParent="36F98F7C" w15:done="0"/>
  <w15:commentEx w15:paraId="327807E3" w15:done="0"/>
  <w15:commentEx w15:paraId="446CE7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93C33AC" w16cex:dateUtc="2025-01-12T01:59:00Z"/>
  <w16cex:commentExtensible w16cex:durableId="2B320ABC" w16cex:dateUtc="2025-01-15T13:21:00Z"/>
  <w16cex:commentExtensible w16cex:durableId="56945377" w16cex:dateUtc="2025-01-12T02:01:00Z"/>
  <w16cex:commentExtensible w16cex:durableId="2B320AB7" w16cex:dateUtc="2025-01-15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F98F7C" w16cid:durableId="593C33AC"/>
  <w16cid:commentId w16cid:paraId="2C82B537" w16cid:durableId="2B320ABC"/>
  <w16cid:commentId w16cid:paraId="327807E3" w16cid:durableId="56945377"/>
  <w16cid:commentId w16cid:paraId="446CE77B" w16cid:durableId="2B320A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F472D" w14:textId="77777777" w:rsidR="0031525C" w:rsidRDefault="0031525C" w:rsidP="0078205E">
      <w:pPr>
        <w:spacing w:after="0" w:line="240" w:lineRule="auto"/>
      </w:pPr>
      <w:r>
        <w:separator/>
      </w:r>
    </w:p>
  </w:endnote>
  <w:endnote w:type="continuationSeparator" w:id="0">
    <w:p w14:paraId="5AEAC549" w14:textId="77777777" w:rsidR="0031525C" w:rsidRDefault="0031525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56737" w14:textId="77777777" w:rsidR="0031525C" w:rsidRDefault="0031525C" w:rsidP="0078205E">
      <w:pPr>
        <w:spacing w:after="0" w:line="240" w:lineRule="auto"/>
      </w:pPr>
      <w:r>
        <w:separator/>
      </w:r>
    </w:p>
  </w:footnote>
  <w:footnote w:type="continuationSeparator" w:id="0">
    <w:p w14:paraId="2B25A858" w14:textId="77777777" w:rsidR="0031525C" w:rsidRDefault="0031525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31525C"/>
    <w:rsid w:val="00317332"/>
    <w:rsid w:val="003361F9"/>
    <w:rsid w:val="003F6595"/>
    <w:rsid w:val="00496AA8"/>
    <w:rsid w:val="004A3585"/>
    <w:rsid w:val="004C446E"/>
    <w:rsid w:val="004C586F"/>
    <w:rsid w:val="004E0F3E"/>
    <w:rsid w:val="0051118D"/>
    <w:rsid w:val="0051366A"/>
    <w:rsid w:val="00537021"/>
    <w:rsid w:val="005C3030"/>
    <w:rsid w:val="00611B15"/>
    <w:rsid w:val="00630F4B"/>
    <w:rsid w:val="006447AB"/>
    <w:rsid w:val="00666086"/>
    <w:rsid w:val="0067139C"/>
    <w:rsid w:val="0078205E"/>
    <w:rsid w:val="007B242D"/>
    <w:rsid w:val="007D26D7"/>
    <w:rsid w:val="00814305"/>
    <w:rsid w:val="008A4697"/>
    <w:rsid w:val="008B2C81"/>
    <w:rsid w:val="009E5922"/>
    <w:rsid w:val="009E5CEE"/>
    <w:rsid w:val="00A13C57"/>
    <w:rsid w:val="00A80BE7"/>
    <w:rsid w:val="00A92A31"/>
    <w:rsid w:val="00AA2977"/>
    <w:rsid w:val="00AE7562"/>
    <w:rsid w:val="00B13018"/>
    <w:rsid w:val="00B14DBB"/>
    <w:rsid w:val="00B55CBE"/>
    <w:rsid w:val="00C05C2B"/>
    <w:rsid w:val="00C567EB"/>
    <w:rsid w:val="00C702FE"/>
    <w:rsid w:val="00C8124C"/>
    <w:rsid w:val="00CA4CA1"/>
    <w:rsid w:val="00D24869"/>
    <w:rsid w:val="00D36EEF"/>
    <w:rsid w:val="00D7294F"/>
    <w:rsid w:val="00D94AD2"/>
    <w:rsid w:val="00E47210"/>
    <w:rsid w:val="00E72E2A"/>
    <w:rsid w:val="00EF2148"/>
    <w:rsid w:val="00F44797"/>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6_razao_profissionais_fte/06_razao_profissionais_fte.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06D487C58F144504993FC3ED399EB9D1"/>
        <w:category>
          <w:name w:val="Geral"/>
          <w:gallery w:val="placeholder"/>
        </w:category>
        <w:types>
          <w:type w:val="bbPlcHdr"/>
        </w:types>
        <w:behaviors>
          <w:behavior w:val="content"/>
        </w:behaviors>
        <w:guid w:val="{F40DDAC4-4324-46E3-B92F-3D470E1DA19E}"/>
      </w:docPartPr>
      <w:docPartBody>
        <w:p w:rsidR="00000000" w:rsidRDefault="0003657F" w:rsidP="0003657F">
          <w:pPr>
            <w:pStyle w:val="06D487C58F144504993FC3ED399EB9D1"/>
          </w:pPr>
          <w:r w:rsidRPr="0031018C">
            <w:rPr>
              <w:rStyle w:val="TextodoEspaoReservado"/>
            </w:rPr>
            <w:t>Clique ou toque aqui para inserir o texto.</w:t>
          </w:r>
        </w:p>
      </w:docPartBody>
    </w:docPart>
    <w:docPart>
      <w:docPartPr>
        <w:name w:val="2BB5BC92EDF64EFC95D8ED741F487262"/>
        <w:category>
          <w:name w:val="Geral"/>
          <w:gallery w:val="placeholder"/>
        </w:category>
        <w:types>
          <w:type w:val="bbPlcHdr"/>
        </w:types>
        <w:behaviors>
          <w:behavior w:val="content"/>
        </w:behaviors>
        <w:guid w:val="{E23E56DD-F672-46CD-A335-E8334526C80B}"/>
      </w:docPartPr>
      <w:docPartBody>
        <w:p w:rsidR="00000000" w:rsidRDefault="0003657F" w:rsidP="0003657F">
          <w:pPr>
            <w:pStyle w:val="2BB5BC92EDF64EFC95D8ED741F48726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657F"/>
    <w:rsid w:val="001D5101"/>
    <w:rsid w:val="00201B4E"/>
    <w:rsid w:val="00234B10"/>
    <w:rsid w:val="00673525"/>
    <w:rsid w:val="007C6DAE"/>
    <w:rsid w:val="009A2513"/>
    <w:rsid w:val="00A647F7"/>
    <w:rsid w:val="00AE103D"/>
    <w:rsid w:val="00B10BB0"/>
    <w:rsid w:val="00BA0934"/>
    <w:rsid w:val="00C8124C"/>
    <w:rsid w:val="00EB6977"/>
    <w:rsid w:val="00ED763F"/>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3657F"/>
    <w:rPr>
      <w:color w:val="808080"/>
    </w:rPr>
  </w:style>
  <w:style w:type="paragraph" w:customStyle="1" w:styleId="A2B6EF0C9624476F841D4164306DAE39">
    <w:name w:val="A2B6EF0C9624476F841D4164306DAE39"/>
    <w:rsid w:val="0003657F"/>
  </w:style>
  <w:style w:type="paragraph" w:customStyle="1" w:styleId="709CC27822804125A08A7FFC592662BC">
    <w:name w:val="709CC27822804125A08A7FFC592662BC"/>
    <w:rsid w:val="0003657F"/>
  </w:style>
  <w:style w:type="paragraph" w:customStyle="1" w:styleId="06D487C58F144504993FC3ED399EB9D1">
    <w:name w:val="06D487C58F144504993FC3ED399EB9D1"/>
    <w:rsid w:val="0003657F"/>
  </w:style>
  <w:style w:type="paragraph" w:customStyle="1" w:styleId="2BB5BC92EDF64EFC95D8ED741F487262">
    <w:name w:val="2BB5BC92EDF64EFC95D8ED741F487262"/>
    <w:rsid w:val="0003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1394</Words>
  <Characters>7529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cp:revision>
  <dcterms:created xsi:type="dcterms:W3CDTF">2025-01-22T20:08:00Z</dcterms:created>
  <dcterms:modified xsi:type="dcterms:W3CDTF">2025-01-22T21:03:00Z</dcterms:modified>
</cp:coreProperties>
</file>