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B633131" wp14:editId="00C5223B">
            <wp:simplePos x="0" y="0"/>
            <wp:positionH relativeFrom="column">
              <wp:posOffset>-1087755</wp:posOffset>
            </wp:positionH>
            <wp:positionV relativeFrom="paragraph">
              <wp:posOffset>-884011</wp:posOffset>
            </wp:positionV>
            <wp:extent cx="7533426" cy="10655482"/>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6" cy="10655482"/>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1226B6B" w:rsidR="0078205E" w:rsidRDefault="00A5259C" w:rsidP="0078205E">
      <w:pPr>
        <w:pStyle w:val="Texto"/>
        <w:spacing w:after="0" w:line="240" w:lineRule="auto"/>
        <w:jc w:val="center"/>
        <w:rPr>
          <w:b/>
          <w:bCs/>
          <w:sz w:val="30"/>
          <w:szCs w:val="30"/>
        </w:rPr>
      </w:pPr>
      <w:r w:rsidRPr="00B24971">
        <w:rPr>
          <w:b/>
          <w:bCs/>
          <w:sz w:val="30"/>
          <w:szCs w:val="30"/>
        </w:rPr>
        <w:lastRenderedPageBreak/>
        <w:t>TAXA DE MORTALIDADE POR HOMICÍDIOS</w:t>
      </w:r>
      <w:r w:rsidRPr="00155B1B">
        <w:rPr>
          <w:b/>
          <w:bCs/>
          <w:sz w:val="30"/>
          <w:szCs w:val="30"/>
        </w:rPr>
        <w:t xml:space="preserve"> </w:t>
      </w:r>
    </w:p>
    <w:p w14:paraId="4C007F63" w14:textId="77373C8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B2497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60F93C0" w:rsidR="0078205E" w:rsidRDefault="00A5259C"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408640E" w14:textId="77777777" w:rsidR="00A5259C" w:rsidRDefault="00A5259C">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6E1EB31" w:rsidR="00D36EEF" w:rsidRPr="004B2078" w:rsidRDefault="00D36EEF" w:rsidP="00A5259C">
          <w:pPr>
            <w:pStyle w:val="CabealhodoSumrio"/>
            <w:spacing w:after="200" w:line="360" w:lineRule="auto"/>
            <w:jc w:val="center"/>
            <w:rPr>
              <w:rFonts w:ascii="Exo" w:hAnsi="Exo"/>
              <w:b/>
              <w:bCs/>
              <w:color w:val="auto"/>
            </w:rPr>
          </w:pPr>
          <w:r w:rsidRPr="004B2078">
            <w:rPr>
              <w:rFonts w:ascii="Exo" w:hAnsi="Exo"/>
              <w:b/>
              <w:bCs/>
              <w:color w:val="auto"/>
            </w:rPr>
            <w:t>Sumário</w:t>
          </w:r>
        </w:p>
        <w:p w14:paraId="242A024A" w14:textId="741AB0C0" w:rsidR="00237A46" w:rsidRPr="00237A46" w:rsidRDefault="00D36EEF">
          <w:pPr>
            <w:pStyle w:val="Sumrio1"/>
            <w:tabs>
              <w:tab w:val="right" w:leader="dot" w:pos="9062"/>
            </w:tabs>
            <w:rPr>
              <w:rStyle w:val="Hyperlink"/>
              <w:rFonts w:ascii="Exo" w:hAnsi="Exo"/>
              <w:b/>
              <w:bCs/>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DD2AC4">
              <w:rPr>
                <w:rStyle w:val="Hyperlink"/>
                <w:rFonts w:ascii="Exo" w:hAnsi="Exo"/>
                <w:b/>
                <w:bCs/>
                <w:noProof/>
              </w:rPr>
              <w:t>Introdução</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_Toc189059207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4</w:t>
            </w:r>
            <w:r w:rsidR="00237A46" w:rsidRPr="00237A46">
              <w:rPr>
                <w:rStyle w:val="Hyperlink"/>
                <w:rFonts w:ascii="Exo" w:hAnsi="Exo"/>
                <w:b/>
                <w:bCs/>
                <w:webHidden/>
              </w:rPr>
              <w:fldChar w:fldCharType="end"/>
            </w:r>
          </w:hyperlink>
        </w:p>
        <w:p w14:paraId="7AA68F85" w14:textId="7FF5A123" w:rsidR="00237A46" w:rsidRPr="00237A46" w:rsidRDefault="00647B92">
          <w:pPr>
            <w:pStyle w:val="Sumrio1"/>
            <w:tabs>
              <w:tab w:val="right" w:leader="dot" w:pos="9062"/>
            </w:tabs>
            <w:rPr>
              <w:rStyle w:val="Hyperlink"/>
              <w:rFonts w:ascii="Exo" w:hAnsi="Exo"/>
              <w:b/>
              <w:bCs/>
            </w:rPr>
          </w:pPr>
          <w:hyperlink w:anchor="_Toc189059208" w:history="1">
            <w:r w:rsidR="00237A46" w:rsidRPr="00DD2AC4">
              <w:rPr>
                <w:rStyle w:val="Hyperlink"/>
                <w:rFonts w:ascii="Exo" w:hAnsi="Exo"/>
                <w:b/>
                <w:bCs/>
                <w:noProof/>
              </w:rPr>
              <w:t>Ficha de qualificação do indicador</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_Toc189059208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5</w:t>
            </w:r>
            <w:r w:rsidR="00237A46" w:rsidRPr="00237A46">
              <w:rPr>
                <w:rStyle w:val="Hyperlink"/>
                <w:rFonts w:ascii="Exo" w:hAnsi="Exo"/>
                <w:b/>
                <w:bCs/>
                <w:webHidden/>
              </w:rPr>
              <w:fldChar w:fldCharType="end"/>
            </w:r>
          </w:hyperlink>
        </w:p>
        <w:p w14:paraId="62DCDBD3" w14:textId="12CBAE92" w:rsidR="00237A46" w:rsidRPr="00237A46" w:rsidRDefault="00647B92">
          <w:pPr>
            <w:pStyle w:val="Sumrio1"/>
            <w:tabs>
              <w:tab w:val="right" w:leader="dot" w:pos="9062"/>
            </w:tabs>
            <w:rPr>
              <w:rStyle w:val="Hyperlink"/>
              <w:rFonts w:ascii="Exo" w:hAnsi="Exo"/>
              <w:b/>
              <w:bCs/>
            </w:rPr>
          </w:pPr>
          <w:hyperlink w:anchor="_Toc189059209" w:history="1">
            <w:r w:rsidR="00237A46" w:rsidRPr="00DD2AC4">
              <w:rPr>
                <w:rStyle w:val="Hyperlink"/>
                <w:rFonts w:ascii="Exo" w:hAnsi="Exo"/>
                <w:b/>
                <w:bCs/>
                <w:noProof/>
              </w:rPr>
              <w:t>Exemplo de aplicação</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_Toc189059209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7</w:t>
            </w:r>
            <w:r w:rsidR="00237A46" w:rsidRPr="00237A46">
              <w:rPr>
                <w:rStyle w:val="Hyperlink"/>
                <w:rFonts w:ascii="Exo" w:hAnsi="Exo"/>
                <w:b/>
                <w:bCs/>
                <w:webHidden/>
              </w:rPr>
              <w:fldChar w:fldCharType="end"/>
            </w:r>
          </w:hyperlink>
        </w:p>
        <w:p w14:paraId="4DEA06E4" w14:textId="0BAB1FE5" w:rsidR="00237A46" w:rsidRPr="00237A46" w:rsidRDefault="00647B92">
          <w:pPr>
            <w:pStyle w:val="Sumrio1"/>
            <w:tabs>
              <w:tab w:val="right" w:leader="dot" w:pos="9062"/>
            </w:tabs>
            <w:rPr>
              <w:rStyle w:val="Hyperlink"/>
              <w:rFonts w:ascii="Exo" w:hAnsi="Exo"/>
              <w:b/>
              <w:bCs/>
            </w:rPr>
          </w:pPr>
          <w:hyperlink w:anchor="_Toc189059210" w:history="1">
            <w:r w:rsidR="00237A46" w:rsidRPr="00DD2AC4">
              <w:rPr>
                <w:rStyle w:val="Hyperlink"/>
                <w:rFonts w:ascii="Exo" w:hAnsi="Exo"/>
                <w:b/>
                <w:bCs/>
                <w:noProof/>
              </w:rPr>
              <w:t>Referências</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_Toc189059210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8</w:t>
            </w:r>
            <w:r w:rsidR="00237A46" w:rsidRPr="00237A46">
              <w:rPr>
                <w:rStyle w:val="Hyperlink"/>
                <w:rFonts w:ascii="Exo" w:hAnsi="Exo"/>
                <w:b/>
                <w:bCs/>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A5259C" w:rsidRDefault="00A80BE7" w:rsidP="00A5259C">
      <w:pPr>
        <w:pStyle w:val="Ttulo1"/>
        <w:spacing w:after="200" w:line="360" w:lineRule="auto"/>
        <w:jc w:val="center"/>
        <w:rPr>
          <w:rFonts w:ascii="Exo" w:hAnsi="Exo"/>
          <w:b/>
          <w:bCs/>
          <w:color w:val="auto"/>
        </w:rPr>
      </w:pPr>
      <w:bookmarkStart w:id="0" w:name="_Toc189059207"/>
      <w:r w:rsidRPr="004B2078">
        <w:rPr>
          <w:rFonts w:ascii="Exo" w:hAnsi="Exo"/>
          <w:b/>
          <w:bCs/>
          <w:color w:val="auto"/>
        </w:rPr>
        <w:lastRenderedPageBreak/>
        <w:t>Introdução</w:t>
      </w:r>
      <w:bookmarkEnd w:id="0"/>
    </w:p>
    <w:p w14:paraId="3F652333" w14:textId="77777777" w:rsidR="00A5259C" w:rsidRPr="004C586F" w:rsidRDefault="00A5259C" w:rsidP="00A5259C">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CD8976CD32C247B28A34B0A6FCF49638"/>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26044374" w14:textId="77777777" w:rsidR="00A5259C" w:rsidRPr="00971322" w:rsidRDefault="00A5259C" w:rsidP="00A5259C">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41E217729324151AB5D51B561A26422"/>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41E217729324151AB5D51B561A26422"/>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3F7B6EEF" w14:textId="218178C5" w:rsidR="008B402E" w:rsidRDefault="00D36EEF" w:rsidP="00537021">
      <w:pPr>
        <w:pStyle w:val="SemEspaamento"/>
        <w:spacing w:after="200" w:line="360" w:lineRule="auto"/>
        <w:ind w:firstLine="851"/>
        <w:jc w:val="both"/>
        <w:rPr>
          <w:rFonts w:ascii="Exo" w:hAnsi="Exo"/>
          <w:sz w:val="20"/>
          <w:szCs w:val="20"/>
        </w:rPr>
      </w:pPr>
      <w:r w:rsidRPr="004B2078">
        <w:rPr>
          <w:rFonts w:ascii="Exo" w:hAnsi="Exo"/>
          <w:sz w:val="20"/>
          <w:szCs w:val="20"/>
        </w:rPr>
        <w:t>Neste documento descrevemos os processos executados para construção do indicador</w:t>
      </w:r>
      <w:r w:rsidR="00E47210" w:rsidRPr="004B2078">
        <w:rPr>
          <w:rFonts w:ascii="Exo" w:hAnsi="Exo"/>
          <w:sz w:val="20"/>
          <w:szCs w:val="20"/>
        </w:rPr>
        <w:t xml:space="preserve"> </w:t>
      </w:r>
      <w:r w:rsidR="008B402E">
        <w:rPr>
          <w:rFonts w:ascii="Exo" w:hAnsi="Exo"/>
          <w:sz w:val="20"/>
          <w:szCs w:val="20"/>
        </w:rPr>
        <w:t>Taxa de mortalidade por homicídios. Este é</w:t>
      </w:r>
      <w:r w:rsidR="008B402E" w:rsidRPr="008B402E">
        <w:rPr>
          <w:rFonts w:ascii="Exo" w:hAnsi="Exo"/>
          <w:sz w:val="20"/>
          <w:szCs w:val="20"/>
        </w:rPr>
        <w:t xml:space="preserve"> um indicador </w:t>
      </w:r>
      <w:r w:rsidR="008B402E">
        <w:rPr>
          <w:rFonts w:ascii="Exo" w:hAnsi="Exo"/>
          <w:sz w:val="20"/>
          <w:szCs w:val="20"/>
        </w:rPr>
        <w:t>importante</w:t>
      </w:r>
      <w:r w:rsidR="008B402E" w:rsidRPr="008B402E">
        <w:rPr>
          <w:rFonts w:ascii="Exo" w:hAnsi="Exo"/>
          <w:sz w:val="20"/>
          <w:szCs w:val="20"/>
        </w:rPr>
        <w:t xml:space="preserv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EndPr/>
        <w:sdtContent>
          <w:r w:rsidR="00A85C62">
            <w:rPr>
              <w:rFonts w:ascii="Exo" w:hAnsi="Exo"/>
              <w:color w:val="000000"/>
              <w:sz w:val="20"/>
              <w:szCs w:val="20"/>
              <w:vertAlign w:val="superscript"/>
            </w:rPr>
            <w:t>7</w:t>
          </w:r>
        </w:sdtContent>
      </w:sdt>
      <w:r w:rsidR="00A85C62" w:rsidRPr="00CC6F62">
        <w:rPr>
          <w:rFonts w:ascii="Exo" w:hAnsi="Exo"/>
          <w:sz w:val="20"/>
          <w:szCs w:val="20"/>
        </w:rPr>
        <w:t>.</w:t>
      </w:r>
    </w:p>
    <w:p w14:paraId="00B525C2" w14:textId="04693065" w:rsidR="00D36EEF" w:rsidRPr="004B2078" w:rsidRDefault="008B402E" w:rsidP="00A5259C">
      <w:pPr>
        <w:pStyle w:val="SemEspaamento"/>
        <w:spacing w:after="200" w:line="360" w:lineRule="auto"/>
        <w:ind w:firstLine="851"/>
        <w:jc w:val="both"/>
        <w:rPr>
          <w:rFonts w:ascii="Exo" w:hAnsi="Exo"/>
          <w:sz w:val="20"/>
          <w:szCs w:val="20"/>
        </w:rPr>
      </w:pPr>
      <w:r w:rsidRPr="008B402E">
        <w:rPr>
          <w:rFonts w:ascii="Exo" w:hAnsi="Exo"/>
          <w:sz w:val="20"/>
          <w:szCs w:val="20"/>
        </w:rPr>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EndPr/>
        <w:sdtContent>
          <w:r w:rsidR="00A85C62">
            <w:rPr>
              <w:rFonts w:ascii="Exo" w:hAnsi="Exo"/>
              <w:color w:val="000000"/>
              <w:sz w:val="20"/>
              <w:szCs w:val="20"/>
              <w:vertAlign w:val="superscript"/>
            </w:rPr>
            <w:t>8</w:t>
          </w:r>
        </w:sdtContent>
      </w:sdt>
      <w:r w:rsidR="00A85C62" w:rsidRPr="00CC6F62">
        <w:rPr>
          <w:rFonts w:ascii="Exo" w:hAnsi="Exo"/>
          <w:sz w:val="20"/>
          <w:szCs w:val="20"/>
        </w:rPr>
        <w:t>.</w:t>
      </w:r>
    </w:p>
    <w:p w14:paraId="47B613FC" w14:textId="061C49F1" w:rsidR="00A5259C" w:rsidRPr="00A5259C" w:rsidRDefault="00A5259C" w:rsidP="00A5259C">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 </w:t>
      </w:r>
      <w:r w:rsidRPr="00DD1CD5">
        <w:rPr>
          <w:rFonts w:ascii="Exo" w:hAnsi="Exo"/>
          <w:sz w:val="20"/>
          <w:szCs w:val="20"/>
        </w:rPr>
        <w:t>A seção subsequente traz um exemplo de aplicação do indicador para um recorte d</w:t>
      </w:r>
      <w:r w:rsidR="00DD1CD5" w:rsidRPr="00DD1CD5">
        <w:rPr>
          <w:rFonts w:ascii="Exo" w:hAnsi="Exo"/>
          <w:sz w:val="20"/>
          <w:szCs w:val="20"/>
        </w:rPr>
        <w:t xml:space="preserve">as taxas de homicídios nas </w:t>
      </w:r>
      <w:r w:rsidRPr="00DD1CD5">
        <w:rPr>
          <w:rFonts w:ascii="Exo" w:hAnsi="Exo"/>
          <w:sz w:val="20"/>
          <w:szCs w:val="20"/>
        </w:rPr>
        <w:t>regiões do Brasil.</w:t>
      </w:r>
      <w:r>
        <w:rPr>
          <w:rFonts w:ascii="Exo" w:hAnsi="Exo"/>
          <w:b/>
          <w:bCs/>
        </w:rPr>
        <w:br w:type="page"/>
      </w:r>
    </w:p>
    <w:p w14:paraId="2598DBCA" w14:textId="77777777" w:rsidR="00A5259C" w:rsidRPr="00901191" w:rsidRDefault="00A5259C" w:rsidP="00A5259C">
      <w:pPr>
        <w:pStyle w:val="Ttulo1"/>
        <w:spacing w:after="200" w:line="360" w:lineRule="auto"/>
        <w:jc w:val="center"/>
        <w:rPr>
          <w:rFonts w:ascii="Exo" w:hAnsi="Exo"/>
          <w:b/>
          <w:bCs/>
          <w:color w:val="auto"/>
        </w:rPr>
      </w:pPr>
      <w:bookmarkStart w:id="3" w:name="_Toc188949654"/>
      <w:bookmarkStart w:id="4" w:name="_Toc188974603"/>
      <w:bookmarkStart w:id="5" w:name="_Toc189059208"/>
      <w:r w:rsidRPr="00A440DB">
        <w:rPr>
          <w:rFonts w:ascii="Exo" w:hAnsi="Exo"/>
          <w:b/>
          <w:bCs/>
          <w:color w:val="auto"/>
        </w:rPr>
        <w:lastRenderedPageBreak/>
        <w:t>Ficha de qualificação do indicador</w:t>
      </w:r>
      <w:bookmarkEnd w:id="3"/>
      <w:bookmarkEnd w:id="4"/>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4B2078" w:rsidRDefault="004B2078" w:rsidP="00267B70">
            <w:pPr>
              <w:pStyle w:val="QuadrosFiguras1"/>
              <w:spacing w:before="60" w:after="60" w:line="240" w:lineRule="auto"/>
              <w:jc w:val="left"/>
              <w:rPr>
                <w:rFonts w:ascii="Exo" w:hAnsi="Exo"/>
                <w:sz w:val="22"/>
                <w:szCs w:val="24"/>
              </w:rPr>
            </w:pPr>
            <w:bookmarkStart w:id="6" w:name="_Hlk179444991"/>
            <w:r w:rsidRPr="004B207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4B2078">
              <w:rPr>
                <w:rFonts w:ascii="Exo" w:hAnsi="Exo"/>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4B2078" w:rsidRDefault="004B2078" w:rsidP="00267B70">
            <w:pPr>
              <w:spacing w:before="60" w:after="60"/>
              <w:rPr>
                <w:rFonts w:ascii="Exo" w:hAnsi="Exo"/>
                <w:b/>
                <w:bCs/>
                <w:color w:val="FFFFFF" w:themeColor="background1"/>
                <w:szCs w:val="24"/>
              </w:rPr>
            </w:pPr>
            <w:r w:rsidRPr="004B207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4B2078" w:rsidRDefault="004B2078" w:rsidP="00267B70">
            <w:pPr>
              <w:spacing w:before="60" w:after="60"/>
              <w:rPr>
                <w:rFonts w:ascii="Exo" w:hAnsi="Exo"/>
                <w:sz w:val="20"/>
              </w:rPr>
            </w:pPr>
            <w:r w:rsidRPr="004B2078">
              <w:rPr>
                <w:rFonts w:ascii="Exo" w:hAnsi="Exo"/>
                <w:sz w:val="20"/>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Sistema de Informação sobre Mortalidade (SIM-DO) e</w:t>
            </w:r>
          </w:p>
          <w:p w14:paraId="2FA55E5E" w14:textId="18075159" w:rsidR="004B2078" w:rsidRPr="004B2078" w:rsidRDefault="004B2078" w:rsidP="00267B70">
            <w:pPr>
              <w:pStyle w:val="QuadrosFiguras1"/>
              <w:spacing w:before="60" w:after="60" w:line="240" w:lineRule="auto"/>
              <w:jc w:val="both"/>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Projeções populacionais da Secretaria de Vigilância em Saúde e Ambiente (SVSA)</w:t>
            </w:r>
          </w:p>
          <w:p w14:paraId="76220EDE"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 xml:space="preserve">Instituição: Ministério da Saúde, disponibilizado via </w:t>
            </w:r>
            <w:proofErr w:type="spellStart"/>
            <w:r w:rsidRPr="004B2078">
              <w:rPr>
                <w:rFonts w:ascii="Exo" w:hAnsi="Exo"/>
                <w:color w:val="auto"/>
              </w:rPr>
              <w:t>Datasus</w:t>
            </w:r>
            <w:proofErr w:type="spellEnd"/>
            <w:r w:rsidRPr="004B2078">
              <w:rPr>
                <w:rFonts w:ascii="Exo" w:hAnsi="Exo"/>
                <w:color w:val="auto"/>
              </w:rPr>
              <w:t>.</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4B2078" w:rsidRDefault="004B2078" w:rsidP="00267B70">
            <w:pPr>
              <w:spacing w:before="60" w:after="60"/>
              <w:jc w:val="both"/>
              <w:rPr>
                <w:rFonts w:ascii="Exo" w:hAnsi="Exo"/>
                <w:sz w:val="20"/>
              </w:rPr>
            </w:pPr>
            <w:r w:rsidRPr="004B2078">
              <w:rPr>
                <w:rFonts w:ascii="Exo" w:hAnsi="Exo"/>
                <w:sz w:val="20"/>
              </w:rPr>
              <w:t>Para acessar os dados de óbitos por homicídios filtrou-se a variável CAUSABAS do SIM-DO, com as seguintes categorias de Classificação Internacional de Doença (CID-10):</w:t>
            </w:r>
          </w:p>
          <w:p w14:paraId="175F9852"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Agressões (X85, X86, X87, X88, X89, X90, X91, X92, X93, X94, X95, X96, X97, X98, X99, Y00, Y01, Y02, Y03, Y04, Y05, Y06, Y07, Y08 e Y09);</w:t>
            </w:r>
          </w:p>
          <w:p w14:paraId="496346A6"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Arma de fogo (Y22, Y23 e Y24);</w:t>
            </w:r>
          </w:p>
          <w:p w14:paraId="009A2560"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Intervenção legal (Y35);</w:t>
            </w:r>
          </w:p>
          <w:p w14:paraId="349889E6" w14:textId="07835756"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Sequela de agressão (Y87</w:t>
            </w:r>
            <w:r w:rsidR="00D2458A">
              <w:rPr>
                <w:rFonts w:ascii="Exo" w:hAnsi="Exo"/>
                <w:sz w:val="20"/>
              </w:rPr>
              <w:t>.</w:t>
            </w:r>
            <w:r w:rsidRPr="004B2078">
              <w:rPr>
                <w:rFonts w:ascii="Exo" w:hAnsi="Exo"/>
                <w:sz w:val="20"/>
              </w:rPr>
              <w:t>1);</w:t>
            </w:r>
          </w:p>
          <w:p w14:paraId="21046053" w14:textId="6B92F561" w:rsidR="004B2078" w:rsidRPr="00267B70" w:rsidRDefault="004B2078" w:rsidP="00267B70">
            <w:pPr>
              <w:pStyle w:val="PargrafodaLista"/>
              <w:numPr>
                <w:ilvl w:val="0"/>
                <w:numId w:val="8"/>
              </w:numPr>
              <w:spacing w:before="60" w:after="60"/>
              <w:rPr>
                <w:rFonts w:ascii="Exo" w:hAnsi="Exo"/>
                <w:sz w:val="20"/>
              </w:rPr>
            </w:pPr>
            <w:r w:rsidRPr="004B2078">
              <w:rPr>
                <w:rFonts w:ascii="Exo" w:hAnsi="Exo"/>
                <w:sz w:val="20"/>
              </w:rPr>
              <w:t>Sequela por intervenção legal (Y89</w:t>
            </w:r>
            <w:r w:rsidR="00D2458A">
              <w:rPr>
                <w:rFonts w:ascii="Exo" w:hAnsi="Exo"/>
                <w:sz w:val="20"/>
              </w:rPr>
              <w:t>.</w:t>
            </w:r>
            <w:r w:rsidRPr="004B2078">
              <w:rPr>
                <w:rFonts w:ascii="Exo" w:hAnsi="Exo"/>
                <w:sz w:val="20"/>
              </w:rPr>
              <w:t xml:space="preserve">0) </w:t>
            </w:r>
          </w:p>
          <w:p w14:paraId="3FF01370" w14:textId="2D81A501" w:rsidR="004B2078" w:rsidRPr="004B2078" w:rsidRDefault="004B2078" w:rsidP="00267B70">
            <w:pPr>
              <w:spacing w:before="60" w:after="60"/>
              <w:jc w:val="both"/>
              <w:rPr>
                <w:rFonts w:ascii="Exo" w:hAnsi="Exo"/>
                <w:sz w:val="20"/>
              </w:rPr>
            </w:pPr>
            <w:r w:rsidRPr="004B2078">
              <w:rPr>
                <w:rFonts w:ascii="Exo" w:hAnsi="Exo"/>
                <w:sz w:val="20"/>
              </w:rPr>
              <w:t xml:space="preserve">Após isso, foi feito o somatório de homicídios por ano em cada município, resultando na variável </w:t>
            </w:r>
            <w:proofErr w:type="spellStart"/>
            <w:r w:rsidRPr="004B2078">
              <w:rPr>
                <w:rFonts w:ascii="Exo" w:hAnsi="Exo"/>
                <w:sz w:val="20"/>
              </w:rPr>
              <w:t>obitos_ano</w:t>
            </w:r>
            <w:proofErr w:type="spellEnd"/>
            <w:r w:rsidRPr="004B2078">
              <w:rPr>
                <w:rFonts w:ascii="Exo" w:hAnsi="Exo"/>
                <w:sz w:val="20"/>
              </w:rPr>
              <w:t xml:space="preserve">. A taxa foi calculada dividindo a variável </w:t>
            </w:r>
            <w:proofErr w:type="spellStart"/>
            <w:r w:rsidRPr="004B2078">
              <w:rPr>
                <w:rFonts w:ascii="Exo" w:hAnsi="Exo"/>
                <w:sz w:val="20"/>
              </w:rPr>
              <w:t>obitos_ano</w:t>
            </w:r>
            <w:proofErr w:type="spellEnd"/>
            <w:r w:rsidRPr="004B2078">
              <w:rPr>
                <w:rFonts w:ascii="Exo" w:hAnsi="Exo"/>
                <w:sz w:val="20"/>
              </w:rPr>
              <w:t xml:space="preserve"> pel</w:t>
            </w:r>
            <w:r w:rsidR="00D2458A">
              <w:rPr>
                <w:rFonts w:ascii="Exo" w:hAnsi="Exo"/>
                <w:sz w:val="20"/>
              </w:rPr>
              <w:t>a estimativa</w:t>
            </w:r>
            <w:r w:rsidRPr="004B2078">
              <w:rPr>
                <w:rFonts w:ascii="Exo" w:hAnsi="Exo"/>
                <w:sz w:val="20"/>
              </w:rPr>
              <w:t xml:space="preserve"> populacional de cada município e multiplicando o resultado da divisão por 100</w:t>
            </w:r>
            <w:r w:rsidR="0067746B">
              <w:rPr>
                <w:rFonts w:ascii="Exo" w:hAnsi="Exo"/>
                <w:sz w:val="20"/>
              </w:rPr>
              <w:t xml:space="preserve"> mil habitantes</w:t>
            </w:r>
            <w:r w:rsidRPr="004B2078">
              <w:rPr>
                <w:rFonts w:ascii="Exo" w:hAnsi="Exo"/>
                <w:sz w:val="20"/>
              </w:rPr>
              <w:t xml:space="preserve">. Dessa forma, é gerada a variável </w:t>
            </w:r>
            <w:proofErr w:type="spellStart"/>
            <w:r w:rsidRPr="004B2078">
              <w:rPr>
                <w:rFonts w:ascii="Exo" w:hAnsi="Exo"/>
                <w:sz w:val="20"/>
              </w:rPr>
              <w:t>taxa_homicidios_por_populacao</w:t>
            </w:r>
            <w:proofErr w:type="spellEnd"/>
            <w:r w:rsidRPr="004B2078">
              <w:rPr>
                <w:rFonts w:ascii="Exo" w:hAnsi="Exo"/>
                <w:sz w:val="20"/>
              </w:rPr>
              <w:t>.</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6D7A4B31" w:rsidR="004B2078" w:rsidRPr="00267B70" w:rsidRDefault="004B2078" w:rsidP="00267B70">
            <w:pPr>
              <w:spacing w:before="60" w:after="60"/>
              <w:jc w:val="center"/>
              <w:rPr>
                <w:rFonts w:ascii="Cambria Math" w:eastAsiaTheme="minorEastAsia" w:hAnsi="Cambria Math"/>
                <w:i/>
                <w:iCs/>
                <w:sz w:val="16"/>
                <w:szCs w:val="16"/>
              </w:rPr>
            </w:pPr>
            <m:oMathPara>
              <m:oMathParaPr>
                <m:jc m:val="center"/>
              </m:oMathParaPr>
              <m:oMath>
                <m:r>
                  <m:rPr>
                    <m:nor/>
                  </m:rPr>
                  <w:rPr>
                    <w:rFonts w:ascii="Cambria Math" w:eastAsia="Cambria Math" w:hAnsi="Cambria Math" w:cs="Cambria Math"/>
                    <w:i/>
                    <w:iCs/>
                    <w:sz w:val="20"/>
                    <w:szCs w:val="20"/>
                  </w:rPr>
                  <m:t>taxa de homicídios</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w:rPr>
                            <w:rFonts w:ascii="Cambria Math" w:eastAsia="Cambria Math" w:hAnsi="Cambria Math" w:cs="Cambria Math"/>
                            <w:sz w:val="20"/>
                            <w:szCs w:val="20"/>
                          </w:rPr>
                          <m:t>óbitos por ano</m:t>
                        </m:r>
                      </m:num>
                      <m:den>
                        <m:r>
                          <m:rPr>
                            <m:nor/>
                          </m:rPr>
                          <w:rPr>
                            <w:rFonts w:ascii="Cambria Math" w:eastAsia="Cambria Math" w:hAnsi="Cambria Math" w:cs="Cambria Math"/>
                            <w:i/>
                            <w:iCs/>
                            <w:sz w:val="20"/>
                            <w:szCs w:val="20"/>
                          </w:rPr>
                          <m:t>população</m:t>
                        </m:r>
                      </m:den>
                    </m:f>
                  </m:e>
                </m:d>
                <m:r>
                  <w:rPr>
                    <w:rFonts w:ascii="Cambria Math" w:eastAsia="Cambria Math" w:hAnsi="Cambria Math" w:cs="Cambria Math"/>
                    <w:sz w:val="20"/>
                    <w:szCs w:val="20"/>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4B2078" w:rsidRDefault="004B2078" w:rsidP="00267B70">
            <w:pPr>
              <w:pStyle w:val="QuadrosFiguras1"/>
              <w:spacing w:before="60" w:after="60" w:line="240" w:lineRule="auto"/>
              <w:jc w:val="both"/>
              <w:rPr>
                <w:rFonts w:ascii="Exo" w:hAnsi="Exo"/>
                <w:color w:val="auto"/>
              </w:rPr>
            </w:pPr>
            <w:r w:rsidRPr="004B2078">
              <w:rPr>
                <w:rFonts w:ascii="Exo" w:hAnsi="Exo"/>
                <w:color w:val="auto"/>
              </w:rPr>
              <w:t>Brasil, Região, Unidade</w:t>
            </w:r>
            <w:r w:rsidR="00A5259C">
              <w:rPr>
                <w:rFonts w:ascii="Exo" w:hAnsi="Exo"/>
                <w:color w:val="auto"/>
              </w:rPr>
              <w:t>s</w:t>
            </w:r>
            <w:r w:rsidRPr="004B2078">
              <w:rPr>
                <w:rFonts w:ascii="Exo" w:hAnsi="Exo"/>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4B2078" w:rsidRDefault="004B2078" w:rsidP="00267B70">
            <w:pPr>
              <w:pStyle w:val="QuadrosFiguras1"/>
              <w:spacing w:before="60" w:after="60" w:line="240" w:lineRule="auto"/>
              <w:jc w:val="both"/>
              <w:rPr>
                <w:rFonts w:ascii="Exo" w:hAnsi="Exo"/>
                <w:color w:val="auto"/>
              </w:rPr>
            </w:pPr>
            <w:r w:rsidRPr="004B2078">
              <w:rPr>
                <w:rFonts w:ascii="Exo" w:hAnsi="Exo"/>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4B2078" w:rsidRDefault="004B2078" w:rsidP="00267B70">
            <w:pPr>
              <w:spacing w:before="60" w:after="60"/>
              <w:jc w:val="both"/>
              <w:rPr>
                <w:rFonts w:ascii="Exo" w:hAnsi="Exo"/>
                <w:sz w:val="20"/>
              </w:rPr>
            </w:pPr>
            <w:r w:rsidRPr="004B2078">
              <w:rPr>
                <w:rFonts w:ascii="Exo" w:hAnsi="Exo"/>
                <w:sz w:val="20"/>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4B2078" w:rsidRDefault="0067746B" w:rsidP="007F38C0">
            <w:pPr>
              <w:spacing w:before="60" w:after="60"/>
              <w:rPr>
                <w:rFonts w:ascii="Exo" w:hAnsi="Exo"/>
                <w:sz w:val="20"/>
              </w:rPr>
            </w:pPr>
            <w:r w:rsidRPr="0067746B">
              <w:rPr>
                <w:rFonts w:ascii="Exo" w:hAnsi="Exo"/>
                <w:sz w:val="20"/>
              </w:rPr>
              <w:t xml:space="preserve">Nogueira MC, Costa ALS, Reis JLO, Pereira Í. </w:t>
            </w:r>
            <w:proofErr w:type="spellStart"/>
            <w:r w:rsidRPr="0067746B">
              <w:rPr>
                <w:rFonts w:ascii="Exo" w:hAnsi="Exo"/>
                <w:sz w:val="20"/>
              </w:rPr>
              <w:t>Association</w:t>
            </w:r>
            <w:proofErr w:type="spellEnd"/>
            <w:r w:rsidRPr="0067746B">
              <w:rPr>
                <w:rFonts w:ascii="Exo" w:hAnsi="Exo"/>
                <w:sz w:val="20"/>
              </w:rPr>
              <w:t xml:space="preserve"> </w:t>
            </w:r>
            <w:proofErr w:type="spellStart"/>
            <w:r w:rsidRPr="0067746B">
              <w:rPr>
                <w:rFonts w:ascii="Exo" w:hAnsi="Exo"/>
                <w:sz w:val="20"/>
              </w:rPr>
              <w:t>between</w:t>
            </w:r>
            <w:proofErr w:type="spellEnd"/>
            <w:r w:rsidRPr="0067746B">
              <w:rPr>
                <w:rFonts w:ascii="Exo" w:hAnsi="Exo"/>
                <w:sz w:val="20"/>
              </w:rPr>
              <w:t xml:space="preserve"> racial </w:t>
            </w:r>
            <w:proofErr w:type="spellStart"/>
            <w:r w:rsidRPr="0067746B">
              <w:rPr>
                <w:rFonts w:ascii="Exo" w:hAnsi="Exo"/>
                <w:sz w:val="20"/>
              </w:rPr>
              <w:t>residential</w:t>
            </w:r>
            <w:proofErr w:type="spellEnd"/>
            <w:r w:rsidRPr="0067746B">
              <w:rPr>
                <w:rFonts w:ascii="Exo" w:hAnsi="Exo"/>
                <w:sz w:val="20"/>
              </w:rPr>
              <w:t xml:space="preserve"> </w:t>
            </w:r>
            <w:proofErr w:type="spellStart"/>
            <w:r w:rsidRPr="0067746B">
              <w:rPr>
                <w:rFonts w:ascii="Exo" w:hAnsi="Exo"/>
                <w:sz w:val="20"/>
              </w:rPr>
              <w:t>segregation</w:t>
            </w:r>
            <w:proofErr w:type="spellEnd"/>
            <w:r w:rsidRPr="0067746B">
              <w:rPr>
                <w:rFonts w:ascii="Exo" w:hAnsi="Exo"/>
                <w:sz w:val="20"/>
              </w:rPr>
              <w:t xml:space="preserve"> </w:t>
            </w:r>
            <w:proofErr w:type="spellStart"/>
            <w:r w:rsidRPr="0067746B">
              <w:rPr>
                <w:rFonts w:ascii="Exo" w:hAnsi="Exo"/>
                <w:sz w:val="20"/>
              </w:rPr>
              <w:t>and</w:t>
            </w:r>
            <w:proofErr w:type="spellEnd"/>
            <w:r w:rsidRPr="0067746B">
              <w:rPr>
                <w:rFonts w:ascii="Exo" w:hAnsi="Exo"/>
                <w:sz w:val="20"/>
              </w:rPr>
              <w:t xml:space="preserve"> </w:t>
            </w:r>
            <w:proofErr w:type="spellStart"/>
            <w:r w:rsidRPr="0067746B">
              <w:rPr>
                <w:rFonts w:ascii="Exo" w:hAnsi="Exo"/>
                <w:sz w:val="20"/>
              </w:rPr>
              <w:t>homicide</w:t>
            </w:r>
            <w:proofErr w:type="spellEnd"/>
            <w:r w:rsidRPr="0067746B">
              <w:rPr>
                <w:rFonts w:ascii="Exo" w:hAnsi="Exo"/>
                <w:sz w:val="20"/>
              </w:rPr>
              <w:t xml:space="preserve"> </w:t>
            </w:r>
            <w:proofErr w:type="spellStart"/>
            <w:r w:rsidRPr="0067746B">
              <w:rPr>
                <w:rFonts w:ascii="Exo" w:hAnsi="Exo"/>
                <w:sz w:val="20"/>
              </w:rPr>
              <w:t>mortality</w:t>
            </w:r>
            <w:proofErr w:type="spellEnd"/>
            <w:r w:rsidRPr="0067746B">
              <w:rPr>
                <w:rFonts w:ascii="Exo" w:hAnsi="Exo"/>
                <w:sz w:val="20"/>
              </w:rPr>
              <w:t xml:space="preserve"> in </w:t>
            </w:r>
            <w:proofErr w:type="spellStart"/>
            <w:r w:rsidRPr="0067746B">
              <w:rPr>
                <w:rFonts w:ascii="Exo" w:hAnsi="Exo"/>
                <w:sz w:val="20"/>
              </w:rPr>
              <w:t>municipalities</w:t>
            </w:r>
            <w:proofErr w:type="spellEnd"/>
            <w:r w:rsidRPr="0067746B">
              <w:rPr>
                <w:rFonts w:ascii="Exo" w:hAnsi="Exo"/>
                <w:sz w:val="20"/>
              </w:rPr>
              <w:t xml:space="preserve"> in Minas Gerais, </w:t>
            </w:r>
            <w:proofErr w:type="spellStart"/>
            <w:r w:rsidRPr="0067746B">
              <w:rPr>
                <w:rFonts w:ascii="Exo" w:hAnsi="Exo"/>
                <w:sz w:val="20"/>
              </w:rPr>
              <w:t>Brazil</w:t>
            </w:r>
            <w:proofErr w:type="spellEnd"/>
            <w:r w:rsidRPr="0067746B">
              <w:rPr>
                <w:rFonts w:ascii="Exo" w:hAnsi="Exo"/>
                <w:sz w:val="20"/>
              </w:rPr>
              <w:t xml:space="preserve">. </w:t>
            </w:r>
            <w:proofErr w:type="spellStart"/>
            <w:r w:rsidRPr="0067746B">
              <w:rPr>
                <w:rFonts w:ascii="Exo" w:hAnsi="Exo"/>
                <w:sz w:val="20"/>
              </w:rPr>
              <w:t>Ciênc</w:t>
            </w:r>
            <w:proofErr w:type="spellEnd"/>
            <w:r w:rsidRPr="0067746B">
              <w:rPr>
                <w:rFonts w:ascii="Exo" w:hAnsi="Exo"/>
                <w:sz w:val="20"/>
              </w:rPr>
              <w:t xml:space="preserve"> Saúde Coletiva. </w:t>
            </w:r>
            <w:proofErr w:type="gramStart"/>
            <w:r w:rsidRPr="0067746B">
              <w:rPr>
                <w:rFonts w:ascii="Exo" w:hAnsi="Exo"/>
                <w:sz w:val="20"/>
              </w:rPr>
              <w:t>2022;27:3637</w:t>
            </w:r>
            <w:proofErr w:type="gramEnd"/>
            <w:r w:rsidRPr="0067746B">
              <w:rPr>
                <w:rFonts w:ascii="Exo" w:hAnsi="Exo"/>
                <w:sz w:val="20"/>
              </w:rPr>
              <w:t>-46.</w:t>
            </w:r>
          </w:p>
          <w:p w14:paraId="4B6D7945" w14:textId="541E7475" w:rsidR="004B2078" w:rsidRPr="004B2078" w:rsidRDefault="0067746B" w:rsidP="007F38C0">
            <w:pPr>
              <w:spacing w:before="60" w:after="60"/>
              <w:rPr>
                <w:rFonts w:ascii="Exo" w:hAnsi="Exo"/>
                <w:sz w:val="20"/>
              </w:rPr>
            </w:pPr>
            <w:r w:rsidRPr="0067746B">
              <w:rPr>
                <w:rFonts w:ascii="Exo" w:hAnsi="Exo"/>
                <w:sz w:val="20"/>
              </w:rPr>
              <w:t>Fórum Brasileiro de Segurança Pública. Anuário Brasileiro de Segurança Pública 2024. São Paulo: F</w:t>
            </w:r>
            <w:r>
              <w:rPr>
                <w:rFonts w:ascii="Exo" w:hAnsi="Exo"/>
                <w:sz w:val="20"/>
              </w:rPr>
              <w:t>BSP</w:t>
            </w:r>
            <w:r w:rsidRPr="0067746B">
              <w:rPr>
                <w:rFonts w:ascii="Exo" w:hAnsi="Exo"/>
                <w:sz w:val="20"/>
              </w:rPr>
              <w:t>; 2024.</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4B2078" w:rsidRDefault="004B2078" w:rsidP="00267B70">
            <w:pPr>
              <w:pStyle w:val="QuadrosFiguras1"/>
              <w:spacing w:before="60" w:after="60" w:line="240" w:lineRule="auto"/>
              <w:jc w:val="left"/>
              <w:rPr>
                <w:rFonts w:ascii="Exo" w:hAnsi="Exo"/>
                <w:b/>
                <w:bCs/>
                <w:color w:val="FFFFFF" w:themeColor="background1"/>
                <w:sz w:val="22"/>
                <w:szCs w:val="24"/>
              </w:rPr>
            </w:pPr>
            <w:r w:rsidRPr="004B207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77777777" w:rsidR="004B2078" w:rsidRPr="004B2078" w:rsidRDefault="004B2078" w:rsidP="00267B70">
            <w:pPr>
              <w:spacing w:before="60" w:after="60"/>
              <w:jc w:val="both"/>
              <w:rPr>
                <w:rFonts w:ascii="Exo" w:hAnsi="Exo"/>
                <w:sz w:val="20"/>
              </w:rPr>
            </w:pPr>
            <w:r w:rsidRPr="004B2078">
              <w:rPr>
                <w:rFonts w:ascii="Exo" w:hAnsi="Exo"/>
                <w:sz w:val="20"/>
              </w:rPr>
              <w:t xml:space="preserve">Este indicador quantifica um aspecto negativo para a saúde. Nesse sentido, menores valores indicam, menor incidência de óbitos causados por homicídio, ou seja, melhores os resultados. </w:t>
            </w:r>
          </w:p>
        </w:tc>
      </w:tr>
    </w:tbl>
    <w:bookmarkEnd w:id="6"/>
    <w:p w14:paraId="692F1BF2" w14:textId="4BBCB1C8" w:rsidR="00D07C92" w:rsidRPr="00A85C62" w:rsidRDefault="00A85C62" w:rsidP="00A85C62">
      <w:pPr>
        <w:spacing w:before="200" w:after="200" w:line="360" w:lineRule="auto"/>
        <w:ind w:firstLine="851"/>
        <w:jc w:val="both"/>
        <w:rPr>
          <w:rFonts w:ascii="Exo" w:hAnsi="Exo"/>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F5007BA" w14:textId="5B3A3B70" w:rsidR="00D07C92" w:rsidRPr="00A85C62" w:rsidRDefault="00D07C92" w:rsidP="00A85C62">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3C3485">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rPr>
        <w:drawing>
          <wp:inline distT="0" distB="0" distL="0" distR="0" wp14:anchorId="26176C5E" wp14:editId="0C08C676">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F862485" w14:textId="08EAF880" w:rsidR="00A85C62" w:rsidRPr="00A85C62" w:rsidRDefault="00D07C92" w:rsidP="00A85C62">
      <w:pPr>
        <w:pStyle w:val="PargrafodaLista"/>
        <w:ind w:left="0"/>
        <w:jc w:val="center"/>
        <w:rPr>
          <w:rFonts w:ascii="Exo" w:hAnsi="Exo"/>
        </w:rPr>
      </w:pPr>
      <w:r w:rsidRPr="00A85C62">
        <w:rPr>
          <w:rFonts w:ascii="Exo" w:hAnsi="Exo"/>
          <w:i/>
          <w:iCs/>
          <w:sz w:val="18"/>
          <w:szCs w:val="18"/>
        </w:rPr>
        <w:t>Fonte: elaborado pelos autores</w:t>
      </w:r>
      <w:bookmarkStart w:id="7" w:name="_Toc188974604"/>
      <w:r w:rsidR="00A85C62">
        <w:rPr>
          <w:rFonts w:ascii="Exo" w:hAnsi="Exo"/>
          <w:b/>
          <w:bCs/>
        </w:rPr>
        <w:br w:type="page"/>
      </w:r>
    </w:p>
    <w:p w14:paraId="7C4FB74C" w14:textId="419DD877" w:rsidR="00A85C62" w:rsidRPr="00D660A8" w:rsidRDefault="00A85C62" w:rsidP="00A85C62">
      <w:pPr>
        <w:pStyle w:val="Ttulo1"/>
        <w:spacing w:after="200" w:line="360" w:lineRule="auto"/>
        <w:jc w:val="center"/>
        <w:rPr>
          <w:rFonts w:ascii="Exo" w:hAnsi="Exo"/>
          <w:b/>
          <w:bCs/>
          <w:color w:val="auto"/>
        </w:rPr>
      </w:pPr>
      <w:bookmarkStart w:id="8" w:name="_Toc189059209"/>
      <w:r w:rsidRPr="00D660A8">
        <w:rPr>
          <w:rFonts w:ascii="Exo" w:hAnsi="Exo"/>
          <w:b/>
          <w:bCs/>
          <w:color w:val="auto"/>
        </w:rPr>
        <w:lastRenderedPageBreak/>
        <w:t>Exemplo de aplicação</w:t>
      </w:r>
      <w:bookmarkEnd w:id="7"/>
      <w:bookmarkEnd w:id="8"/>
    </w:p>
    <w:p w14:paraId="15E69159" w14:textId="19F71DE7" w:rsidR="00B400C6" w:rsidRPr="002E7BD9" w:rsidRDefault="00B400C6" w:rsidP="00B400C6">
      <w:pPr>
        <w:pStyle w:val="SemEspaamento"/>
        <w:spacing w:after="200" w:line="360" w:lineRule="auto"/>
        <w:ind w:firstLine="851"/>
        <w:jc w:val="both"/>
        <w:rPr>
          <w:rFonts w:ascii="Exo" w:hAnsi="Exo"/>
          <w:sz w:val="20"/>
          <w:szCs w:val="20"/>
        </w:rPr>
      </w:pPr>
      <w:r w:rsidRPr="00C2580E">
        <w:rPr>
          <w:rFonts w:ascii="Exo" w:hAnsi="Exo"/>
          <w:sz w:val="20"/>
          <w:szCs w:val="20"/>
        </w:rPr>
        <w:t xml:space="preserve">A Figura 2 ilustra a aplicação do indicador, apresentando a </w:t>
      </w:r>
      <w:r w:rsidR="00C2580E" w:rsidRPr="00C2580E">
        <w:rPr>
          <w:rFonts w:ascii="Exo" w:hAnsi="Exo"/>
          <w:sz w:val="20"/>
          <w:szCs w:val="20"/>
        </w:rPr>
        <w:t>taxa</w:t>
      </w:r>
      <w:r w:rsidRPr="00C2580E">
        <w:rPr>
          <w:rFonts w:ascii="Exo" w:hAnsi="Exo"/>
          <w:sz w:val="20"/>
          <w:szCs w:val="20"/>
        </w:rPr>
        <w:t xml:space="preserve"> de</w:t>
      </w:r>
      <w:r w:rsidR="00C2580E" w:rsidRPr="00C2580E">
        <w:rPr>
          <w:rFonts w:ascii="Exo" w:hAnsi="Exo"/>
          <w:sz w:val="20"/>
          <w:szCs w:val="20"/>
        </w:rPr>
        <w:t xml:space="preserve"> óbitos por homicídio por população </w:t>
      </w:r>
      <w:r w:rsidRPr="00C2580E">
        <w:rPr>
          <w:rFonts w:ascii="Exo" w:hAnsi="Exo"/>
          <w:sz w:val="20"/>
          <w:szCs w:val="20"/>
        </w:rPr>
        <w:t>nas regiões do Brasil em 202</w:t>
      </w:r>
      <w:r w:rsidR="00C2580E" w:rsidRPr="00C2580E">
        <w:rPr>
          <w:rFonts w:ascii="Exo" w:hAnsi="Exo"/>
          <w:sz w:val="20"/>
          <w:szCs w:val="20"/>
        </w:rPr>
        <w:t>3</w:t>
      </w:r>
      <w:r w:rsidRPr="00C2580E">
        <w:rPr>
          <w:rFonts w:ascii="Exo" w:hAnsi="Exo"/>
          <w:sz w:val="20"/>
          <w:szCs w:val="20"/>
        </w:rPr>
        <w:t xml:space="preserve">. Observa-se que as regiões </w:t>
      </w:r>
      <w:r w:rsidR="00C2580E" w:rsidRPr="00C2580E">
        <w:rPr>
          <w:rFonts w:ascii="Exo" w:hAnsi="Exo"/>
          <w:sz w:val="20"/>
          <w:szCs w:val="20"/>
        </w:rPr>
        <w:t xml:space="preserve">Nordeste e Norte </w:t>
      </w:r>
      <w:r w:rsidRPr="00C2580E">
        <w:rPr>
          <w:rFonts w:ascii="Exo" w:hAnsi="Exo"/>
          <w:sz w:val="20"/>
          <w:szCs w:val="20"/>
        </w:rPr>
        <w:t>apresentaram as maiores</w:t>
      </w:r>
      <w:r w:rsidR="00C2580E" w:rsidRPr="00C2580E">
        <w:rPr>
          <w:rFonts w:ascii="Exo" w:hAnsi="Exo"/>
          <w:sz w:val="20"/>
          <w:szCs w:val="20"/>
        </w:rPr>
        <w:t xml:space="preserve"> taxas</w:t>
      </w:r>
      <w:r w:rsidRPr="00C2580E">
        <w:rPr>
          <w:rFonts w:ascii="Exo" w:hAnsi="Exo"/>
          <w:sz w:val="20"/>
          <w:szCs w:val="20"/>
        </w:rPr>
        <w:t xml:space="preserve">, com </w:t>
      </w:r>
      <w:r w:rsidR="00C2580E" w:rsidRPr="00C2580E">
        <w:rPr>
          <w:rFonts w:ascii="Exo" w:hAnsi="Exo"/>
          <w:sz w:val="20"/>
          <w:szCs w:val="20"/>
        </w:rPr>
        <w:t>34,13</w:t>
      </w:r>
      <w:r w:rsidRPr="00C2580E">
        <w:rPr>
          <w:rFonts w:ascii="Exo" w:hAnsi="Exo"/>
          <w:sz w:val="20"/>
          <w:szCs w:val="20"/>
        </w:rPr>
        <w:t xml:space="preserve"> e </w:t>
      </w:r>
      <w:r w:rsidR="00C2580E" w:rsidRPr="00C2580E">
        <w:rPr>
          <w:rFonts w:ascii="Exo" w:hAnsi="Exo"/>
          <w:sz w:val="20"/>
          <w:szCs w:val="20"/>
        </w:rPr>
        <w:t>31,76</w:t>
      </w:r>
      <w:r w:rsidRPr="00C2580E">
        <w:rPr>
          <w:rFonts w:ascii="Exo" w:hAnsi="Exo"/>
          <w:sz w:val="20"/>
          <w:szCs w:val="20"/>
        </w:rPr>
        <w:t xml:space="preserve">, respectivamente. A menor </w:t>
      </w:r>
      <w:r w:rsidR="00C2580E" w:rsidRPr="00C2580E">
        <w:rPr>
          <w:rFonts w:ascii="Exo" w:hAnsi="Exo"/>
          <w:sz w:val="20"/>
          <w:szCs w:val="20"/>
        </w:rPr>
        <w:t>taxa</w:t>
      </w:r>
      <w:r w:rsidRPr="00C2580E">
        <w:rPr>
          <w:rFonts w:ascii="Exo" w:hAnsi="Exo"/>
          <w:sz w:val="20"/>
          <w:szCs w:val="20"/>
        </w:rPr>
        <w:t xml:space="preserve"> é observada na Região Sudeste, com </w:t>
      </w:r>
      <w:r w:rsidR="00C2580E" w:rsidRPr="00C2580E">
        <w:rPr>
          <w:rFonts w:ascii="Exo" w:hAnsi="Exo"/>
          <w:sz w:val="20"/>
          <w:szCs w:val="20"/>
        </w:rPr>
        <w:t>12,39</w:t>
      </w:r>
      <w:r w:rsidRPr="00C2580E">
        <w:rPr>
          <w:rFonts w:ascii="Exo" w:hAnsi="Exo"/>
          <w:sz w:val="20"/>
          <w:szCs w:val="20"/>
        </w:rPr>
        <w:t xml:space="preserve"> </w:t>
      </w:r>
      <w:r w:rsidR="00C2580E" w:rsidRPr="00C2580E">
        <w:rPr>
          <w:rFonts w:ascii="Exo" w:hAnsi="Exo"/>
          <w:sz w:val="20"/>
          <w:szCs w:val="20"/>
        </w:rPr>
        <w:t>óbitos</w:t>
      </w:r>
      <w:r w:rsidRPr="00C2580E">
        <w:rPr>
          <w:rFonts w:ascii="Exo" w:hAnsi="Exo"/>
          <w:sz w:val="20"/>
          <w:szCs w:val="20"/>
        </w:rPr>
        <w:t xml:space="preserve"> para cada 10</w:t>
      </w:r>
      <w:r w:rsidR="00C2580E" w:rsidRPr="00C2580E">
        <w:rPr>
          <w:rFonts w:ascii="Exo" w:hAnsi="Exo"/>
          <w:sz w:val="20"/>
          <w:szCs w:val="20"/>
        </w:rPr>
        <w:t>0</w:t>
      </w:r>
      <w:r w:rsidRPr="00C2580E">
        <w:rPr>
          <w:rFonts w:ascii="Exo" w:hAnsi="Exo"/>
          <w:sz w:val="20"/>
          <w:szCs w:val="20"/>
        </w:rPr>
        <w:t xml:space="preserve"> mil habitantes.</w:t>
      </w:r>
    </w:p>
    <w:p w14:paraId="4962B695" w14:textId="551839B4" w:rsidR="00B400C6" w:rsidRPr="00CE06B6" w:rsidRDefault="00B400C6" w:rsidP="00B400C6">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sidR="0011139F">
        <w:rPr>
          <w:rFonts w:ascii="Exo" w:hAnsi="Exo"/>
          <w:b/>
          <w:bCs/>
          <w:color w:val="auto"/>
        </w:rPr>
        <w:t>por regiões</w:t>
      </w:r>
    </w:p>
    <w:p w14:paraId="6B035542" w14:textId="30BCC683" w:rsidR="00B400C6" w:rsidRDefault="00DD1CD5" w:rsidP="00B400C6">
      <w:pPr>
        <w:pStyle w:val="NormalWeb"/>
        <w:spacing w:before="0" w:beforeAutospacing="0" w:after="0" w:afterAutospacing="0"/>
        <w:jc w:val="center"/>
      </w:pPr>
      <w:bookmarkStart w:id="9"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B400C6" w:rsidRDefault="00B400C6" w:rsidP="00B400C6">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3C1573BA" w14:textId="7438F216" w:rsidR="00A85C62" w:rsidRPr="00A85C62" w:rsidRDefault="009E5CEE" w:rsidP="00A85C62">
      <w:pPr>
        <w:pStyle w:val="SemEspaamento"/>
        <w:spacing w:line="360" w:lineRule="auto"/>
        <w:ind w:firstLine="851"/>
        <w:rPr>
          <w:rFonts w:ascii="Exo" w:hAnsi="Exo"/>
          <w:sz w:val="20"/>
          <w:szCs w:val="20"/>
        </w:rPr>
      </w:pPr>
      <w:r w:rsidRPr="004B2078">
        <w:rPr>
          <w:rFonts w:ascii="Exo" w:hAnsi="Exo"/>
          <w:sz w:val="20"/>
          <w:szCs w:val="20"/>
        </w:rPr>
        <w:t xml:space="preserve">Para acessar o link do código que resultou no mapa, clique </w:t>
      </w:r>
      <w:hyperlink r:id="rId17" w:history="1">
        <w:r w:rsidRPr="004B2078">
          <w:rPr>
            <w:rStyle w:val="Hyperlink"/>
            <w:rFonts w:ascii="Exo" w:hAnsi="Exo"/>
            <w:sz w:val="20"/>
            <w:szCs w:val="20"/>
          </w:rPr>
          <w:t>aqui</w:t>
        </w:r>
      </w:hyperlink>
      <w:r w:rsidRPr="004B2078">
        <w:rPr>
          <w:rFonts w:ascii="Exo" w:hAnsi="Exo"/>
          <w:sz w:val="20"/>
          <w:szCs w:val="20"/>
        </w:rPr>
        <w:t>.</w:t>
      </w:r>
      <w:bookmarkStart w:id="10" w:name="_Toc188974605"/>
      <w:r w:rsidR="00A85C62">
        <w:rPr>
          <w:rFonts w:ascii="Exo" w:hAnsi="Exo"/>
          <w:b/>
          <w:bCs/>
        </w:rPr>
        <w:br w:type="page"/>
      </w:r>
    </w:p>
    <w:p w14:paraId="4D07D22F" w14:textId="3833F39C" w:rsidR="00A85C62" w:rsidRPr="0011139F" w:rsidRDefault="00A85C62" w:rsidP="00A85C62">
      <w:pPr>
        <w:pStyle w:val="Ttulo1"/>
        <w:spacing w:after="200" w:line="360" w:lineRule="auto"/>
        <w:jc w:val="center"/>
        <w:divId w:val="344209817"/>
        <w:rPr>
          <w:rFonts w:ascii="Exo" w:hAnsi="Exo"/>
          <w:b/>
          <w:bCs/>
          <w:color w:val="auto"/>
          <w:lang w:val="en-US"/>
        </w:rPr>
      </w:pPr>
      <w:bookmarkStart w:id="11" w:name="_Toc189059210"/>
      <w:proofErr w:type="spellStart"/>
      <w:r w:rsidRPr="0011139F">
        <w:rPr>
          <w:rFonts w:ascii="Exo" w:hAnsi="Exo"/>
          <w:b/>
          <w:bCs/>
          <w:color w:val="auto"/>
          <w:lang w:val="en-US"/>
        </w:rPr>
        <w:lastRenderedPageBreak/>
        <w:t>Referências</w:t>
      </w:r>
      <w:bookmarkEnd w:id="10"/>
      <w:bookmarkEnd w:id="11"/>
      <w:proofErr w:type="spellEnd"/>
    </w:p>
    <w:sdt>
      <w:sdtPr>
        <w:rPr>
          <w:rFonts w:ascii="Exo" w:hAnsi="Exo"/>
          <w:color w:val="000000"/>
        </w:rPr>
        <w:tag w:val="MENDELEY_BIBLIOGRAPHY"/>
        <w:id w:val="951600538"/>
        <w:placeholder>
          <w:docPart w:val="DefaultPlaceholder_-1854013440"/>
        </w:placeholder>
      </w:sdtPr>
      <w:sdtEndPr/>
      <w:sdtContent>
        <w:p w14:paraId="73909BFC" w14:textId="77777777" w:rsidR="00A5259C" w:rsidRPr="00A5259C" w:rsidRDefault="00A5259C" w:rsidP="007F38C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DBD10A8" w14:textId="77777777" w:rsidR="00A5259C" w:rsidRPr="00A5259C" w:rsidRDefault="00A5259C" w:rsidP="007F38C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2934A51F" w14:textId="77777777" w:rsidR="00A5259C" w:rsidRDefault="00A5259C" w:rsidP="007F38C0">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3AF508E" w14:textId="77777777" w:rsidR="00A5259C" w:rsidRDefault="00A5259C" w:rsidP="007F38C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7B23D90" w14:textId="77777777" w:rsidR="00A5259C" w:rsidRPr="0011139F" w:rsidRDefault="00A5259C" w:rsidP="007F38C0">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11139F">
            <w:rPr>
              <w:rFonts w:ascii="Exo" w:eastAsia="Times New Roman" w:hAnsi="Exo"/>
              <w:color w:val="000000"/>
              <w:sz w:val="20"/>
              <w:szCs w:val="20"/>
              <w:lang w:val="en-US"/>
            </w:rPr>
            <w:t xml:space="preserve">Brasília: </w:t>
          </w:r>
          <w:proofErr w:type="spellStart"/>
          <w:r w:rsidRPr="0011139F">
            <w:rPr>
              <w:rFonts w:ascii="Exo" w:eastAsia="Times New Roman" w:hAnsi="Exo"/>
              <w:color w:val="000000"/>
              <w:sz w:val="20"/>
              <w:szCs w:val="20"/>
              <w:lang w:val="en-US"/>
            </w:rPr>
            <w:t>Editora</w:t>
          </w:r>
          <w:proofErr w:type="spellEnd"/>
          <w:r w:rsidRPr="0011139F">
            <w:rPr>
              <w:rFonts w:ascii="Exo" w:eastAsia="Times New Roman" w:hAnsi="Exo"/>
              <w:color w:val="000000"/>
              <w:sz w:val="20"/>
              <w:szCs w:val="20"/>
              <w:lang w:val="en-US"/>
            </w:rPr>
            <w:t xml:space="preserve"> MS; 2007.</w:t>
          </w:r>
        </w:p>
        <w:p w14:paraId="7BD37A1D" w14:textId="3ADB2342" w:rsidR="00A5259C" w:rsidRPr="00A5259C" w:rsidRDefault="00A5259C" w:rsidP="007F38C0">
          <w:pPr>
            <w:autoSpaceDE w:val="0"/>
            <w:autoSpaceDN w:val="0"/>
            <w:ind w:hanging="640"/>
            <w:divId w:val="344209817"/>
            <w:rPr>
              <w:rFonts w:ascii="Exo" w:eastAsia="Times New Roman" w:hAnsi="Exo"/>
              <w:color w:val="000000"/>
              <w:sz w:val="20"/>
              <w:szCs w:val="20"/>
            </w:rPr>
          </w:pPr>
          <w:r w:rsidRPr="0011139F">
            <w:rPr>
              <w:rFonts w:ascii="Exo" w:eastAsia="Times New Roman" w:hAnsi="Exo"/>
              <w:color w:val="000000"/>
              <w:sz w:val="20"/>
              <w:szCs w:val="20"/>
              <w:lang w:val="en-US"/>
            </w:rPr>
            <w:t xml:space="preserve">6. </w:t>
          </w:r>
          <w:r w:rsidRPr="0011139F">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406B42E7" w14:textId="77777777" w:rsidR="00A85C62" w:rsidRDefault="00666086" w:rsidP="007F38C0">
          <w:pPr>
            <w:autoSpaceDE w:val="0"/>
            <w:autoSpaceDN w:val="0"/>
            <w:ind w:hanging="640"/>
            <w:divId w:val="2052460715"/>
            <w:rPr>
              <w:rFonts w:ascii="Exo" w:eastAsia="Times New Roman" w:hAnsi="Exo"/>
              <w:color w:val="000000"/>
              <w:sz w:val="20"/>
              <w:szCs w:val="20"/>
            </w:rPr>
          </w:pPr>
          <w:r w:rsidRPr="004B2078">
            <w:rPr>
              <w:rFonts w:ascii="Exo" w:eastAsia="Times New Roman" w:hAnsi="Exo"/>
              <w:color w:val="000000"/>
              <w:sz w:val="20"/>
              <w:szCs w:val="20"/>
            </w:rPr>
            <w:t xml:space="preserve">7. </w:t>
          </w:r>
          <w:r w:rsidRPr="004B2078">
            <w:rPr>
              <w:rFonts w:ascii="Exo" w:eastAsia="Times New Roman" w:hAnsi="Exo"/>
              <w:color w:val="000000"/>
              <w:sz w:val="20"/>
              <w:szCs w:val="20"/>
            </w:rPr>
            <w:tab/>
          </w:r>
          <w:proofErr w:type="spellStart"/>
          <w:r w:rsidR="00A5259C" w:rsidRPr="00A5259C">
            <w:rPr>
              <w:rFonts w:ascii="Exo" w:eastAsia="Times New Roman" w:hAnsi="Exo"/>
              <w:color w:val="000000"/>
              <w:sz w:val="20"/>
              <w:szCs w:val="20"/>
            </w:rPr>
            <w:t>Luis</w:t>
          </w:r>
          <w:proofErr w:type="spellEnd"/>
          <w:r w:rsidR="00A5259C" w:rsidRPr="00A5259C">
            <w:rPr>
              <w:rFonts w:ascii="Exo" w:eastAsia="Times New Roman" w:hAnsi="Exo"/>
              <w:color w:val="000000"/>
              <w:sz w:val="20"/>
              <w:szCs w:val="20"/>
            </w:rPr>
            <w:t xml:space="preserve"> MA, </w:t>
          </w:r>
          <w:proofErr w:type="spellStart"/>
          <w:r w:rsidR="00A5259C" w:rsidRPr="00A5259C">
            <w:rPr>
              <w:rFonts w:ascii="Exo" w:eastAsia="Times New Roman" w:hAnsi="Exo"/>
              <w:color w:val="000000"/>
              <w:sz w:val="20"/>
              <w:szCs w:val="20"/>
            </w:rPr>
            <w:t>Fiorotti</w:t>
          </w:r>
          <w:proofErr w:type="spellEnd"/>
          <w:r w:rsidR="00A5259C" w:rsidRPr="00A5259C">
            <w:rPr>
              <w:rFonts w:ascii="Exo" w:eastAsia="Times New Roman" w:hAnsi="Exo"/>
              <w:color w:val="000000"/>
              <w:sz w:val="20"/>
              <w:szCs w:val="20"/>
            </w:rPr>
            <w:t xml:space="preserve"> KF, Ribeiro LEP, Leite FMC. Revisão sistemática sobre o impacto social e de saúde da violência doméstica para os adolescentes. </w:t>
          </w:r>
          <w:proofErr w:type="spellStart"/>
          <w:r w:rsidR="00A5259C" w:rsidRPr="00A5259C">
            <w:rPr>
              <w:rFonts w:ascii="Exo" w:eastAsia="Times New Roman" w:hAnsi="Exo"/>
              <w:color w:val="000000"/>
              <w:sz w:val="20"/>
              <w:szCs w:val="20"/>
            </w:rPr>
            <w:t>Rev</w:t>
          </w:r>
          <w:proofErr w:type="spellEnd"/>
          <w:r w:rsidR="00A5259C" w:rsidRPr="00A5259C">
            <w:rPr>
              <w:rFonts w:ascii="Exo" w:eastAsia="Times New Roman" w:hAnsi="Exo"/>
              <w:color w:val="000000"/>
              <w:sz w:val="20"/>
              <w:szCs w:val="20"/>
            </w:rPr>
            <w:t xml:space="preserve"> </w:t>
          </w:r>
          <w:proofErr w:type="spellStart"/>
          <w:r w:rsidR="00A5259C" w:rsidRPr="00A5259C">
            <w:rPr>
              <w:rFonts w:ascii="Exo" w:eastAsia="Times New Roman" w:hAnsi="Exo"/>
              <w:color w:val="000000"/>
              <w:sz w:val="20"/>
              <w:szCs w:val="20"/>
            </w:rPr>
            <w:t>Bras</w:t>
          </w:r>
          <w:proofErr w:type="spellEnd"/>
          <w:r w:rsidR="00A5259C" w:rsidRPr="00A5259C">
            <w:rPr>
              <w:rFonts w:ascii="Exo" w:eastAsia="Times New Roman" w:hAnsi="Exo"/>
              <w:color w:val="000000"/>
              <w:sz w:val="20"/>
              <w:szCs w:val="20"/>
            </w:rPr>
            <w:t xml:space="preserve"> </w:t>
          </w:r>
          <w:proofErr w:type="spellStart"/>
          <w:r w:rsidR="00A5259C" w:rsidRPr="00A5259C">
            <w:rPr>
              <w:rFonts w:ascii="Exo" w:eastAsia="Times New Roman" w:hAnsi="Exo"/>
              <w:color w:val="000000"/>
              <w:sz w:val="20"/>
              <w:szCs w:val="20"/>
            </w:rPr>
            <w:t>Pesq</w:t>
          </w:r>
          <w:proofErr w:type="spellEnd"/>
          <w:r w:rsidR="00A5259C" w:rsidRPr="00A5259C">
            <w:rPr>
              <w:rFonts w:ascii="Exo" w:eastAsia="Times New Roman" w:hAnsi="Exo"/>
              <w:color w:val="000000"/>
              <w:sz w:val="20"/>
              <w:szCs w:val="20"/>
            </w:rPr>
            <w:t xml:space="preserve"> Saúde. 2022;24(1):173-92.</w:t>
          </w:r>
        </w:p>
        <w:p w14:paraId="1AD0438A" w14:textId="0EBB3EF7" w:rsidR="0078205E" w:rsidRPr="00A85C62" w:rsidRDefault="00A85C62" w:rsidP="007F38C0">
          <w:pPr>
            <w:autoSpaceDE w:val="0"/>
            <w:autoSpaceDN w:val="0"/>
            <w:ind w:hanging="640"/>
            <w:divId w:val="2052460715"/>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proofErr w:type="spellStart"/>
          <w:r w:rsidRPr="00A85C62">
            <w:rPr>
              <w:rFonts w:ascii="Exo" w:eastAsia="Times New Roman" w:hAnsi="Exo"/>
              <w:color w:val="000000"/>
              <w:sz w:val="20"/>
              <w:szCs w:val="20"/>
            </w:rPr>
            <w:t>Minayo</w:t>
          </w:r>
          <w:proofErr w:type="spellEnd"/>
          <w:r w:rsidRPr="00A85C62">
            <w:rPr>
              <w:rFonts w:ascii="Exo" w:eastAsia="Times New Roman" w:hAnsi="Exo"/>
              <w:color w:val="000000"/>
              <w:sz w:val="20"/>
              <w:szCs w:val="20"/>
            </w:rPr>
            <w:t xml:space="preserve"> MCS. Violência social sob a perspectiva da saúde pública. </w:t>
          </w:r>
          <w:proofErr w:type="spellStart"/>
          <w:r w:rsidRPr="00A85C62">
            <w:rPr>
              <w:rFonts w:ascii="Exo" w:eastAsia="Times New Roman" w:hAnsi="Exo"/>
              <w:color w:val="000000"/>
              <w:sz w:val="20"/>
              <w:szCs w:val="20"/>
            </w:rPr>
            <w:t>Cad</w:t>
          </w:r>
          <w:proofErr w:type="spellEnd"/>
          <w:r w:rsidRPr="00A85C62">
            <w:rPr>
              <w:rFonts w:ascii="Exo" w:eastAsia="Times New Roman" w:hAnsi="Exo"/>
              <w:color w:val="000000"/>
              <w:sz w:val="20"/>
              <w:szCs w:val="20"/>
            </w:rPr>
            <w:t xml:space="preserve"> Saúde Pública. 1994;10(</w:t>
          </w:r>
          <w:proofErr w:type="spellStart"/>
          <w:r w:rsidRPr="00A85C62">
            <w:rPr>
              <w:rFonts w:ascii="Exo" w:eastAsia="Times New Roman" w:hAnsi="Exo"/>
              <w:color w:val="000000"/>
              <w:sz w:val="20"/>
              <w:szCs w:val="20"/>
            </w:rPr>
            <w:t>Suppl</w:t>
          </w:r>
          <w:proofErr w:type="spellEnd"/>
          <w:r w:rsidRPr="00A85C62">
            <w:rPr>
              <w:rFonts w:ascii="Exo" w:eastAsia="Times New Roman" w:hAnsi="Exo"/>
              <w:color w:val="000000"/>
              <w:sz w:val="20"/>
              <w:szCs w:val="20"/>
            </w:rPr>
            <w:t xml:space="preserve"> 1):S7-S18.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3A514" w14:textId="77777777" w:rsidR="00647B92" w:rsidRDefault="00647B92" w:rsidP="0078205E">
      <w:pPr>
        <w:spacing w:after="0" w:line="240" w:lineRule="auto"/>
      </w:pPr>
      <w:r>
        <w:separator/>
      </w:r>
    </w:p>
  </w:endnote>
  <w:endnote w:type="continuationSeparator" w:id="0">
    <w:p w14:paraId="7E81086B" w14:textId="77777777" w:rsidR="00647B92" w:rsidRDefault="00647B9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744F7" w14:textId="77777777" w:rsidR="00647B92" w:rsidRDefault="00647B92" w:rsidP="0078205E">
      <w:pPr>
        <w:spacing w:after="0" w:line="240" w:lineRule="auto"/>
      </w:pPr>
      <w:r>
        <w:separator/>
      </w:r>
    </w:p>
  </w:footnote>
  <w:footnote w:type="continuationSeparator" w:id="0">
    <w:p w14:paraId="16ED5EAE" w14:textId="77777777" w:rsidR="00647B92" w:rsidRDefault="00647B9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5B09"/>
    <w:rsid w:val="0003423A"/>
    <w:rsid w:val="00070E8E"/>
    <w:rsid w:val="000C3DF2"/>
    <w:rsid w:val="0011139F"/>
    <w:rsid w:val="00123142"/>
    <w:rsid w:val="001239B3"/>
    <w:rsid w:val="001D0EE0"/>
    <w:rsid w:val="00237A46"/>
    <w:rsid w:val="00255C97"/>
    <w:rsid w:val="00267B70"/>
    <w:rsid w:val="002826EF"/>
    <w:rsid w:val="002842F2"/>
    <w:rsid w:val="002D5D78"/>
    <w:rsid w:val="00397993"/>
    <w:rsid w:val="003C3485"/>
    <w:rsid w:val="003F6595"/>
    <w:rsid w:val="00496AA8"/>
    <w:rsid w:val="004A3585"/>
    <w:rsid w:val="004B2078"/>
    <w:rsid w:val="004C16F8"/>
    <w:rsid w:val="004C446E"/>
    <w:rsid w:val="004C52AF"/>
    <w:rsid w:val="004E0F3E"/>
    <w:rsid w:val="0051118D"/>
    <w:rsid w:val="00537021"/>
    <w:rsid w:val="005C3030"/>
    <w:rsid w:val="006447AB"/>
    <w:rsid w:val="00647B92"/>
    <w:rsid w:val="00666086"/>
    <w:rsid w:val="0067139C"/>
    <w:rsid w:val="0067746B"/>
    <w:rsid w:val="007607CD"/>
    <w:rsid w:val="0078205E"/>
    <w:rsid w:val="007D4698"/>
    <w:rsid w:val="007F38C0"/>
    <w:rsid w:val="00814305"/>
    <w:rsid w:val="008B03A0"/>
    <w:rsid w:val="008B402E"/>
    <w:rsid w:val="00923297"/>
    <w:rsid w:val="009D1150"/>
    <w:rsid w:val="009E5CEE"/>
    <w:rsid w:val="00A442E3"/>
    <w:rsid w:val="00A5259C"/>
    <w:rsid w:val="00A80101"/>
    <w:rsid w:val="00A80BE7"/>
    <w:rsid w:val="00A85C62"/>
    <w:rsid w:val="00A92A31"/>
    <w:rsid w:val="00B13018"/>
    <w:rsid w:val="00B24971"/>
    <w:rsid w:val="00B400C6"/>
    <w:rsid w:val="00B55CBE"/>
    <w:rsid w:val="00C05C2B"/>
    <w:rsid w:val="00C2580E"/>
    <w:rsid w:val="00C567EB"/>
    <w:rsid w:val="00CA4CA1"/>
    <w:rsid w:val="00D07C92"/>
    <w:rsid w:val="00D2458A"/>
    <w:rsid w:val="00D24869"/>
    <w:rsid w:val="00D36EEF"/>
    <w:rsid w:val="00D7294F"/>
    <w:rsid w:val="00D94AD2"/>
    <w:rsid w:val="00DC4785"/>
    <w:rsid w:val="00DD1CD5"/>
    <w:rsid w:val="00E47210"/>
    <w:rsid w:val="00E72E2A"/>
    <w:rsid w:val="00E91EB8"/>
    <w:rsid w:val="00EF252D"/>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3_taxa_homicidios/13_taxa_homicidi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D8976CD32C247B28A34B0A6FCF49638"/>
        <w:category>
          <w:name w:val="Geral"/>
          <w:gallery w:val="placeholder"/>
        </w:category>
        <w:types>
          <w:type w:val="bbPlcHdr"/>
        </w:types>
        <w:behaviors>
          <w:behavior w:val="content"/>
        </w:behaviors>
        <w:guid w:val="{A10523C5-18E9-46F9-91BC-C0DA0DC86C53}"/>
      </w:docPartPr>
      <w:docPartBody>
        <w:p w:rsidR="00423554" w:rsidRDefault="00AB2143" w:rsidP="00AB2143">
          <w:pPr>
            <w:pStyle w:val="CD8976CD32C247B28A34B0A6FCF49638"/>
          </w:pPr>
          <w:r w:rsidRPr="0031018C">
            <w:rPr>
              <w:rStyle w:val="TextodoEspaoReservado"/>
            </w:rPr>
            <w:t>Clique ou toque aqui para inserir o texto.</w:t>
          </w:r>
        </w:p>
      </w:docPartBody>
    </w:docPart>
    <w:docPart>
      <w:docPartPr>
        <w:name w:val="141E217729324151AB5D51B561A26422"/>
        <w:category>
          <w:name w:val="Geral"/>
          <w:gallery w:val="placeholder"/>
        </w:category>
        <w:types>
          <w:type w:val="bbPlcHdr"/>
        </w:types>
        <w:behaviors>
          <w:behavior w:val="content"/>
        </w:behaviors>
        <w:guid w:val="{657F30A5-B293-4FA3-B5B9-46E0B4EFFFED}"/>
      </w:docPartPr>
      <w:docPartBody>
        <w:p w:rsidR="00423554" w:rsidRDefault="00AB2143" w:rsidP="00AB2143">
          <w:pPr>
            <w:pStyle w:val="141E217729324151AB5D51B561A26422"/>
          </w:pPr>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423554"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423554" w:rsidRDefault="00AB2143" w:rsidP="00AB2143">
          <w:pPr>
            <w:pStyle w:val="83C0B6399802442197A82FFACFFA78C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C3DF2"/>
    <w:rsid w:val="001335BD"/>
    <w:rsid w:val="00201B4E"/>
    <w:rsid w:val="00227B0E"/>
    <w:rsid w:val="002C4FB5"/>
    <w:rsid w:val="00423554"/>
    <w:rsid w:val="00960FFC"/>
    <w:rsid w:val="009A2513"/>
    <w:rsid w:val="00A1533D"/>
    <w:rsid w:val="00A647F7"/>
    <w:rsid w:val="00AB2143"/>
    <w:rsid w:val="00AD778C"/>
    <w:rsid w:val="00AE103D"/>
    <w:rsid w:val="00BA0934"/>
    <w:rsid w:val="00DC4785"/>
    <w:rsid w:val="00E0066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B2143"/>
    <w:rPr>
      <w:color w:val="808080"/>
    </w:rPr>
  </w:style>
  <w:style w:type="paragraph" w:customStyle="1" w:styleId="CD8976CD32C247B28A34B0A6FCF49638">
    <w:name w:val="CD8976CD32C247B28A34B0A6FCF49638"/>
    <w:rsid w:val="00AB2143"/>
  </w:style>
  <w:style w:type="paragraph" w:customStyle="1" w:styleId="141E217729324151AB5D51B561A26422">
    <w:name w:val="141E217729324151AB5D51B561A26422"/>
    <w:rsid w:val="00AB2143"/>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1478</Words>
  <Characters>7982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22</cp:revision>
  <cp:lastPrinted>2025-01-30T00:19:00Z</cp:lastPrinted>
  <dcterms:created xsi:type="dcterms:W3CDTF">2024-11-06T13:59:00Z</dcterms:created>
  <dcterms:modified xsi:type="dcterms:W3CDTF">2025-01-30T00:19:00Z</dcterms:modified>
</cp:coreProperties>
</file>