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243FB526">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Default="00403B0E" w:rsidP="0078205E">
      <w:pPr>
        <w:pStyle w:val="Texto"/>
        <w:spacing w:after="0" w:line="240" w:lineRule="auto"/>
        <w:jc w:val="center"/>
        <w:rPr>
          <w:b/>
          <w:bCs/>
          <w:sz w:val="30"/>
          <w:szCs w:val="30"/>
        </w:rPr>
      </w:pPr>
      <w:r w:rsidRPr="00403B0E">
        <w:rPr>
          <w:b/>
          <w:bCs/>
          <w:sz w:val="30"/>
          <w:szCs w:val="30"/>
        </w:rPr>
        <w:lastRenderedPageBreak/>
        <w:t>RAZÃO DE EQUIPAMENTOS DE ODONTOLOGIA POR POPULAÇÃO</w:t>
      </w:r>
      <w:r w:rsidRPr="0079403A">
        <w:rPr>
          <w:b/>
          <w:bCs/>
          <w:sz w:val="30"/>
          <w:szCs w:val="30"/>
        </w:rPr>
        <w:t xml:space="preserve"> </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158485E" w:rsidR="0078205E" w:rsidRDefault="0079403A" w:rsidP="0079403A">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07FED655"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56712DA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4EF24BE5"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56684F"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389E009B" w:rsidR="00CE2F47" w:rsidRPr="00CE2F47" w:rsidRDefault="00D36EEF">
          <w:pPr>
            <w:pStyle w:val="Sumrio1"/>
            <w:tabs>
              <w:tab w:val="right" w:leader="dot" w:pos="9062"/>
            </w:tabs>
            <w:rPr>
              <w:rStyle w:val="Hyperlink"/>
              <w:rFonts w:ascii="Exo" w:hAnsi="Exo"/>
              <w:b/>
              <w:bCs/>
              <w:noProof/>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_Toc189068633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CC002D">
              <w:rPr>
                <w:rStyle w:val="Hyperlink"/>
                <w:rFonts w:ascii="Exo" w:hAnsi="Exo"/>
                <w:b/>
                <w:bCs/>
                <w:noProof/>
                <w:webHidden/>
              </w:rPr>
              <w:t>4</w:t>
            </w:r>
            <w:r w:rsidR="00CE2F47" w:rsidRPr="00CE2F47">
              <w:rPr>
                <w:rStyle w:val="Hyperlink"/>
                <w:rFonts w:ascii="Exo" w:hAnsi="Exo"/>
                <w:b/>
                <w:bCs/>
                <w:noProof/>
                <w:webHidden/>
              </w:rPr>
              <w:fldChar w:fldCharType="end"/>
            </w:r>
          </w:hyperlink>
        </w:p>
        <w:p w14:paraId="7C1F0AAC" w14:textId="6D253C9C" w:rsidR="00CE2F47" w:rsidRPr="00CE2F47" w:rsidRDefault="00A43008">
          <w:pPr>
            <w:pStyle w:val="Sumrio1"/>
            <w:tabs>
              <w:tab w:val="right" w:leader="dot" w:pos="9062"/>
            </w:tabs>
            <w:rPr>
              <w:rStyle w:val="Hyperlink"/>
              <w:rFonts w:ascii="Exo" w:hAnsi="Exo"/>
              <w:b/>
              <w:bCs/>
              <w:noProof/>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_Toc189068634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CC002D">
              <w:rPr>
                <w:rStyle w:val="Hyperlink"/>
                <w:rFonts w:ascii="Exo" w:hAnsi="Exo"/>
                <w:b/>
                <w:bCs/>
                <w:noProof/>
                <w:webHidden/>
              </w:rPr>
              <w:t>6</w:t>
            </w:r>
            <w:r w:rsidR="00CE2F47" w:rsidRPr="00CE2F47">
              <w:rPr>
                <w:rStyle w:val="Hyperlink"/>
                <w:rFonts w:ascii="Exo" w:hAnsi="Exo"/>
                <w:b/>
                <w:bCs/>
                <w:noProof/>
                <w:webHidden/>
              </w:rPr>
              <w:fldChar w:fldCharType="end"/>
            </w:r>
          </w:hyperlink>
        </w:p>
        <w:p w14:paraId="4DE96AEF" w14:textId="50F9A173" w:rsidR="00CE2F47" w:rsidRPr="00CE2F47" w:rsidRDefault="00A43008">
          <w:pPr>
            <w:pStyle w:val="Sumrio1"/>
            <w:tabs>
              <w:tab w:val="right" w:leader="dot" w:pos="9062"/>
            </w:tabs>
            <w:rPr>
              <w:rStyle w:val="Hyperlink"/>
              <w:rFonts w:ascii="Exo" w:hAnsi="Exo"/>
              <w:b/>
              <w:bCs/>
              <w:noProof/>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_Toc189068635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CC002D">
              <w:rPr>
                <w:rStyle w:val="Hyperlink"/>
                <w:rFonts w:ascii="Exo" w:hAnsi="Exo"/>
                <w:b/>
                <w:bCs/>
                <w:noProof/>
                <w:webHidden/>
              </w:rPr>
              <w:t>8</w:t>
            </w:r>
            <w:r w:rsidR="00CE2F47" w:rsidRPr="00CE2F47">
              <w:rPr>
                <w:rStyle w:val="Hyperlink"/>
                <w:rFonts w:ascii="Exo" w:hAnsi="Exo"/>
                <w:b/>
                <w:bCs/>
                <w:noProof/>
                <w:webHidden/>
              </w:rPr>
              <w:fldChar w:fldCharType="end"/>
            </w:r>
          </w:hyperlink>
        </w:p>
        <w:p w14:paraId="0EB84159" w14:textId="6BA4E237" w:rsidR="00CE2F47" w:rsidRPr="00CE2F47" w:rsidRDefault="00A43008">
          <w:pPr>
            <w:pStyle w:val="Sumrio1"/>
            <w:tabs>
              <w:tab w:val="right" w:leader="dot" w:pos="9062"/>
            </w:tabs>
            <w:rPr>
              <w:rStyle w:val="Hyperlink"/>
              <w:rFonts w:ascii="Exo" w:hAnsi="Exo"/>
              <w:b/>
              <w:bCs/>
              <w:noProof/>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_Toc189068636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CC002D">
              <w:rPr>
                <w:rStyle w:val="Hyperlink"/>
                <w:rFonts w:ascii="Exo" w:hAnsi="Exo"/>
                <w:b/>
                <w:bCs/>
                <w:noProof/>
                <w:webHidden/>
              </w:rPr>
              <w:t>9</w:t>
            </w:r>
            <w:r w:rsidR="00CE2F47" w:rsidRPr="00CE2F47">
              <w:rPr>
                <w:rStyle w:val="Hyperlink"/>
                <w:rFonts w:ascii="Exo" w:hAnsi="Exo"/>
                <w:b/>
                <w:bCs/>
                <w:noProof/>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79403A" w:rsidRDefault="00A80BE7" w:rsidP="0079403A">
      <w:pPr>
        <w:pStyle w:val="Ttulo1"/>
        <w:spacing w:after="200" w:line="360" w:lineRule="auto"/>
        <w:jc w:val="center"/>
        <w:rPr>
          <w:rFonts w:ascii="Exo" w:hAnsi="Exo"/>
          <w:b/>
          <w:bCs/>
          <w:color w:val="auto"/>
        </w:rPr>
      </w:pPr>
      <w:bookmarkStart w:id="0" w:name="_Toc189068633"/>
      <w:r w:rsidRPr="00685B3B">
        <w:rPr>
          <w:rFonts w:ascii="Exo" w:hAnsi="Exo"/>
          <w:b/>
          <w:bCs/>
          <w:color w:val="auto"/>
        </w:rPr>
        <w:lastRenderedPageBreak/>
        <w:t>Introdução</w:t>
      </w:r>
      <w:bookmarkEnd w:id="0"/>
    </w:p>
    <w:p w14:paraId="784CDAB1" w14:textId="77777777" w:rsidR="00322830" w:rsidRPr="00B56436" w:rsidRDefault="00322830" w:rsidP="00322830">
      <w:pPr>
        <w:pStyle w:val="SemEspaamento"/>
        <w:spacing w:line="360" w:lineRule="auto"/>
        <w:ind w:firstLine="851"/>
        <w:jc w:val="both"/>
        <w:rPr>
          <w:rFonts w:ascii="Exo" w:hAnsi="Exo"/>
          <w:sz w:val="24"/>
          <w:szCs w:val="24"/>
        </w:rPr>
      </w:pPr>
      <w:bookmarkStart w:id="1"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57EFD6AA32245A986A8FB29C24E2807"/>
          </w:placeholder>
        </w:sdtPr>
        <w:sdtContent>
          <w:r w:rsidRPr="00B56436">
            <w:rPr>
              <w:rFonts w:ascii="Exo" w:hAnsi="Exo"/>
              <w:sz w:val="24"/>
              <w:szCs w:val="24"/>
              <w:vertAlign w:val="superscript"/>
            </w:rPr>
            <w:t>1</w:t>
          </w:r>
        </w:sdtContent>
      </w:sdt>
      <w:r w:rsidRPr="00B56436">
        <w:rPr>
          <w:rFonts w:ascii="Exo" w:hAnsi="Exo"/>
          <w:sz w:val="24"/>
          <w:szCs w:val="24"/>
        </w:rPr>
        <w:t>.</w:t>
      </w:r>
    </w:p>
    <w:p w14:paraId="376EC338" w14:textId="77777777" w:rsidR="00322830" w:rsidRPr="00AA460F" w:rsidRDefault="00322830" w:rsidP="00322830">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D3EC1700CA34D1E8EBA007CCC4A7720"/>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D3EC1700CA34D1E8EBA007CCC4A7720"/>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6B024CEB" w14:textId="01F82190" w:rsidR="00181ED0" w:rsidRPr="00322830" w:rsidRDefault="00403B0E" w:rsidP="00322830">
      <w:pPr>
        <w:pStyle w:val="SemEspaamento"/>
        <w:spacing w:line="360" w:lineRule="auto"/>
        <w:ind w:firstLine="851"/>
        <w:jc w:val="both"/>
        <w:rPr>
          <w:rFonts w:ascii="Exo" w:hAnsi="Exo"/>
          <w:sz w:val="24"/>
          <w:szCs w:val="24"/>
        </w:rPr>
      </w:pPr>
      <w:r w:rsidRPr="00322830">
        <w:rPr>
          <w:rFonts w:ascii="Exo" w:hAnsi="Exo"/>
          <w:sz w:val="24"/>
          <w:szCs w:val="24"/>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r w:rsidR="00322830">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322830">
            <w:rPr>
              <w:rFonts w:ascii="Exo" w:hAnsi="Exo"/>
              <w:sz w:val="24"/>
              <w:szCs w:val="24"/>
              <w:vertAlign w:val="superscript"/>
            </w:rPr>
            <w:t>7</w:t>
          </w:r>
          <w:r w:rsidRPr="00322830">
            <w:rPr>
              <w:rFonts w:ascii="Exo" w:hAnsi="Exo"/>
              <w:sz w:val="24"/>
              <w:szCs w:val="24"/>
              <w:vertAlign w:val="superscript"/>
            </w:rPr>
            <w:t>,8</w:t>
          </w:r>
        </w:sdtContent>
      </w:sdt>
      <w:r w:rsidR="0019040D" w:rsidRPr="00322830">
        <w:rPr>
          <w:rFonts w:ascii="Exo" w:hAnsi="Exo"/>
          <w:sz w:val="24"/>
          <w:szCs w:val="24"/>
        </w:rPr>
        <w:t>.</w:t>
      </w:r>
    </w:p>
    <w:p w14:paraId="00B525C2" w14:textId="0F02ADB7" w:rsidR="00D36EEF" w:rsidRPr="00322830" w:rsidRDefault="00403B0E" w:rsidP="00322830">
      <w:pPr>
        <w:pStyle w:val="SemEspaamento"/>
        <w:spacing w:line="360" w:lineRule="auto"/>
        <w:ind w:firstLine="851"/>
        <w:jc w:val="both"/>
        <w:rPr>
          <w:rFonts w:ascii="Exo" w:hAnsi="Exo"/>
          <w:sz w:val="24"/>
          <w:szCs w:val="24"/>
        </w:rPr>
      </w:pPr>
      <w:r w:rsidRPr="00322830">
        <w:rPr>
          <w:rFonts w:ascii="Exo" w:hAnsi="Exo"/>
          <w:sz w:val="24"/>
          <w:szCs w:val="24"/>
        </w:rPr>
        <w:t>Uma maior razão de equipamentos de odontologia por população está associada a uma melhora nos índices de saúde bucal e na diminuição das desigualdades no acesso aos cuidados. Além disso, esse indicador pode fornecer informações cruciais para a alocação de investimentos em infraestrutura de saúde, especialmente em regiões com carência de recursos</w:t>
      </w:r>
      <w:r w:rsidR="00322830">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322830">
            <w:rPr>
              <w:rFonts w:ascii="Exo" w:hAnsi="Exo"/>
              <w:sz w:val="24"/>
              <w:szCs w:val="24"/>
              <w:vertAlign w:val="superscript"/>
            </w:rPr>
            <w:t>9</w:t>
          </w:r>
          <w:r w:rsidRPr="00322830">
            <w:rPr>
              <w:rFonts w:ascii="Exo" w:hAnsi="Exo"/>
              <w:sz w:val="24"/>
              <w:szCs w:val="24"/>
              <w:vertAlign w:val="superscript"/>
            </w:rPr>
            <w:t>,10</w:t>
          </w:r>
        </w:sdtContent>
      </w:sdt>
      <w:r w:rsidR="0019040D" w:rsidRPr="00322830">
        <w:rPr>
          <w:rFonts w:ascii="Exo" w:hAnsi="Exo"/>
          <w:sz w:val="24"/>
          <w:szCs w:val="24"/>
        </w:rPr>
        <w:t>.</w:t>
      </w:r>
    </w:p>
    <w:p w14:paraId="1412FE50" w14:textId="1E77FEAF" w:rsidR="003F6595" w:rsidRPr="0079403A" w:rsidRDefault="00322830" w:rsidP="0079403A">
      <w:pPr>
        <w:pStyle w:val="SemEspaamento"/>
        <w:spacing w:after="200"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Pr="00A46FC5">
        <w:rPr>
          <w:rFonts w:ascii="Exo" w:hAnsi="Exo"/>
          <w:sz w:val="24"/>
          <w:szCs w:val="24"/>
        </w:rPr>
        <w:t xml:space="preserve">A seção </w:t>
      </w:r>
      <w:r>
        <w:rPr>
          <w:rFonts w:ascii="Exo" w:hAnsi="Exo"/>
          <w:sz w:val="24"/>
          <w:szCs w:val="24"/>
        </w:rPr>
        <w:t>final</w:t>
      </w:r>
      <w:r w:rsidRPr="00A46FC5">
        <w:rPr>
          <w:rFonts w:ascii="Exo" w:hAnsi="Exo"/>
          <w:sz w:val="24"/>
          <w:szCs w:val="24"/>
        </w:rPr>
        <w:t xml:space="preserve"> </w:t>
      </w:r>
      <w:r w:rsidR="0079403A" w:rsidRPr="00322830">
        <w:rPr>
          <w:rFonts w:ascii="Exo" w:hAnsi="Exo"/>
          <w:sz w:val="24"/>
          <w:szCs w:val="24"/>
        </w:rPr>
        <w:t>traz um exemplo de aplicação do indicador para um recorte d</w:t>
      </w:r>
      <w:r w:rsidR="00591B54" w:rsidRPr="00322830">
        <w:rPr>
          <w:rFonts w:ascii="Exo" w:hAnsi="Exo"/>
          <w:sz w:val="24"/>
          <w:szCs w:val="24"/>
        </w:rPr>
        <w:t>as macrorregiões de saúde do Mato Grosso</w:t>
      </w:r>
      <w:r w:rsidR="0079403A" w:rsidRPr="00322830">
        <w:rPr>
          <w:rFonts w:ascii="Exo" w:hAnsi="Exo"/>
          <w:sz w:val="24"/>
          <w:szCs w:val="24"/>
        </w:rPr>
        <w:t>.</w:t>
      </w:r>
      <w:r w:rsidR="0079403A">
        <w:rPr>
          <w:rFonts w:ascii="Exo" w:hAnsi="Exo"/>
          <w:b/>
          <w:bCs/>
        </w:rPr>
        <w:br w:type="page"/>
      </w:r>
    </w:p>
    <w:p w14:paraId="5AD36D71" w14:textId="783F9E5D" w:rsidR="00685B3B" w:rsidRPr="0079403A" w:rsidRDefault="0079403A" w:rsidP="0079403A">
      <w:pPr>
        <w:pStyle w:val="Ttulo1"/>
        <w:spacing w:after="200" w:line="360" w:lineRule="auto"/>
        <w:jc w:val="center"/>
        <w:rPr>
          <w:rFonts w:ascii="Exo" w:hAnsi="Exo"/>
          <w:b/>
          <w:bCs/>
          <w:color w:val="auto"/>
        </w:rPr>
      </w:pPr>
      <w:bookmarkStart w:id="4" w:name="_Toc189068634"/>
      <w:r w:rsidRPr="00A440DB">
        <w:rPr>
          <w:rFonts w:ascii="Exo" w:hAnsi="Exo"/>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568A">
            <w:pPr>
              <w:spacing w:before="60" w:after="60"/>
              <w:rPr>
                <w:rFonts w:ascii="Exo" w:hAnsi="Exo"/>
                <w:b/>
                <w:bCs/>
                <w:szCs w:val="24"/>
              </w:rPr>
            </w:pPr>
            <w:r w:rsidRPr="00403B0E">
              <w:rPr>
                <w:rFonts w:ascii="Exo" w:hAnsi="Exo"/>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685B3B" w:rsidRDefault="007E568A" w:rsidP="007E568A">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7E568A" w:rsidRDefault="00403B0E" w:rsidP="007E568A">
            <w:pPr>
              <w:pStyle w:val="QuadrosFiguras1"/>
              <w:spacing w:before="60" w:after="60" w:line="240" w:lineRule="auto"/>
              <w:jc w:val="both"/>
              <w:rPr>
                <w:rFonts w:ascii="Exo" w:hAnsi="Exo"/>
                <w:color w:val="auto"/>
              </w:rPr>
            </w:pPr>
            <w:r w:rsidRPr="00403B0E">
              <w:rPr>
                <w:rFonts w:ascii="Exo" w:hAnsi="Exo"/>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2B7840" w:rsidRDefault="00403B0E" w:rsidP="002B7840">
            <w:pPr>
              <w:pStyle w:val="QuadrosFiguras1"/>
              <w:spacing w:before="60" w:after="60" w:line="240" w:lineRule="auto"/>
              <w:jc w:val="both"/>
              <w:rPr>
                <w:rFonts w:ascii="Exo" w:hAnsi="Exo"/>
                <w:color w:val="auto"/>
              </w:rPr>
            </w:pPr>
            <w:r w:rsidRPr="002B7840">
              <w:rPr>
                <w:rFonts w:ascii="Exo" w:hAnsi="Exo"/>
                <w:color w:val="auto"/>
              </w:rPr>
              <w:t>Número de equipamentos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Default="00685B3B" w:rsidP="007E568A">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002B7840" w:rsidRPr="002B7840">
              <w:rPr>
                <w:rFonts w:ascii="Exo" w:hAnsi="Exo"/>
                <w:color w:val="auto"/>
              </w:rPr>
              <w:t xml:space="preserve">Equipamentos </w:t>
            </w:r>
            <w:r w:rsidRPr="002F1090">
              <w:rPr>
                <w:rFonts w:ascii="Exo" w:hAnsi="Exo"/>
                <w:color w:val="auto"/>
              </w:rPr>
              <w:t>(CNES-</w:t>
            </w:r>
            <w:r w:rsidR="002B7840">
              <w:rPr>
                <w:rFonts w:ascii="Exo" w:hAnsi="Exo"/>
                <w:color w:val="auto"/>
              </w:rPr>
              <w:t>EQ</w:t>
            </w:r>
            <w:r w:rsidRPr="002F1090">
              <w:rPr>
                <w:rFonts w:ascii="Exo" w:hAnsi="Exo"/>
                <w:color w:val="auto"/>
              </w:rPr>
              <w:t>)</w:t>
            </w:r>
            <w:r w:rsidR="002B7840">
              <w:rPr>
                <w:rFonts w:ascii="Exo" w:hAnsi="Exo"/>
                <w:color w:val="auto"/>
              </w:rPr>
              <w:t xml:space="preserve"> e</w:t>
            </w:r>
          </w:p>
          <w:p w14:paraId="3B7ADD24" w14:textId="086D431F" w:rsidR="002B7840" w:rsidRPr="002F1090" w:rsidRDefault="002B7840" w:rsidP="007E568A">
            <w:pPr>
              <w:pStyle w:val="QuadrosFiguras1"/>
              <w:spacing w:before="60" w:after="60" w:line="240" w:lineRule="auto"/>
              <w:jc w:val="both"/>
              <w:rPr>
                <w:rFonts w:ascii="Exo" w:hAnsi="Exo"/>
                <w:color w:val="auto"/>
              </w:rPr>
            </w:pPr>
            <w:r w:rsidRPr="002B7840">
              <w:rPr>
                <w:rFonts w:ascii="Exo" w:hAnsi="Exo"/>
                <w:color w:val="auto"/>
              </w:rPr>
              <w:t>● Projeções de Populacionais da Secretaria de Vigilância em Saúde e Ambiente (SVSA)</w:t>
            </w:r>
          </w:p>
          <w:p w14:paraId="79685B9F" w14:textId="2562922A"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 xml:space="preserve">A variável CODEQUIPE, do CNES-EQ, foi utilizada para selecionar os seguintes equipamentos: </w:t>
            </w:r>
          </w:p>
          <w:p w14:paraId="032CA40E" w14:textId="4A7C9C89"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Equipamento odontológico completo (código 80);</w:t>
            </w:r>
          </w:p>
          <w:p w14:paraId="629E6CD9" w14:textId="4CA6A912"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Compressor odontológico (código 80);</w:t>
            </w:r>
          </w:p>
          <w:p w14:paraId="72C2B0C6" w14:textId="12286562" w:rsidR="002B7840" w:rsidRPr="002B7840" w:rsidRDefault="002B7840" w:rsidP="002B7840">
            <w:pPr>
              <w:pStyle w:val="QuadrosFiguras1"/>
              <w:numPr>
                <w:ilvl w:val="0"/>
                <w:numId w:val="9"/>
              </w:numPr>
              <w:spacing w:before="60" w:after="60" w:line="240" w:lineRule="auto"/>
              <w:jc w:val="both"/>
              <w:rPr>
                <w:rFonts w:ascii="Exo" w:hAnsi="Exo"/>
                <w:color w:val="auto"/>
              </w:rPr>
            </w:pPr>
            <w:proofErr w:type="spellStart"/>
            <w:r w:rsidRPr="002B7840">
              <w:rPr>
                <w:rFonts w:ascii="Exo" w:hAnsi="Exo"/>
                <w:color w:val="auto"/>
              </w:rPr>
              <w:t>Fotopolimerizador</w:t>
            </w:r>
            <w:proofErr w:type="spellEnd"/>
            <w:r w:rsidRPr="002B7840">
              <w:rPr>
                <w:rFonts w:ascii="Exo" w:hAnsi="Exo"/>
                <w:color w:val="auto"/>
              </w:rPr>
              <w:t xml:space="preserve"> (código 82);</w:t>
            </w:r>
          </w:p>
          <w:p w14:paraId="32049B02" w14:textId="75C060A1"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Caneta de alta rotação (código 83);</w:t>
            </w:r>
          </w:p>
          <w:p w14:paraId="75BB77F6" w14:textId="16046FFA"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Caneta de baixa rotação (código 84);</w:t>
            </w:r>
          </w:p>
          <w:p w14:paraId="33F60936" w14:textId="5259F77C"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Amalgamador (código 85);</w:t>
            </w:r>
          </w:p>
          <w:p w14:paraId="3E680624" w14:textId="77777777" w:rsidR="00685B3B"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Aparelho de profilaxia c/ jato de bicarbonato (código 86).</w:t>
            </w:r>
          </w:p>
          <w:p w14:paraId="6D2A9903" w14:textId="011B95D5"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 variável QT_EXIST, do CNES-EQ, possui a quantidade de equipamentos de cada tipo. Foi criada uma variável chamada “equipamento” que é o somatório dos equipamentos listados no tópico acima.</w:t>
            </w:r>
          </w:p>
          <w:p w14:paraId="47C123A1" w14:textId="7ECB19E3"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 xml:space="preserve">A variável IND_SUS e IND_NSUS, do CNES-EQ, foram empregadas para identificar os equipamentos vinculados ao Sistema Único de Saúde (SUS). </w:t>
            </w:r>
          </w:p>
          <w:p w14:paraId="67D11660" w14:textId="1989B052"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Sendo assim, foram coletados os quantitativos de equipamentos existentes no SUS (</w:t>
            </w:r>
            <w:proofErr w:type="spellStart"/>
            <w:r w:rsidRPr="002B7840">
              <w:rPr>
                <w:rFonts w:ascii="Exo" w:hAnsi="Exo"/>
                <w:color w:val="auto"/>
              </w:rPr>
              <w:t>qtd_equip_sus</w:t>
            </w:r>
            <w:proofErr w:type="spellEnd"/>
            <w:r w:rsidRPr="002B7840">
              <w:rPr>
                <w:rFonts w:ascii="Exo" w:hAnsi="Exo"/>
                <w:color w:val="auto"/>
              </w:rPr>
              <w:t>) e do quantitativo que não pertencia ao SUS (</w:t>
            </w:r>
            <w:proofErr w:type="spellStart"/>
            <w:r w:rsidRPr="002B7840">
              <w:rPr>
                <w:rFonts w:ascii="Exo" w:hAnsi="Exo"/>
                <w:color w:val="auto"/>
              </w:rPr>
              <w:t>qtd_equip_nao_sus</w:t>
            </w:r>
            <w:proofErr w:type="spellEnd"/>
            <w:r w:rsidRPr="002B7840">
              <w:rPr>
                <w:rFonts w:ascii="Exo" w:hAnsi="Exo"/>
                <w:color w:val="auto"/>
              </w:rPr>
              <w:t>).</w:t>
            </w:r>
          </w:p>
          <w:p w14:paraId="5B545337" w14:textId="2EE362EF"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 variável “</w:t>
            </w:r>
            <w:proofErr w:type="spellStart"/>
            <w:r w:rsidRPr="002B7840">
              <w:rPr>
                <w:rFonts w:ascii="Exo" w:hAnsi="Exo"/>
                <w:color w:val="auto"/>
              </w:rPr>
              <w:t>populacao</w:t>
            </w:r>
            <w:proofErr w:type="spellEnd"/>
            <w:r w:rsidRPr="002B7840">
              <w:rPr>
                <w:rFonts w:ascii="Exo" w:hAnsi="Exo"/>
                <w:color w:val="auto"/>
              </w:rPr>
              <w:t>”, da base de projeções populacionais da SVSA, foi usada para padronizar o quantitativo da população local.</w:t>
            </w:r>
          </w:p>
          <w:p w14:paraId="4A30B14B" w14:textId="01233441"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Por fim, é calculado a razão de equipamentos do SUS (</w:t>
            </w:r>
            <w:proofErr w:type="spellStart"/>
            <w:r w:rsidRPr="002B7840">
              <w:rPr>
                <w:rFonts w:ascii="Exo" w:hAnsi="Exo"/>
                <w:color w:val="auto"/>
              </w:rPr>
              <w:t>equip_pop_sus</w:t>
            </w:r>
            <w:proofErr w:type="spellEnd"/>
            <w:r w:rsidRPr="002B7840">
              <w:rPr>
                <w:rFonts w:ascii="Exo" w:hAnsi="Exo"/>
                <w:color w:val="auto"/>
              </w:rPr>
              <w:t>) e que não eram do SUS (</w:t>
            </w:r>
            <w:proofErr w:type="spellStart"/>
            <w:r w:rsidRPr="002B7840">
              <w:rPr>
                <w:rFonts w:ascii="Exo" w:hAnsi="Exo"/>
                <w:color w:val="auto"/>
              </w:rPr>
              <w:t>equip_pop_nao_sus</w:t>
            </w:r>
            <w:proofErr w:type="spellEnd"/>
            <w:r w:rsidRPr="002B7840">
              <w:rPr>
                <w:rFonts w:ascii="Exo" w:hAnsi="Exo"/>
                <w:color w:val="auto"/>
              </w:rPr>
              <w:t>)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2F1090" w:rsidRDefault="002B7840" w:rsidP="002B7840">
            <w:pPr>
              <w:spacing w:before="60" w:after="60"/>
              <w:ind w:right="-252"/>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razão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equipamentos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2F1090" w:rsidRDefault="002B7840" w:rsidP="007E568A">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8636846"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w:t>
            </w:r>
            <w:r w:rsidR="00322830">
              <w:rPr>
                <w:rFonts w:ascii="Exo" w:hAnsi="Exo"/>
                <w:b/>
                <w:bCs/>
                <w:color w:val="FFFFFF" w:themeColor="background1"/>
                <w:sz w:val="22"/>
                <w:szCs w:val="24"/>
              </w:rPr>
              <w:t xml:space="preserve"> </w:t>
            </w:r>
            <w:proofErr w:type="gramStart"/>
            <w:r w:rsidR="00322830">
              <w:rPr>
                <w:rFonts w:ascii="Exo" w:hAnsi="Exo"/>
                <w:b/>
                <w:bCs/>
                <w:color w:val="FFFFFF" w:themeColor="background1"/>
                <w:sz w:val="22"/>
                <w:szCs w:val="24"/>
              </w:rPr>
              <w:t xml:space="preserve">do </w:t>
            </w:r>
            <w:r w:rsidRPr="00685B3B">
              <w:rPr>
                <w:rFonts w:ascii="Exo" w:hAnsi="Exo"/>
                <w:b/>
                <w:bCs/>
                <w:color w:val="FFFFFF" w:themeColor="background1"/>
                <w:sz w:val="22"/>
                <w:szCs w:val="24"/>
              </w:rPr>
              <w:t xml:space="preserve"> indicador</w:t>
            </w:r>
            <w:proofErr w:type="gramEnd"/>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2F1090" w:rsidRDefault="002B7840" w:rsidP="007E568A">
            <w:pPr>
              <w:spacing w:before="60" w:after="60"/>
              <w:jc w:val="both"/>
              <w:rPr>
                <w:rFonts w:ascii="Exo" w:hAnsi="Exo"/>
                <w:sz w:val="20"/>
                <w:szCs w:val="20"/>
              </w:rPr>
            </w:pPr>
            <w:r w:rsidRPr="002B7840">
              <w:rPr>
                <w:rFonts w:ascii="Exo" w:hAnsi="Exo"/>
                <w:sz w:val="20"/>
                <w:szCs w:val="20"/>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510A2435" w:rsidR="00685B3B" w:rsidRPr="002F1090" w:rsidRDefault="002B7840" w:rsidP="007E568A">
            <w:pPr>
              <w:pStyle w:val="QuadrosFiguras1"/>
              <w:spacing w:before="60" w:after="60" w:line="240" w:lineRule="auto"/>
              <w:jc w:val="left"/>
              <w:rPr>
                <w:rFonts w:ascii="Exo" w:hAnsi="Exo"/>
                <w:color w:val="auto"/>
              </w:rPr>
            </w:pPr>
            <w:r w:rsidRPr="002B7840">
              <w:rPr>
                <w:rFonts w:ascii="Exo" w:hAnsi="Exo"/>
                <w:color w:val="auto"/>
              </w:rPr>
              <w:t>Competência de janeiro de cada ano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234D71E3" w14:textId="77777777" w:rsidR="00685B3B" w:rsidRDefault="00A5567B" w:rsidP="0019040D">
            <w:pPr>
              <w:pStyle w:val="QuadrosFiguras1"/>
              <w:spacing w:before="60" w:after="60" w:line="240" w:lineRule="auto"/>
              <w:jc w:val="left"/>
              <w:rPr>
                <w:rFonts w:ascii="Exo" w:hAnsi="Exo"/>
                <w:color w:val="auto"/>
                <w:lang w:val="en-US"/>
              </w:rPr>
            </w:pPr>
            <w:r w:rsidRPr="00A5567B">
              <w:rPr>
                <w:rFonts w:ascii="Exo" w:hAnsi="Exo"/>
                <w:color w:val="auto"/>
                <w:lang w:val="en-US"/>
              </w:rPr>
              <w:t xml:space="preserve">Neves M, </w:t>
            </w:r>
            <w:proofErr w:type="spellStart"/>
            <w:r w:rsidRPr="00A5567B">
              <w:rPr>
                <w:rFonts w:ascii="Exo" w:hAnsi="Exo"/>
                <w:color w:val="auto"/>
                <w:lang w:val="en-US"/>
              </w:rPr>
              <w:t>Giordani</w:t>
            </w:r>
            <w:proofErr w:type="spellEnd"/>
            <w:r w:rsidRPr="00A5567B">
              <w:rPr>
                <w:rFonts w:ascii="Exo" w:hAnsi="Exo"/>
                <w:color w:val="auto"/>
                <w:lang w:val="en-US"/>
              </w:rPr>
              <w:t xml:space="preserve"> JMA, Hugo FN. </w:t>
            </w:r>
            <w:proofErr w:type="spellStart"/>
            <w:r w:rsidRPr="00A5567B">
              <w:rPr>
                <w:rFonts w:ascii="Exo" w:hAnsi="Exo"/>
                <w:color w:val="auto"/>
                <w:lang w:val="en-US"/>
              </w:rPr>
              <w:t>Atenção</w:t>
            </w:r>
            <w:proofErr w:type="spellEnd"/>
            <w:r w:rsidRPr="00A5567B">
              <w:rPr>
                <w:rFonts w:ascii="Exo" w:hAnsi="Exo"/>
                <w:color w:val="auto"/>
                <w:lang w:val="en-US"/>
              </w:rPr>
              <w:t xml:space="preserve"> </w:t>
            </w:r>
            <w:proofErr w:type="spellStart"/>
            <w:r w:rsidRPr="00A5567B">
              <w:rPr>
                <w:rFonts w:ascii="Exo" w:hAnsi="Exo"/>
                <w:color w:val="auto"/>
                <w:lang w:val="en-US"/>
              </w:rPr>
              <w:t>primária</w:t>
            </w:r>
            <w:proofErr w:type="spellEnd"/>
            <w:r w:rsidRPr="00A5567B">
              <w:rPr>
                <w:rFonts w:ascii="Exo" w:hAnsi="Exo"/>
                <w:color w:val="auto"/>
                <w:lang w:val="en-US"/>
              </w:rPr>
              <w:t xml:space="preserve"> à </w:t>
            </w:r>
            <w:proofErr w:type="spellStart"/>
            <w:r w:rsidRPr="00A5567B">
              <w:rPr>
                <w:rFonts w:ascii="Exo" w:hAnsi="Exo"/>
                <w:color w:val="auto"/>
                <w:lang w:val="en-US"/>
              </w:rPr>
              <w:t>saúde</w:t>
            </w:r>
            <w:proofErr w:type="spellEnd"/>
            <w:r w:rsidRPr="00A5567B">
              <w:rPr>
                <w:rFonts w:ascii="Exo" w:hAnsi="Exo"/>
                <w:color w:val="auto"/>
                <w:lang w:val="en-US"/>
              </w:rPr>
              <w:t xml:space="preserve"> </w:t>
            </w:r>
            <w:proofErr w:type="spellStart"/>
            <w:r w:rsidRPr="00A5567B">
              <w:rPr>
                <w:rFonts w:ascii="Exo" w:hAnsi="Exo"/>
                <w:color w:val="auto"/>
                <w:lang w:val="en-US"/>
              </w:rPr>
              <w:t>bucal</w:t>
            </w:r>
            <w:proofErr w:type="spellEnd"/>
            <w:r w:rsidRPr="00A5567B">
              <w:rPr>
                <w:rFonts w:ascii="Exo" w:hAnsi="Exo"/>
                <w:color w:val="auto"/>
                <w:lang w:val="en-US"/>
              </w:rPr>
              <w:t xml:space="preserve"> no </w:t>
            </w:r>
            <w:proofErr w:type="spellStart"/>
            <w:r w:rsidRPr="00A5567B">
              <w:rPr>
                <w:rFonts w:ascii="Exo" w:hAnsi="Exo"/>
                <w:color w:val="auto"/>
                <w:lang w:val="en-US"/>
              </w:rPr>
              <w:t>Brasil</w:t>
            </w:r>
            <w:proofErr w:type="spellEnd"/>
            <w:r w:rsidRPr="00A5567B">
              <w:rPr>
                <w:rFonts w:ascii="Exo" w:hAnsi="Exo"/>
                <w:color w:val="auto"/>
                <w:lang w:val="en-US"/>
              </w:rPr>
              <w:t xml:space="preserve">: </w:t>
            </w:r>
            <w:proofErr w:type="spellStart"/>
            <w:r w:rsidRPr="00A5567B">
              <w:rPr>
                <w:rFonts w:ascii="Exo" w:hAnsi="Exo"/>
                <w:color w:val="auto"/>
                <w:lang w:val="en-US"/>
              </w:rPr>
              <w:t>processo</w:t>
            </w:r>
            <w:proofErr w:type="spellEnd"/>
            <w:r w:rsidRPr="00A5567B">
              <w:rPr>
                <w:rFonts w:ascii="Exo" w:hAnsi="Exo"/>
                <w:color w:val="auto"/>
                <w:lang w:val="en-US"/>
              </w:rPr>
              <w:t xml:space="preserve"> de </w:t>
            </w:r>
            <w:proofErr w:type="spellStart"/>
            <w:r w:rsidRPr="00A5567B">
              <w:rPr>
                <w:rFonts w:ascii="Exo" w:hAnsi="Exo"/>
                <w:color w:val="auto"/>
                <w:lang w:val="en-US"/>
              </w:rPr>
              <w:t>trabalho</w:t>
            </w:r>
            <w:proofErr w:type="spellEnd"/>
            <w:r w:rsidRPr="00A5567B">
              <w:rPr>
                <w:rFonts w:ascii="Exo" w:hAnsi="Exo"/>
                <w:color w:val="auto"/>
                <w:lang w:val="en-US"/>
              </w:rPr>
              <w:t xml:space="preserve"> das </w:t>
            </w:r>
            <w:proofErr w:type="spellStart"/>
            <w:r w:rsidRPr="00A5567B">
              <w:rPr>
                <w:rFonts w:ascii="Exo" w:hAnsi="Exo"/>
                <w:color w:val="auto"/>
                <w:lang w:val="en-US"/>
              </w:rPr>
              <w:t>equipes</w:t>
            </w:r>
            <w:proofErr w:type="spellEnd"/>
            <w:r w:rsidRPr="00A5567B">
              <w:rPr>
                <w:rFonts w:ascii="Exo" w:hAnsi="Exo"/>
                <w:color w:val="auto"/>
                <w:lang w:val="en-US"/>
              </w:rPr>
              <w:t xml:space="preserve"> de </w:t>
            </w:r>
            <w:proofErr w:type="spellStart"/>
            <w:r w:rsidRPr="00A5567B">
              <w:rPr>
                <w:rFonts w:ascii="Exo" w:hAnsi="Exo"/>
                <w:color w:val="auto"/>
                <w:lang w:val="en-US"/>
              </w:rPr>
              <w:t>saúde</w:t>
            </w:r>
            <w:proofErr w:type="spellEnd"/>
            <w:r w:rsidRPr="00A5567B">
              <w:rPr>
                <w:rFonts w:ascii="Exo" w:hAnsi="Exo"/>
                <w:color w:val="auto"/>
                <w:lang w:val="en-US"/>
              </w:rPr>
              <w:t xml:space="preserve"> </w:t>
            </w:r>
            <w:proofErr w:type="spellStart"/>
            <w:r w:rsidRPr="00A5567B">
              <w:rPr>
                <w:rFonts w:ascii="Exo" w:hAnsi="Exo"/>
                <w:color w:val="auto"/>
                <w:lang w:val="en-US"/>
              </w:rPr>
              <w:t>bucal</w:t>
            </w:r>
            <w:proofErr w:type="spellEnd"/>
            <w:r w:rsidRPr="00A5567B">
              <w:rPr>
                <w:rFonts w:ascii="Exo" w:hAnsi="Exo"/>
                <w:color w:val="auto"/>
                <w:lang w:val="en-US"/>
              </w:rPr>
              <w:t xml:space="preserve">. </w:t>
            </w:r>
            <w:proofErr w:type="spellStart"/>
            <w:r w:rsidRPr="00A5567B">
              <w:rPr>
                <w:rFonts w:ascii="Exo" w:hAnsi="Exo"/>
                <w:color w:val="auto"/>
                <w:lang w:val="en-US"/>
              </w:rPr>
              <w:t>Cien</w:t>
            </w:r>
            <w:proofErr w:type="spellEnd"/>
            <w:r w:rsidRPr="00A5567B">
              <w:rPr>
                <w:rFonts w:ascii="Exo" w:hAnsi="Exo"/>
                <w:color w:val="auto"/>
                <w:lang w:val="en-US"/>
              </w:rPr>
              <w:t xml:space="preserve"> </w:t>
            </w:r>
            <w:proofErr w:type="spellStart"/>
            <w:r w:rsidRPr="00A5567B">
              <w:rPr>
                <w:rFonts w:ascii="Exo" w:hAnsi="Exo"/>
                <w:color w:val="auto"/>
                <w:lang w:val="en-US"/>
              </w:rPr>
              <w:t>Saude</w:t>
            </w:r>
            <w:proofErr w:type="spellEnd"/>
            <w:r w:rsidRPr="00A5567B">
              <w:rPr>
                <w:rFonts w:ascii="Exo" w:hAnsi="Exo"/>
                <w:color w:val="auto"/>
                <w:lang w:val="en-US"/>
              </w:rPr>
              <w:t xml:space="preserve"> Colet. </w:t>
            </w:r>
            <w:proofErr w:type="gramStart"/>
            <w:r w:rsidRPr="00A5567B">
              <w:rPr>
                <w:rFonts w:ascii="Exo" w:hAnsi="Exo"/>
                <w:color w:val="auto"/>
                <w:lang w:val="en-US"/>
              </w:rPr>
              <w:t>2019;24:1809</w:t>
            </w:r>
            <w:proofErr w:type="gramEnd"/>
            <w:r w:rsidRPr="00A5567B">
              <w:rPr>
                <w:rFonts w:ascii="Exo" w:hAnsi="Exo"/>
                <w:color w:val="auto"/>
                <w:lang w:val="en-US"/>
              </w:rPr>
              <w:t>-20.</w:t>
            </w:r>
          </w:p>
          <w:p w14:paraId="05A5AF28" w14:textId="44DD4CEF" w:rsidR="00A5567B" w:rsidRPr="004F54DE" w:rsidRDefault="00A5567B" w:rsidP="0019040D">
            <w:pPr>
              <w:pStyle w:val="QuadrosFiguras1"/>
              <w:spacing w:before="60" w:after="60" w:line="240" w:lineRule="auto"/>
              <w:jc w:val="left"/>
              <w:rPr>
                <w:rFonts w:ascii="Exo" w:hAnsi="Exo"/>
                <w:color w:val="auto"/>
                <w:lang w:val="en-US"/>
              </w:rPr>
            </w:pPr>
            <w:proofErr w:type="spellStart"/>
            <w:r w:rsidRPr="00A5567B">
              <w:rPr>
                <w:rFonts w:ascii="Exo" w:hAnsi="Exo"/>
                <w:color w:val="auto"/>
                <w:lang w:val="en-US"/>
              </w:rPr>
              <w:t>Limão</w:t>
            </w:r>
            <w:proofErr w:type="spellEnd"/>
            <w:r w:rsidRPr="00A5567B">
              <w:rPr>
                <w:rFonts w:ascii="Exo" w:hAnsi="Exo"/>
                <w:color w:val="auto"/>
                <w:lang w:val="en-US"/>
              </w:rPr>
              <w:t xml:space="preserve"> NP, Ferreira JCC Filho, </w:t>
            </w:r>
            <w:proofErr w:type="spellStart"/>
            <w:r w:rsidRPr="00A5567B">
              <w:rPr>
                <w:rFonts w:ascii="Exo" w:hAnsi="Exo"/>
                <w:color w:val="auto"/>
                <w:lang w:val="en-US"/>
              </w:rPr>
              <w:t>Protásio</w:t>
            </w:r>
            <w:proofErr w:type="spellEnd"/>
            <w:r w:rsidRPr="00A5567B">
              <w:rPr>
                <w:rFonts w:ascii="Exo" w:hAnsi="Exo"/>
                <w:color w:val="auto"/>
                <w:lang w:val="en-US"/>
              </w:rPr>
              <w:t xml:space="preserve"> APL, Santiago BM, Gomes LB, Machado LS, et al. </w:t>
            </w:r>
            <w:proofErr w:type="spellStart"/>
            <w:r w:rsidRPr="00A5567B">
              <w:rPr>
                <w:rFonts w:ascii="Exo" w:hAnsi="Exo"/>
                <w:color w:val="auto"/>
                <w:lang w:val="en-US"/>
              </w:rPr>
              <w:t>Equipamentos</w:t>
            </w:r>
            <w:proofErr w:type="spellEnd"/>
            <w:r w:rsidRPr="00A5567B">
              <w:rPr>
                <w:rFonts w:ascii="Exo" w:hAnsi="Exo"/>
                <w:color w:val="auto"/>
                <w:lang w:val="en-US"/>
              </w:rPr>
              <w:t xml:space="preserve"> e </w:t>
            </w:r>
            <w:proofErr w:type="spellStart"/>
            <w:r w:rsidRPr="00A5567B">
              <w:rPr>
                <w:rFonts w:ascii="Exo" w:hAnsi="Exo"/>
                <w:color w:val="auto"/>
                <w:lang w:val="en-US"/>
              </w:rPr>
              <w:t>insumos</w:t>
            </w:r>
            <w:proofErr w:type="spellEnd"/>
            <w:r w:rsidRPr="00A5567B">
              <w:rPr>
                <w:rFonts w:ascii="Exo" w:hAnsi="Exo"/>
                <w:color w:val="auto"/>
                <w:lang w:val="en-US"/>
              </w:rPr>
              <w:t xml:space="preserve"> </w:t>
            </w:r>
            <w:proofErr w:type="spellStart"/>
            <w:r w:rsidRPr="00A5567B">
              <w:rPr>
                <w:rFonts w:ascii="Exo" w:hAnsi="Exo"/>
                <w:color w:val="auto"/>
                <w:lang w:val="en-US"/>
              </w:rPr>
              <w:t>odontológicos</w:t>
            </w:r>
            <w:proofErr w:type="spellEnd"/>
            <w:r w:rsidRPr="00A5567B">
              <w:rPr>
                <w:rFonts w:ascii="Exo" w:hAnsi="Exo"/>
                <w:color w:val="auto"/>
                <w:lang w:val="en-US"/>
              </w:rPr>
              <w:t xml:space="preserve"> e </w:t>
            </w:r>
            <w:proofErr w:type="spellStart"/>
            <w:r w:rsidRPr="00A5567B">
              <w:rPr>
                <w:rFonts w:ascii="Exo" w:hAnsi="Exo"/>
                <w:color w:val="auto"/>
                <w:lang w:val="en-US"/>
              </w:rPr>
              <w:t>sua</w:t>
            </w:r>
            <w:proofErr w:type="spellEnd"/>
            <w:r w:rsidRPr="00A5567B">
              <w:rPr>
                <w:rFonts w:ascii="Exo" w:hAnsi="Exo"/>
                <w:color w:val="auto"/>
                <w:lang w:val="en-US"/>
              </w:rPr>
              <w:t xml:space="preserve"> </w:t>
            </w:r>
            <w:proofErr w:type="spellStart"/>
            <w:r w:rsidRPr="00A5567B">
              <w:rPr>
                <w:rFonts w:ascii="Exo" w:hAnsi="Exo"/>
                <w:color w:val="auto"/>
                <w:lang w:val="en-US"/>
              </w:rPr>
              <w:t>relação</w:t>
            </w:r>
            <w:proofErr w:type="spellEnd"/>
            <w:r w:rsidRPr="00A5567B">
              <w:rPr>
                <w:rFonts w:ascii="Exo" w:hAnsi="Exo"/>
                <w:color w:val="auto"/>
                <w:lang w:val="en-US"/>
              </w:rPr>
              <w:t xml:space="preserve"> com as </w:t>
            </w:r>
            <w:proofErr w:type="spellStart"/>
            <w:r w:rsidRPr="00A5567B">
              <w:rPr>
                <w:rFonts w:ascii="Exo" w:hAnsi="Exo"/>
                <w:color w:val="auto"/>
                <w:lang w:val="en-US"/>
              </w:rPr>
              <w:t>unidades</w:t>
            </w:r>
            <w:proofErr w:type="spellEnd"/>
            <w:r w:rsidRPr="00A5567B">
              <w:rPr>
                <w:rFonts w:ascii="Exo" w:hAnsi="Exo"/>
                <w:color w:val="auto"/>
                <w:lang w:val="en-US"/>
              </w:rPr>
              <w:t xml:space="preserve"> da </w:t>
            </w:r>
            <w:proofErr w:type="spellStart"/>
            <w:r w:rsidRPr="00A5567B">
              <w:rPr>
                <w:rFonts w:ascii="Exo" w:hAnsi="Exo"/>
                <w:color w:val="auto"/>
                <w:lang w:val="en-US"/>
              </w:rPr>
              <w:t>atenção</w:t>
            </w:r>
            <w:proofErr w:type="spellEnd"/>
            <w:r w:rsidRPr="00A5567B">
              <w:rPr>
                <w:rFonts w:ascii="Exo" w:hAnsi="Exo"/>
                <w:color w:val="auto"/>
                <w:lang w:val="en-US"/>
              </w:rPr>
              <w:t xml:space="preserve"> </w:t>
            </w:r>
            <w:proofErr w:type="spellStart"/>
            <w:r w:rsidRPr="00A5567B">
              <w:rPr>
                <w:rFonts w:ascii="Exo" w:hAnsi="Exo"/>
                <w:color w:val="auto"/>
                <w:lang w:val="en-US"/>
              </w:rPr>
              <w:t>primária</w:t>
            </w:r>
            <w:proofErr w:type="spellEnd"/>
            <w:r w:rsidRPr="00A5567B">
              <w:rPr>
                <w:rFonts w:ascii="Exo" w:hAnsi="Exo"/>
                <w:color w:val="auto"/>
                <w:lang w:val="en-US"/>
              </w:rPr>
              <w:t xml:space="preserve"> à </w:t>
            </w:r>
            <w:proofErr w:type="spellStart"/>
            <w:r w:rsidRPr="00A5567B">
              <w:rPr>
                <w:rFonts w:ascii="Exo" w:hAnsi="Exo"/>
                <w:color w:val="auto"/>
                <w:lang w:val="en-US"/>
              </w:rPr>
              <w:t>saúde</w:t>
            </w:r>
            <w:proofErr w:type="spellEnd"/>
            <w:r w:rsidRPr="00A5567B">
              <w:rPr>
                <w:rFonts w:ascii="Exo" w:hAnsi="Exo"/>
                <w:color w:val="auto"/>
                <w:lang w:val="en-US"/>
              </w:rPr>
              <w:t xml:space="preserve">. Rev Bras </w:t>
            </w:r>
            <w:proofErr w:type="spellStart"/>
            <w:r w:rsidRPr="00A5567B">
              <w:rPr>
                <w:rFonts w:ascii="Exo" w:hAnsi="Exo"/>
                <w:color w:val="auto"/>
                <w:lang w:val="en-US"/>
              </w:rPr>
              <w:t>Promoc</w:t>
            </w:r>
            <w:proofErr w:type="spellEnd"/>
            <w:r w:rsidRPr="00A5567B">
              <w:rPr>
                <w:rFonts w:ascii="Exo" w:hAnsi="Exo"/>
                <w:color w:val="auto"/>
                <w:lang w:val="en-US"/>
              </w:rPr>
              <w:t xml:space="preserve"> </w:t>
            </w:r>
            <w:proofErr w:type="spellStart"/>
            <w:r w:rsidRPr="00A5567B">
              <w:rPr>
                <w:rFonts w:ascii="Exo" w:hAnsi="Exo"/>
                <w:color w:val="auto"/>
                <w:lang w:val="en-US"/>
              </w:rPr>
              <w:t>Saude</w:t>
            </w:r>
            <w:proofErr w:type="spellEnd"/>
            <w:r w:rsidRPr="00A5567B">
              <w:rPr>
                <w:rFonts w:ascii="Exo" w:hAnsi="Exo"/>
                <w:color w:val="auto"/>
                <w:lang w:val="en-US"/>
              </w:rPr>
              <w:t>. 2016;29(1):84-92.</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2F1090" w:rsidRDefault="002B7840" w:rsidP="007E568A">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74F575D" w:rsidR="00685B3B" w:rsidRPr="002F1090" w:rsidRDefault="002B7840" w:rsidP="007E568A">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xml:space="preserve">, disponibilizado pelo Ministério da Saúde, via </w:t>
            </w:r>
            <w:proofErr w:type="spellStart"/>
            <w:r w:rsidRPr="002B7840">
              <w:rPr>
                <w:rFonts w:ascii="Exo" w:hAnsi="Exo"/>
                <w:sz w:val="20"/>
              </w:rPr>
              <w:t>Datasus</w:t>
            </w:r>
            <w:proofErr w:type="spellEnd"/>
            <w:r w:rsidRPr="002B7840">
              <w:rPr>
                <w:rFonts w:ascii="Exo" w:hAnsi="Exo"/>
                <w:sz w:val="20"/>
              </w:rPr>
              <w:t>.</w:t>
            </w:r>
          </w:p>
        </w:tc>
      </w:tr>
    </w:tbl>
    <w:p w14:paraId="5ADD0E66" w14:textId="77777777" w:rsidR="00322830" w:rsidRPr="00AA460F" w:rsidRDefault="00322830" w:rsidP="00322830">
      <w:pPr>
        <w:pStyle w:val="SemEspaamento"/>
        <w:spacing w:before="100" w:line="360" w:lineRule="auto"/>
        <w:ind w:firstLine="851"/>
        <w:jc w:val="both"/>
        <w:rPr>
          <w:rFonts w:ascii="Exo" w:hAnsi="Exo"/>
          <w:sz w:val="24"/>
          <w:szCs w:val="24"/>
        </w:rPr>
      </w:pPr>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5D5A427A" w14:textId="02CC8499"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FB634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rPr>
        <w:drawing>
          <wp:inline distT="0" distB="0" distL="0" distR="0" wp14:anchorId="51F30A46" wp14:editId="2349886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685B3B" w:rsidRDefault="004A3585" w:rsidP="007E568A">
      <w:pPr>
        <w:pStyle w:val="Ttulo1"/>
        <w:spacing w:after="200" w:line="360" w:lineRule="auto"/>
        <w:jc w:val="center"/>
        <w:rPr>
          <w:rFonts w:ascii="Exo" w:hAnsi="Exo"/>
          <w:b/>
          <w:bCs/>
          <w:color w:val="auto"/>
        </w:rPr>
      </w:pPr>
      <w:bookmarkStart w:id="5" w:name="_Toc189068635"/>
      <w:r w:rsidRPr="00685B3B">
        <w:rPr>
          <w:rFonts w:ascii="Exo" w:hAnsi="Exo"/>
          <w:b/>
          <w:bCs/>
          <w:color w:val="auto"/>
        </w:rPr>
        <w:lastRenderedPageBreak/>
        <w:t>Exemplo de aplicação</w:t>
      </w:r>
      <w:bookmarkEnd w:id="5"/>
    </w:p>
    <w:p w14:paraId="6109B3F4" w14:textId="7A07626A" w:rsidR="00591B54" w:rsidRPr="00322830" w:rsidRDefault="00591B54" w:rsidP="00322830">
      <w:pPr>
        <w:pStyle w:val="SemEspaamento"/>
        <w:spacing w:line="360" w:lineRule="auto"/>
        <w:ind w:firstLine="851"/>
        <w:jc w:val="both"/>
        <w:rPr>
          <w:rFonts w:ascii="Exo" w:hAnsi="Exo"/>
          <w:sz w:val="24"/>
          <w:szCs w:val="24"/>
        </w:rPr>
      </w:pPr>
      <w:r w:rsidRPr="00322830">
        <w:rPr>
          <w:rFonts w:ascii="Exo" w:hAnsi="Exo"/>
          <w:sz w:val="24"/>
          <w:szCs w:val="24"/>
        </w:rPr>
        <w:t>A Figura 2 ilustra a aplicação do indicador, apresentando a razão de equipamentos de odontologia por população nas macrorregiões de saúde do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759486FA" w:rsidR="00CE2F47" w:rsidRDefault="006F75A1" w:rsidP="00CE2F47">
      <w:pPr>
        <w:pStyle w:val="NormalWeb"/>
        <w:spacing w:before="0" w:beforeAutospacing="0" w:after="0" w:afterAutospacing="0"/>
        <w:jc w:val="center"/>
      </w:pPr>
      <w:bookmarkStart w:id="6"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6"/>
    </w:p>
    <w:p w14:paraId="6BEDA13F" w14:textId="429CE4FA" w:rsidR="007E568A" w:rsidRPr="007E568A" w:rsidRDefault="009E5CEE" w:rsidP="007E568A">
      <w:pPr>
        <w:pStyle w:val="SemEspaamento"/>
        <w:spacing w:line="360" w:lineRule="auto"/>
        <w:ind w:firstLine="851"/>
        <w:rPr>
          <w:rFonts w:ascii="Exo" w:hAnsi="Exo"/>
          <w:sz w:val="20"/>
          <w:szCs w:val="20"/>
        </w:rPr>
      </w:pPr>
      <w:r w:rsidRPr="00322830">
        <w:rPr>
          <w:rFonts w:ascii="Exo" w:hAnsi="Exo"/>
          <w:sz w:val="24"/>
          <w:szCs w:val="24"/>
        </w:rPr>
        <w:t>Para acessar o link do código que resultou no mapa, clique</w:t>
      </w:r>
      <w:r w:rsidR="00322830">
        <w:rPr>
          <w:rFonts w:ascii="Exo" w:hAnsi="Exo"/>
          <w:sz w:val="24"/>
          <w:szCs w:val="24"/>
        </w:rPr>
        <w:t xml:space="preserve"> </w:t>
      </w:r>
      <w:hyperlink r:id="rId17" w:history="1">
        <w:r w:rsidR="00322830" w:rsidRPr="00322830">
          <w:rPr>
            <w:rStyle w:val="Hyperlink"/>
            <w:rFonts w:ascii="Exo" w:hAnsi="Exo"/>
            <w:sz w:val="24"/>
            <w:szCs w:val="24"/>
          </w:rPr>
          <w:t>aqui</w:t>
        </w:r>
      </w:hyperlink>
      <w:r w:rsidR="00322830">
        <w:rPr>
          <w:rFonts w:ascii="Exo" w:hAnsi="Exo"/>
          <w:sz w:val="24"/>
          <w:szCs w:val="24"/>
        </w:rPr>
        <w:t>.</w:t>
      </w:r>
      <w:r w:rsidR="007E568A" w:rsidRPr="00CE2F47">
        <w:rPr>
          <w:rFonts w:ascii="Exo" w:hAnsi="Exo"/>
          <w:b/>
          <w:bCs/>
        </w:rPr>
        <w:br w:type="page"/>
      </w:r>
    </w:p>
    <w:p w14:paraId="393A9936" w14:textId="0E65F40B" w:rsidR="00666086" w:rsidRPr="00762408" w:rsidRDefault="00666086" w:rsidP="00CE2F47">
      <w:pPr>
        <w:pStyle w:val="Ttulo1"/>
        <w:spacing w:after="200" w:line="360" w:lineRule="auto"/>
        <w:jc w:val="center"/>
        <w:rPr>
          <w:rFonts w:ascii="Exo" w:hAnsi="Exo"/>
          <w:lang w:val="en-US"/>
        </w:rPr>
      </w:pPr>
      <w:bookmarkStart w:id="7" w:name="_Toc189068636"/>
      <w:proofErr w:type="spellStart"/>
      <w:r w:rsidRPr="00762408">
        <w:rPr>
          <w:rFonts w:ascii="Exo" w:hAnsi="Exo"/>
          <w:b/>
          <w:bCs/>
          <w:color w:val="auto"/>
          <w:lang w:val="en-US"/>
        </w:rPr>
        <w:lastRenderedPageBreak/>
        <w:t>Referências</w:t>
      </w:r>
      <w:bookmarkEnd w:id="7"/>
      <w:proofErr w:type="spellEnd"/>
    </w:p>
    <w:sdt>
      <w:sdtPr>
        <w:rPr>
          <w:rFonts w:ascii="Exo" w:hAnsi="Exo"/>
          <w:color w:val="000000"/>
        </w:rPr>
        <w:tag w:val="MENDELEY_BIBLIOGRAPHY"/>
        <w:id w:val="951600538"/>
        <w:placeholder>
          <w:docPart w:val="DefaultPlaceholder_-1854013440"/>
        </w:placeholder>
      </w:sdtPr>
      <w:sdtEndPr>
        <w:rPr>
          <w:highlight w:val="yellow"/>
        </w:r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Pr="00762408" w:rsidRDefault="007E568A" w:rsidP="0019040D">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762408">
            <w:rPr>
              <w:rFonts w:ascii="Exo" w:eastAsia="Times New Roman" w:hAnsi="Exo"/>
              <w:color w:val="000000"/>
              <w:sz w:val="20"/>
              <w:szCs w:val="20"/>
              <w:lang w:val="en-US"/>
            </w:rPr>
            <w:t xml:space="preserve">Brasília: </w:t>
          </w:r>
          <w:proofErr w:type="spellStart"/>
          <w:r w:rsidRPr="00762408">
            <w:rPr>
              <w:rFonts w:ascii="Exo" w:eastAsia="Times New Roman" w:hAnsi="Exo"/>
              <w:color w:val="000000"/>
              <w:sz w:val="20"/>
              <w:szCs w:val="20"/>
              <w:lang w:val="en-US"/>
            </w:rPr>
            <w:t>Editora</w:t>
          </w:r>
          <w:proofErr w:type="spellEnd"/>
          <w:r w:rsidRPr="00762408">
            <w:rPr>
              <w:rFonts w:ascii="Exo" w:eastAsia="Times New Roman" w:hAnsi="Exo"/>
              <w:color w:val="000000"/>
              <w:sz w:val="20"/>
              <w:szCs w:val="20"/>
              <w:lang w:val="en-US"/>
            </w:rPr>
            <w:t xml:space="preserve"> MS; 2007.</w:t>
          </w:r>
        </w:p>
        <w:p w14:paraId="4D156A7E" w14:textId="77777777" w:rsidR="006F75A1" w:rsidRDefault="007E568A" w:rsidP="006F75A1">
          <w:pPr>
            <w:autoSpaceDE w:val="0"/>
            <w:autoSpaceDN w:val="0"/>
            <w:ind w:hanging="640"/>
            <w:divId w:val="344209817"/>
            <w:rPr>
              <w:rFonts w:ascii="Exo" w:eastAsia="Times New Roman" w:hAnsi="Exo"/>
              <w:color w:val="000000"/>
              <w:sz w:val="20"/>
              <w:szCs w:val="2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2ABB1C3D" w14:textId="6737188A" w:rsidR="006F75A1" w:rsidRDefault="00666086"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 xml:space="preserve">7. </w:t>
          </w:r>
          <w:r w:rsidRPr="006F75A1">
            <w:rPr>
              <w:rFonts w:ascii="Exo" w:eastAsia="Times New Roman" w:hAnsi="Exo"/>
              <w:color w:val="000000"/>
              <w:sz w:val="20"/>
              <w:szCs w:val="20"/>
            </w:rPr>
            <w:tab/>
          </w:r>
          <w:r w:rsidR="006F75A1" w:rsidRPr="006F75A1">
            <w:rPr>
              <w:rFonts w:ascii="Exo" w:eastAsia="Times New Roman" w:hAnsi="Exo"/>
              <w:color w:val="000000"/>
              <w:sz w:val="20"/>
              <w:szCs w:val="20"/>
            </w:rPr>
            <w:t xml:space="preserve">de Oliveira ORR, Martins EP, de Santana JLB, Bezerra SRS, Dourado AT. Avaliação dos usuários sobre a qualidade do atendimento odontológico prestado por alunos de odontologia. </w:t>
          </w:r>
          <w:proofErr w:type="spellStart"/>
          <w:r w:rsidR="006F75A1" w:rsidRPr="006F75A1">
            <w:rPr>
              <w:rFonts w:ascii="Exo" w:eastAsia="Times New Roman" w:hAnsi="Exo"/>
              <w:color w:val="000000"/>
              <w:sz w:val="20"/>
              <w:szCs w:val="20"/>
            </w:rPr>
            <w:t>Rev</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Fac</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Odontol</w:t>
          </w:r>
          <w:proofErr w:type="spellEnd"/>
          <w:r w:rsidR="006F75A1" w:rsidRPr="006F75A1">
            <w:rPr>
              <w:rFonts w:ascii="Exo" w:eastAsia="Times New Roman" w:hAnsi="Exo"/>
              <w:color w:val="000000"/>
              <w:sz w:val="20"/>
              <w:szCs w:val="20"/>
            </w:rPr>
            <w:t xml:space="preserve"> UPF. 2012;17(3)</w:t>
          </w:r>
          <w:r w:rsidR="006F75A1">
            <w:rPr>
              <w:rFonts w:ascii="Exo" w:eastAsia="Times New Roman" w:hAnsi="Exo"/>
              <w:color w:val="000000"/>
              <w:sz w:val="20"/>
              <w:szCs w:val="20"/>
            </w:rPr>
            <w:t>.</w:t>
          </w:r>
        </w:p>
        <w:p w14:paraId="09CF83F0" w14:textId="77777777" w:rsidR="006F75A1" w:rsidRDefault="0019040D"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8.</w:t>
          </w:r>
          <w:r w:rsidRPr="006F75A1">
            <w:t xml:space="preserve"> </w:t>
          </w:r>
          <w:r w:rsidRPr="006F75A1">
            <w:tab/>
          </w:r>
          <w:r w:rsidR="006F75A1" w:rsidRPr="006F75A1">
            <w:rPr>
              <w:rFonts w:ascii="Exo" w:eastAsia="Times New Roman" w:hAnsi="Exo"/>
              <w:color w:val="000000"/>
              <w:sz w:val="20"/>
              <w:szCs w:val="20"/>
            </w:rPr>
            <w:t xml:space="preserve">Soares PV, Souza PG, Silva MB, Braga AT, Siqueira TP, Gonçalves LC. Avaliação da qualidade do atendimento oferecido na Clínica Integrada da Universidade Federal de Uberlândia. </w:t>
          </w:r>
          <w:proofErr w:type="spellStart"/>
          <w:r w:rsidR="006F75A1" w:rsidRPr="006F75A1">
            <w:rPr>
              <w:rFonts w:ascii="Exo" w:eastAsia="Times New Roman" w:hAnsi="Exo"/>
              <w:color w:val="000000"/>
              <w:sz w:val="20"/>
              <w:szCs w:val="20"/>
            </w:rPr>
            <w:t>Rev</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Odontol</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Bras</w:t>
          </w:r>
          <w:proofErr w:type="spellEnd"/>
          <w:r w:rsidR="006F75A1" w:rsidRPr="006F75A1">
            <w:rPr>
              <w:rFonts w:ascii="Exo" w:eastAsia="Times New Roman" w:hAnsi="Exo"/>
              <w:color w:val="000000"/>
              <w:sz w:val="20"/>
              <w:szCs w:val="20"/>
            </w:rPr>
            <w:t xml:space="preserve"> Central. 2014;23(66).</w:t>
          </w:r>
        </w:p>
        <w:p w14:paraId="480378F3" w14:textId="77777777" w:rsidR="006F75A1" w:rsidRDefault="0019040D"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9.</w:t>
          </w:r>
          <w:r w:rsidRPr="006F75A1">
            <w:rPr>
              <w:rFonts w:ascii="Exo" w:eastAsia="Times New Roman" w:hAnsi="Exo"/>
              <w:color w:val="000000"/>
              <w:sz w:val="20"/>
              <w:szCs w:val="20"/>
            </w:rPr>
            <w:tab/>
          </w:r>
          <w:r w:rsidR="006F75A1" w:rsidRPr="006F75A1">
            <w:rPr>
              <w:rFonts w:ascii="Exo" w:eastAsia="Times New Roman" w:hAnsi="Exo"/>
              <w:color w:val="000000"/>
              <w:sz w:val="20"/>
              <w:szCs w:val="20"/>
            </w:rPr>
            <w:t xml:space="preserve">Neves M, Giordani JMA, Hugo FN. Atenção primária à saúde bucal no Brasil: processo de trabalho das equipes de saúde bucal. Cien </w:t>
          </w:r>
          <w:proofErr w:type="spellStart"/>
          <w:r w:rsidR="006F75A1" w:rsidRPr="006F75A1">
            <w:rPr>
              <w:rFonts w:ascii="Exo" w:eastAsia="Times New Roman" w:hAnsi="Exo"/>
              <w:color w:val="000000"/>
              <w:sz w:val="20"/>
              <w:szCs w:val="20"/>
            </w:rPr>
            <w:t>Saude</w:t>
          </w:r>
          <w:proofErr w:type="spellEnd"/>
          <w:r w:rsidR="006F75A1" w:rsidRPr="006F75A1">
            <w:rPr>
              <w:rFonts w:ascii="Exo" w:eastAsia="Times New Roman" w:hAnsi="Exo"/>
              <w:color w:val="000000"/>
              <w:sz w:val="20"/>
              <w:szCs w:val="20"/>
            </w:rPr>
            <w:t xml:space="preserve"> Colet. </w:t>
          </w:r>
          <w:proofErr w:type="gramStart"/>
          <w:r w:rsidR="006F75A1" w:rsidRPr="006F75A1">
            <w:rPr>
              <w:rFonts w:ascii="Exo" w:eastAsia="Times New Roman" w:hAnsi="Exo"/>
              <w:color w:val="000000"/>
              <w:sz w:val="20"/>
              <w:szCs w:val="20"/>
            </w:rPr>
            <w:t>2019;24:1809</w:t>
          </w:r>
          <w:proofErr w:type="gramEnd"/>
          <w:r w:rsidR="006F75A1" w:rsidRPr="006F75A1">
            <w:rPr>
              <w:rFonts w:ascii="Exo" w:eastAsia="Times New Roman" w:hAnsi="Exo"/>
              <w:color w:val="000000"/>
              <w:sz w:val="20"/>
              <w:szCs w:val="20"/>
            </w:rPr>
            <w:t>-20.</w:t>
          </w:r>
        </w:p>
        <w:p w14:paraId="1AD0438A" w14:textId="5722E1BE" w:rsidR="0078205E" w:rsidRPr="007E568A" w:rsidRDefault="006F75A1" w:rsidP="006F75A1">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10.</w:t>
          </w:r>
          <w:r>
            <w:rPr>
              <w:rFonts w:ascii="Exo" w:eastAsia="Times New Roman" w:hAnsi="Exo"/>
              <w:color w:val="000000"/>
              <w:sz w:val="20"/>
              <w:szCs w:val="20"/>
            </w:rPr>
            <w:tab/>
          </w:r>
          <w:r w:rsidRPr="006F75A1">
            <w:rPr>
              <w:rFonts w:ascii="Exo" w:eastAsia="Times New Roman" w:hAnsi="Exo"/>
              <w:color w:val="000000"/>
              <w:sz w:val="20"/>
              <w:szCs w:val="20"/>
            </w:rPr>
            <w:t xml:space="preserve">Limão NP, Ferreira JCC Filho, Protásio APL, Santiago BM, Gomes LB, Machado LS, et al. Equipamentos e insumos odontológicos e sua relação com as unidades da atenção primária à saúde. </w:t>
          </w:r>
          <w:proofErr w:type="spellStart"/>
          <w:r w:rsidRPr="006F75A1">
            <w:rPr>
              <w:rFonts w:ascii="Exo" w:eastAsia="Times New Roman" w:hAnsi="Exo"/>
              <w:color w:val="000000"/>
              <w:sz w:val="20"/>
              <w:szCs w:val="20"/>
            </w:rPr>
            <w:t>Rev</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Bras</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Promoc</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Saude</w:t>
          </w:r>
          <w:proofErr w:type="spellEnd"/>
          <w:r w:rsidRPr="006F75A1">
            <w:rPr>
              <w:rFonts w:ascii="Exo" w:eastAsia="Times New Roman" w:hAnsi="Exo"/>
              <w:color w:val="000000"/>
              <w:sz w:val="20"/>
              <w:szCs w:val="20"/>
            </w:rPr>
            <w:t>.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D8BA" w14:textId="77777777" w:rsidR="00A43008" w:rsidRDefault="00A43008" w:rsidP="0078205E">
      <w:pPr>
        <w:spacing w:after="0" w:line="240" w:lineRule="auto"/>
      </w:pPr>
      <w:r>
        <w:separator/>
      </w:r>
    </w:p>
  </w:endnote>
  <w:endnote w:type="continuationSeparator" w:id="0">
    <w:p w14:paraId="6424E7B1" w14:textId="77777777" w:rsidR="00A43008" w:rsidRDefault="00A4300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895A6" w14:textId="77777777" w:rsidR="00A43008" w:rsidRDefault="00A43008" w:rsidP="0078205E">
      <w:pPr>
        <w:spacing w:after="0" w:line="240" w:lineRule="auto"/>
      </w:pPr>
      <w:r>
        <w:separator/>
      </w:r>
    </w:p>
  </w:footnote>
  <w:footnote w:type="continuationSeparator" w:id="0">
    <w:p w14:paraId="64F1B95C" w14:textId="77777777" w:rsidR="00A43008" w:rsidRDefault="00A4300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81ED0"/>
    <w:rsid w:val="0019040D"/>
    <w:rsid w:val="001D0EE0"/>
    <w:rsid w:val="00255C97"/>
    <w:rsid w:val="002826EF"/>
    <w:rsid w:val="002B7840"/>
    <w:rsid w:val="002D5D78"/>
    <w:rsid w:val="002F1090"/>
    <w:rsid w:val="00322830"/>
    <w:rsid w:val="00394FD4"/>
    <w:rsid w:val="003F6595"/>
    <w:rsid w:val="00402730"/>
    <w:rsid w:val="00403B0E"/>
    <w:rsid w:val="00456EB6"/>
    <w:rsid w:val="00496AA8"/>
    <w:rsid w:val="004A3585"/>
    <w:rsid w:val="004C446E"/>
    <w:rsid w:val="004C52AF"/>
    <w:rsid w:val="004E0F3E"/>
    <w:rsid w:val="004F54DE"/>
    <w:rsid w:val="0051118D"/>
    <w:rsid w:val="00537021"/>
    <w:rsid w:val="00554037"/>
    <w:rsid w:val="00583050"/>
    <w:rsid w:val="005870C0"/>
    <w:rsid w:val="00591B54"/>
    <w:rsid w:val="005C2471"/>
    <w:rsid w:val="005C3030"/>
    <w:rsid w:val="00635502"/>
    <w:rsid w:val="00641E49"/>
    <w:rsid w:val="006447AB"/>
    <w:rsid w:val="00666086"/>
    <w:rsid w:val="0067139C"/>
    <w:rsid w:val="00685B3B"/>
    <w:rsid w:val="00694535"/>
    <w:rsid w:val="006F75A1"/>
    <w:rsid w:val="00701F37"/>
    <w:rsid w:val="00762408"/>
    <w:rsid w:val="0078205E"/>
    <w:rsid w:val="0079363D"/>
    <w:rsid w:val="0079403A"/>
    <w:rsid w:val="007E568A"/>
    <w:rsid w:val="007F4681"/>
    <w:rsid w:val="00814305"/>
    <w:rsid w:val="00886625"/>
    <w:rsid w:val="008B03A0"/>
    <w:rsid w:val="009B2D7C"/>
    <w:rsid w:val="009E5CEE"/>
    <w:rsid w:val="00A27CC4"/>
    <w:rsid w:val="00A43008"/>
    <w:rsid w:val="00A442E3"/>
    <w:rsid w:val="00A52156"/>
    <w:rsid w:val="00A5567B"/>
    <w:rsid w:val="00A80BE7"/>
    <w:rsid w:val="00A92A31"/>
    <w:rsid w:val="00AC697B"/>
    <w:rsid w:val="00B13018"/>
    <w:rsid w:val="00B55CBE"/>
    <w:rsid w:val="00B7476C"/>
    <w:rsid w:val="00C05C2B"/>
    <w:rsid w:val="00C15EC9"/>
    <w:rsid w:val="00C567EB"/>
    <w:rsid w:val="00CA4CA1"/>
    <w:rsid w:val="00CC002D"/>
    <w:rsid w:val="00CE2F47"/>
    <w:rsid w:val="00D24869"/>
    <w:rsid w:val="00D36EEF"/>
    <w:rsid w:val="00D7294F"/>
    <w:rsid w:val="00D94AD2"/>
    <w:rsid w:val="00E47210"/>
    <w:rsid w:val="00E67837"/>
    <w:rsid w:val="00E72E2A"/>
    <w:rsid w:val="00E91EB8"/>
    <w:rsid w:val="00ED0CC1"/>
    <w:rsid w:val="00EE008D"/>
    <w:rsid w:val="00F66121"/>
    <w:rsid w:val="00FB6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9_razao_equip_odonto/19_razao_equip_odonto.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
      <w:docPartPr>
        <w:name w:val="957EFD6AA32245A986A8FB29C24E2807"/>
        <w:category>
          <w:name w:val="Geral"/>
          <w:gallery w:val="placeholder"/>
        </w:category>
        <w:types>
          <w:type w:val="bbPlcHdr"/>
        </w:types>
        <w:behaviors>
          <w:behavior w:val="content"/>
        </w:behaviors>
        <w:guid w:val="{0602C535-7BB4-4DA0-86EE-22DBCFDD1431}"/>
      </w:docPartPr>
      <w:docPartBody>
        <w:p w:rsidR="00000000" w:rsidRDefault="00F45E5F" w:rsidP="00F45E5F">
          <w:pPr>
            <w:pStyle w:val="957EFD6AA32245A986A8FB29C24E2807"/>
          </w:pPr>
          <w:r w:rsidRPr="0031018C">
            <w:rPr>
              <w:rStyle w:val="TextodoEspaoReservado"/>
            </w:rPr>
            <w:t>Clique ou toque aqui para inserir o texto.</w:t>
          </w:r>
        </w:p>
      </w:docPartBody>
    </w:docPart>
    <w:docPart>
      <w:docPartPr>
        <w:name w:val="BD3EC1700CA34D1E8EBA007CCC4A7720"/>
        <w:category>
          <w:name w:val="Geral"/>
          <w:gallery w:val="placeholder"/>
        </w:category>
        <w:types>
          <w:type w:val="bbPlcHdr"/>
        </w:types>
        <w:behaviors>
          <w:behavior w:val="content"/>
        </w:behaviors>
        <w:guid w:val="{5B281FA7-7ECF-4AC4-9A49-368826DA7972}"/>
      </w:docPartPr>
      <w:docPartBody>
        <w:p w:rsidR="00000000" w:rsidRDefault="00F45E5F" w:rsidP="00F45E5F">
          <w:pPr>
            <w:pStyle w:val="BD3EC1700CA34D1E8EBA007CCC4A772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05037E"/>
    <w:rsid w:val="00201B4E"/>
    <w:rsid w:val="003007C9"/>
    <w:rsid w:val="007E171E"/>
    <w:rsid w:val="009A2513"/>
    <w:rsid w:val="009B2D7C"/>
    <w:rsid w:val="00A647F7"/>
    <w:rsid w:val="00AE103D"/>
    <w:rsid w:val="00B66773"/>
    <w:rsid w:val="00B84976"/>
    <w:rsid w:val="00BA0934"/>
    <w:rsid w:val="00C8391B"/>
    <w:rsid w:val="00CB6595"/>
    <w:rsid w:val="00D263F5"/>
    <w:rsid w:val="00D80AA8"/>
    <w:rsid w:val="00DF3A3F"/>
    <w:rsid w:val="00EB6977"/>
    <w:rsid w:val="00ED0CC1"/>
    <w:rsid w:val="00F45E5F"/>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45E5F"/>
    <w:rPr>
      <w:color w:val="808080"/>
    </w:rPr>
  </w:style>
  <w:style w:type="paragraph" w:customStyle="1" w:styleId="07699684804C449680F57B5E0D8DC0DC">
    <w:name w:val="07699684804C449680F57B5E0D8DC0DC"/>
    <w:rsid w:val="00D263F5"/>
  </w:style>
  <w:style w:type="paragraph" w:customStyle="1" w:styleId="571B5F59F5A74C7DBBBDBC7286901631">
    <w:name w:val="571B5F59F5A74C7DBBBDBC7286901631"/>
    <w:rsid w:val="00D263F5"/>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957EFD6AA32245A986A8FB29C24E2807">
    <w:name w:val="957EFD6AA32245A986A8FB29C24E2807"/>
    <w:rsid w:val="00F45E5F"/>
  </w:style>
  <w:style w:type="paragraph" w:customStyle="1" w:styleId="BD3EC1700CA34D1E8EBA007CCC4A7720">
    <w:name w:val="BD3EC1700CA34D1E8EBA007CCC4A7720"/>
    <w:rsid w:val="00F45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1666</Words>
  <Characters>8999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2025-02-18T14:28:00Z</cp:lastPrinted>
  <dcterms:created xsi:type="dcterms:W3CDTF">2025-01-30T00:28:00Z</dcterms:created>
  <dcterms:modified xsi:type="dcterms:W3CDTF">2025-02-24T13:38:00Z</dcterms:modified>
</cp:coreProperties>
</file>