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20ACD53D">
            <wp:simplePos x="0" y="0"/>
            <wp:positionH relativeFrom="column">
              <wp:posOffset>-1106014</wp:posOffset>
            </wp:positionH>
            <wp:positionV relativeFrom="paragraph">
              <wp:posOffset>-891169</wp:posOffset>
            </wp:positionV>
            <wp:extent cx="7583856" cy="10726812"/>
            <wp:effectExtent l="0" t="0" r="0" b="0"/>
            <wp:wrapNone/>
            <wp:docPr id="132072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6" cy="10726812"/>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Gustavo Hoff</w:t>
      </w:r>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Daniel do Prado Pagotto</w:t>
      </w:r>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7234CB00"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E5CC4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Desirée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Elisabet Pereira Lelo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733734">
      <w:pPr>
        <w:pStyle w:val="Pretext"/>
        <w:jc w:val="lef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bookmarkEnd w:id="0"/>
    <w:bookmarkEnd w:id="1"/>
    <w:p w14:paraId="18172E07" w14:textId="77777777" w:rsidR="00546897" w:rsidRDefault="00546897">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41669962" w:rsidR="00D36EEF" w:rsidRPr="00733734" w:rsidRDefault="00D36EEF" w:rsidP="00733734">
          <w:pPr>
            <w:pStyle w:val="CabealhodoSumrio"/>
            <w:spacing w:after="200" w:line="360" w:lineRule="auto"/>
            <w:jc w:val="center"/>
            <w:rPr>
              <w:rFonts w:ascii="Amsi Pro SemiBold" w:hAnsi="Amsi Pro SemiBold"/>
              <w:b/>
              <w:bCs/>
            </w:rPr>
          </w:pPr>
          <w:r w:rsidRPr="002B5002">
            <w:rPr>
              <w:rFonts w:ascii="Amsi Pro SemiBold" w:hAnsi="Amsi Pro SemiBold"/>
              <w:b/>
              <w:bCs/>
              <w:color w:val="auto"/>
              <w:kern w:val="2"/>
              <w:lang w:eastAsia="en-US"/>
              <w14:ligatures w14:val="standardContextual"/>
            </w:rPr>
            <w:t>Sumário</w:t>
          </w:r>
        </w:p>
        <w:p w14:paraId="68F57DE2" w14:textId="5BCCEFA6"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A021DF">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4F1E2944" w:rsidR="00177147" w:rsidRPr="002B5002" w:rsidRDefault="00000000">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A021DF">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5679C9FB" w:rsidR="00177147" w:rsidRPr="002B5002" w:rsidRDefault="00000000">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A021DF">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3FCBC6F5" w:rsidR="00177147" w:rsidRPr="00177147" w:rsidRDefault="00000000">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A021DF">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xml:space="preserve">. Além disso, o monitoramento constante desse indicador permite identificar disparidades salariais, podendo auxiliar na formulação de políticas públicas mais </w:t>
      </w:r>
      <w:r w:rsidR="00FE3D56" w:rsidRPr="002B5002">
        <w:rPr>
          <w:rFonts w:ascii="Amsi Pro SemiBold" w:hAnsi="Amsi Pro SemiBold"/>
          <w:sz w:val="24"/>
          <w:szCs w:val="24"/>
        </w:rPr>
        <w:lastRenderedPageBreak/>
        <w:t>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Pesquisa Nacional por Amostra de Domicílios Contínua (</w:t>
            </w:r>
            <w:proofErr w:type="spellStart"/>
            <w:r w:rsidRPr="002B5002">
              <w:rPr>
                <w:rFonts w:ascii="Amsi Pro SemiBold" w:hAnsi="Amsi Pro SemiBold"/>
                <w:color w:val="auto"/>
              </w:rPr>
              <w:t>PNADc</w:t>
            </w:r>
            <w:proofErr w:type="spellEnd"/>
            <w:r w:rsidRPr="002B5002">
              <w:rPr>
                <w:rFonts w:ascii="Amsi Pro SemiBold" w:hAnsi="Amsi Pro SemiBold"/>
                <w:color w:val="auto"/>
              </w:rPr>
              <w:t>).</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Para identificar a categoria profissional dentro dos dados da </w:t>
            </w:r>
            <w:proofErr w:type="spellStart"/>
            <w:r w:rsidRPr="002B5002">
              <w:rPr>
                <w:rFonts w:ascii="Amsi Pro SemiBold" w:hAnsi="Amsi Pro SemiBold"/>
                <w:color w:val="auto"/>
              </w:rPr>
              <w:t>PNADc</w:t>
            </w:r>
            <w:proofErr w:type="spellEnd"/>
            <w:r w:rsidRPr="002B5002">
              <w:rPr>
                <w:rFonts w:ascii="Amsi Pro SemiBold" w:hAnsi="Amsi Pro SemiBold"/>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de Abreu PDTC, Souza SS, de Mesquita LFQ. Impactos da pandemia de Covid-19 na qualidade de vida e satisfação no trabalho dos profissionais de saúde no Brasil. </w:t>
            </w:r>
            <w:proofErr w:type="spellStart"/>
            <w:r w:rsidRPr="002B5002">
              <w:rPr>
                <w:rFonts w:ascii="Amsi Pro SemiBold" w:hAnsi="Amsi Pro SemiBold"/>
                <w:color w:val="auto"/>
              </w:rPr>
              <w:t>Rev</w:t>
            </w:r>
            <w:proofErr w:type="spellEnd"/>
            <w:r w:rsidRPr="002B5002">
              <w:rPr>
                <w:rFonts w:ascii="Amsi Pro SemiBold" w:hAnsi="Amsi Pro SemiBold"/>
                <w:color w:val="auto"/>
              </w:rPr>
              <w:t xml:space="preserve"> JRG </w:t>
            </w:r>
            <w:proofErr w:type="spellStart"/>
            <w:r w:rsidRPr="002B5002">
              <w:rPr>
                <w:rFonts w:ascii="Amsi Pro SemiBold" w:hAnsi="Amsi Pro SemiBold"/>
                <w:color w:val="auto"/>
              </w:rPr>
              <w:t>Estud</w:t>
            </w:r>
            <w:proofErr w:type="spellEnd"/>
            <w:r w:rsidRPr="002B5002">
              <w:rPr>
                <w:rFonts w:ascii="Amsi Pro SemiBold" w:hAnsi="Amsi Pro SemiBold"/>
                <w:color w:val="auto"/>
              </w:rPr>
              <w:t xml:space="preserve"> Acadêmicos. 2023;6(12):352-65.</w:t>
            </w:r>
          </w:p>
          <w:p w14:paraId="73FFD6FF" w14:textId="38E7E3C2"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Sória ML, Bordin R, Costa Filho LC. Remuneração dos serviços de saúde bucal: formas e impactos na assistência. </w:t>
            </w:r>
            <w:proofErr w:type="spellStart"/>
            <w:r w:rsidRPr="002B5002">
              <w:rPr>
                <w:rFonts w:ascii="Amsi Pro SemiBold" w:hAnsi="Amsi Pro SemiBold"/>
                <w:color w:val="auto"/>
              </w:rPr>
              <w:t>Cad</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Saude</w:t>
            </w:r>
            <w:proofErr w:type="spellEnd"/>
            <w:r w:rsidRPr="002B5002">
              <w:rPr>
                <w:rFonts w:ascii="Amsi Pro SemiBold" w:hAnsi="Amsi Pro SemiBold"/>
                <w:color w:val="auto"/>
              </w:rPr>
              <w:t xml:space="preserve"> Publica. 2002;18(6):1551-9.</w:t>
            </w:r>
          </w:p>
          <w:p w14:paraId="4F1DE684" w14:textId="62744ACC" w:rsidR="00A35392"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O tratamento dos dados e as análises foram realizados utilizando a linguagem R, por meio da interface </w:t>
            </w:r>
            <w:proofErr w:type="spellStart"/>
            <w:r w:rsidRPr="002B5002">
              <w:rPr>
                <w:rFonts w:ascii="Amsi Pro SemiBold" w:hAnsi="Amsi Pro SemiBold"/>
                <w:color w:val="auto"/>
              </w:rPr>
              <w:t>RStudio</w:t>
            </w:r>
            <w:proofErr w:type="spellEnd"/>
            <w:r w:rsidRPr="002B5002">
              <w:rPr>
                <w:rFonts w:ascii="Amsi Pro SemiBold" w:hAnsi="Amsi Pro SemiBold"/>
                <w:color w:val="auto"/>
              </w:rPr>
              <w:t xml:space="preserve">, com os principais pacotes </w:t>
            </w:r>
            <w:proofErr w:type="spellStart"/>
            <w:r w:rsidRPr="002B5002">
              <w:rPr>
                <w:rFonts w:ascii="Amsi Pro SemiBold" w:hAnsi="Amsi Pro SemiBold"/>
                <w:color w:val="auto"/>
              </w:rPr>
              <w:t>PNADcIBGE</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survey</w:t>
            </w:r>
            <w:proofErr w:type="spellEnd"/>
            <w:r w:rsidRPr="002B5002">
              <w:rPr>
                <w:rFonts w:ascii="Amsi Pro SemiBold" w:hAnsi="Amsi Pro SemiBold"/>
                <w:color w:val="auto"/>
              </w:rPr>
              <w:t xml:space="preserve"> e </w:t>
            </w:r>
            <w:proofErr w:type="spellStart"/>
            <w:r w:rsidRPr="002B5002">
              <w:rPr>
                <w:rFonts w:ascii="Amsi Pro SemiBold" w:hAnsi="Amsi Pro SemiBold"/>
                <w:color w:val="auto"/>
              </w:rPr>
              <w:t>srvyr</w:t>
            </w:r>
            <w:proofErr w:type="spellEnd"/>
            <w:r w:rsidRPr="002B5002">
              <w:rPr>
                <w:rFonts w:ascii="Amsi Pro SemiBold" w:hAnsi="Amsi Pro SemiBold"/>
                <w:color w:val="auto"/>
              </w:rPr>
              <w:t>.</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6585329A" w:rsidR="004E6827" w:rsidRPr="002B5002" w:rsidRDefault="004E6827" w:rsidP="004E6827">
      <w:pPr>
        <w:pStyle w:val="Legenda"/>
        <w:keepNext/>
        <w:spacing w:after="0"/>
        <w:jc w:val="center"/>
        <w:rPr>
          <w:rFonts w:ascii="Amsi Pro SemiBold" w:hAnsi="Amsi Pro SemiBold"/>
          <w:b/>
          <w:bCs/>
          <w:color w:val="auto"/>
        </w:rPr>
      </w:pPr>
      <w:r w:rsidRPr="002B5002">
        <w:rPr>
          <w:rFonts w:ascii="Amsi Pro SemiBold" w:hAnsi="Amsi Pro SemiBold"/>
          <w:b/>
          <w:bCs/>
          <w:color w:val="auto"/>
        </w:rPr>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A021DF">
        <w:rPr>
          <w:rFonts w:ascii="Amsi Pro SemiBold" w:hAnsi="Amsi Pro SemiBold"/>
          <w:b/>
          <w:bCs/>
          <w:noProof/>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4C4D8BD3">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2" w:name="_Toc189068599"/>
      <w:r w:rsidRPr="002B5002">
        <w:rPr>
          <w:rFonts w:ascii="Amsi Pro SemiBold" w:hAnsi="Amsi Pro SemiBold"/>
          <w:b/>
          <w:bCs/>
          <w:color w:val="auto"/>
        </w:rPr>
        <w:lastRenderedPageBreak/>
        <w:t>Exemplo de aplicação</w:t>
      </w:r>
      <w:bookmarkEnd w:id="12"/>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3"/>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 xml:space="preserve">Para acessar o link do código que resultou no mapa, </w:t>
      </w:r>
      <w:r w:rsidRPr="00A021DF">
        <w:rPr>
          <w:rFonts w:ascii="Amsi Pro SemiBold" w:hAnsi="Amsi Pro SemiBold"/>
          <w:sz w:val="24"/>
          <w:szCs w:val="24"/>
        </w:rPr>
        <w:t>clique</w:t>
      </w:r>
      <w:r w:rsidR="00A46FC5" w:rsidRPr="00A021DF">
        <w:rPr>
          <w:rFonts w:ascii="Amsi Pro SemiBold" w:hAnsi="Amsi Pro SemiBold"/>
          <w:sz w:val="24"/>
          <w:szCs w:val="24"/>
        </w:rPr>
        <w:t xml:space="preserve"> </w:t>
      </w:r>
      <w:hyperlink r:id="rId16" w:history="1">
        <w:r w:rsidR="00A46FC5" w:rsidRPr="00A021DF">
          <w:rPr>
            <w:rStyle w:val="Hyperlink"/>
            <w:rFonts w:ascii="Amsi Pro SemiBold" w:hAnsi="Amsi Pro SemiBold"/>
            <w:sz w:val="24"/>
            <w:szCs w:val="24"/>
          </w:rPr>
          <w:t>aqui</w:t>
        </w:r>
      </w:hyperlink>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4" w:name="_Toc189068600"/>
      <w:proofErr w:type="spellStart"/>
      <w:r w:rsidRPr="002B5002">
        <w:rPr>
          <w:rFonts w:ascii="Amsi Pro SemiBold" w:hAnsi="Amsi Pro SemiBold"/>
          <w:b/>
          <w:bCs/>
          <w:color w:val="auto"/>
          <w:lang w:val="en-US"/>
        </w:rPr>
        <w:lastRenderedPageBreak/>
        <w:t>Referências</w:t>
      </w:r>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Najafpour</w:t>
          </w:r>
          <w:proofErr w:type="spellEnd"/>
          <w:r w:rsidRPr="002B5002">
            <w:rPr>
              <w:rFonts w:ascii="Amsi Pro SemiBold" w:eastAsia="Times New Roman" w:hAnsi="Amsi Pro SemiBold"/>
              <w:color w:val="000000"/>
              <w:sz w:val="20"/>
              <w:szCs w:val="20"/>
              <w:lang w:val="en-US"/>
            </w:rPr>
            <w:t xml:space="preserve"> Z, Arab M, </w:t>
          </w:r>
          <w:proofErr w:type="spellStart"/>
          <w:r w:rsidRPr="002B5002">
            <w:rPr>
              <w:rFonts w:ascii="Amsi Pro SemiBold" w:eastAsia="Times New Roman" w:hAnsi="Amsi Pro SemiBold"/>
              <w:color w:val="000000"/>
              <w:sz w:val="20"/>
              <w:szCs w:val="20"/>
              <w:lang w:val="en-US"/>
            </w:rPr>
            <w:t>Shayanfard</w:t>
          </w:r>
          <w:proofErr w:type="spellEnd"/>
          <w:r w:rsidRPr="002B5002">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Organização</w:t>
          </w:r>
          <w:proofErr w:type="spellEnd"/>
          <w:r w:rsidRPr="002B5002">
            <w:rPr>
              <w:rFonts w:ascii="Amsi Pro SemiBold" w:eastAsia="Times New Roman" w:hAnsi="Amsi Pro SemiBold"/>
              <w:color w:val="000000"/>
              <w:sz w:val="20"/>
              <w:szCs w:val="20"/>
              <w:lang w:val="en-US"/>
            </w:rPr>
            <w:t xml:space="preserve"> Pan-Americana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Contas</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Nacionais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Força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Ministério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Indicadores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material de </w:t>
          </w:r>
          <w:proofErr w:type="spellStart"/>
          <w:r w:rsidRPr="002B5002">
            <w:rPr>
              <w:rFonts w:ascii="Amsi Pro SemiBold" w:eastAsia="Times New Roman" w:hAnsi="Amsi Pro SemiBold"/>
              <w:color w:val="000000"/>
              <w:sz w:val="20"/>
              <w:szCs w:val="20"/>
              <w:lang w:val="en-US"/>
            </w:rPr>
            <w:t>apoio</w:t>
          </w:r>
          <w:proofErr w:type="spellEnd"/>
          <w:r w:rsidRPr="002B5002">
            <w:rPr>
              <w:rFonts w:ascii="Amsi Pro SemiBold" w:eastAsia="Times New Roman" w:hAnsi="Amsi Pro SemiBold"/>
              <w:color w:val="000000"/>
              <w:sz w:val="20"/>
              <w:szCs w:val="20"/>
              <w:lang w:val="en-US"/>
            </w:rPr>
            <w:t xml:space="preserve"> para o </w:t>
          </w:r>
          <w:proofErr w:type="spellStart"/>
          <w:r w:rsidRPr="002B5002">
            <w:rPr>
              <w:rFonts w:ascii="Amsi Pro SemiBold" w:eastAsia="Times New Roman" w:hAnsi="Amsi Pro SemiBold"/>
              <w:color w:val="000000"/>
              <w:sz w:val="20"/>
              <w:szCs w:val="20"/>
              <w:lang w:val="en-US"/>
            </w:rPr>
            <w:t>Programa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Qualificação</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Estruturação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e da </w:t>
          </w:r>
          <w:proofErr w:type="spellStart"/>
          <w:r w:rsidRPr="002B5002">
            <w:rPr>
              <w:rFonts w:ascii="Amsi Pro SemiBold" w:eastAsia="Times New Roman" w:hAnsi="Amsi Pro SemiBold"/>
              <w:color w:val="000000"/>
              <w:sz w:val="20"/>
              <w:szCs w:val="20"/>
              <w:lang w:val="en-US"/>
            </w:rPr>
            <w:t>Educação</w:t>
          </w:r>
          <w:proofErr w:type="spellEnd"/>
          <w:r w:rsidRPr="002B5002">
            <w:rPr>
              <w:rFonts w:ascii="Amsi Pro SemiBold" w:eastAsia="Times New Roman" w:hAnsi="Amsi Pro SemiBold"/>
              <w:color w:val="000000"/>
              <w:sz w:val="20"/>
              <w:szCs w:val="20"/>
              <w:lang w:val="en-US"/>
            </w:rPr>
            <w:t xml:space="preserve"> no SUS - </w:t>
          </w:r>
          <w:proofErr w:type="spellStart"/>
          <w:r w:rsidRPr="002B5002">
            <w:rPr>
              <w:rFonts w:ascii="Amsi Pro SemiBold" w:eastAsia="Times New Roman" w:hAnsi="Amsi Pro SemiBold"/>
              <w:color w:val="000000"/>
              <w:sz w:val="20"/>
              <w:szCs w:val="20"/>
              <w:lang w:val="en-US"/>
            </w:rPr>
            <w:t>ProgeSUS</w:t>
          </w:r>
          <w:proofErr w:type="spellEnd"/>
          <w:r w:rsidRPr="002B5002">
            <w:rPr>
              <w:rFonts w:ascii="Amsi Pro SemiBold" w:eastAsia="Times New Roman" w:hAnsi="Amsi Pro SemiBold"/>
              <w:color w:val="000000"/>
              <w:sz w:val="20"/>
              <w:szCs w:val="20"/>
              <w:lang w:val="en-US"/>
            </w:rPr>
            <w:t xml:space="preserve">. Brasília: </w:t>
          </w:r>
          <w:proofErr w:type="spellStart"/>
          <w:r w:rsidRPr="002B5002">
            <w:rPr>
              <w:rFonts w:ascii="Amsi Pro SemiBold" w:eastAsia="Times New Roman" w:hAnsi="Amsi Pro SemiBold"/>
              <w:color w:val="000000"/>
              <w:sz w:val="20"/>
              <w:szCs w:val="20"/>
              <w:lang w:val="en-US"/>
            </w:rPr>
            <w:t>Editora</w:t>
          </w:r>
          <w:proofErr w:type="spellEnd"/>
          <w:r w:rsidRPr="002B5002">
            <w:rPr>
              <w:rFonts w:ascii="Amsi Pro SemiBold" w:eastAsia="Times New Roman" w:hAnsi="Amsi Pro SemiBold"/>
              <w:color w:val="000000"/>
              <w:sz w:val="20"/>
              <w:szCs w:val="20"/>
              <w:lang w:val="en-US"/>
            </w:rPr>
            <w:t xml:space="preserve">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 xml:space="preserve">de Abreu PTC, Souza SS, de Mesquita LFQ. </w:t>
          </w:r>
          <w:proofErr w:type="spellStart"/>
          <w:r w:rsidRPr="002B5002">
            <w:rPr>
              <w:rFonts w:ascii="Amsi Pro SemiBold" w:eastAsia="Times New Roman" w:hAnsi="Amsi Pro SemiBold"/>
              <w:color w:val="000000"/>
              <w:sz w:val="20"/>
              <w:szCs w:val="20"/>
              <w:lang w:val="en-US"/>
            </w:rPr>
            <w:t>Impactos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pandemia</w:t>
          </w:r>
          <w:proofErr w:type="spellEnd"/>
          <w:r w:rsidRPr="002B5002">
            <w:rPr>
              <w:rFonts w:ascii="Amsi Pro SemiBold" w:eastAsia="Times New Roman" w:hAnsi="Amsi Pro SemiBold"/>
              <w:color w:val="000000"/>
              <w:sz w:val="20"/>
              <w:szCs w:val="20"/>
              <w:lang w:val="en-US"/>
            </w:rPr>
            <w:t xml:space="preserve"> de Covid-19 </w:t>
          </w:r>
          <w:proofErr w:type="spellStart"/>
          <w:r w:rsidRPr="002B5002">
            <w:rPr>
              <w:rFonts w:ascii="Amsi Pro SemiBold" w:eastAsia="Times New Roman" w:hAnsi="Amsi Pro SemiBold"/>
              <w:color w:val="000000"/>
              <w:sz w:val="20"/>
              <w:szCs w:val="20"/>
              <w:lang w:val="en-US"/>
            </w:rPr>
            <w:t>na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vida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satisfação</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dos </w:t>
          </w:r>
          <w:proofErr w:type="spellStart"/>
          <w:r w:rsidRPr="002B5002">
            <w:rPr>
              <w:rFonts w:ascii="Amsi Pro SemiBold" w:eastAsia="Times New Roman" w:hAnsi="Amsi Pro SemiBold"/>
              <w:color w:val="000000"/>
              <w:sz w:val="20"/>
              <w:szCs w:val="20"/>
              <w:lang w:val="en-US"/>
            </w:rPr>
            <w:t>profissionais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Brasil</w:t>
          </w:r>
          <w:proofErr w:type="spellEnd"/>
          <w:r w:rsidRPr="002B5002">
            <w:rPr>
              <w:rFonts w:ascii="Amsi Pro SemiBold" w:eastAsia="Times New Roman" w:hAnsi="Amsi Pro SemiBold"/>
              <w:color w:val="000000"/>
              <w:sz w:val="20"/>
              <w:szCs w:val="20"/>
              <w:lang w:val="en-US"/>
            </w:rPr>
            <w:t xml:space="preserve">. Rev JRG </w:t>
          </w:r>
          <w:proofErr w:type="spellStart"/>
          <w:r w:rsidRPr="002B5002">
            <w:rPr>
              <w:rFonts w:ascii="Amsi Pro SemiBold" w:eastAsia="Times New Roman" w:hAnsi="Amsi Pro SemiBold"/>
              <w:color w:val="000000"/>
              <w:sz w:val="20"/>
              <w:szCs w:val="20"/>
              <w:lang w:val="en-US"/>
            </w:rPr>
            <w:t>Estud</w:t>
          </w:r>
          <w:proofErr w:type="spellEnd"/>
          <w:r w:rsidRPr="002B5002">
            <w:rPr>
              <w:rFonts w:ascii="Amsi Pro SemiBold" w:eastAsia="Times New Roman" w:hAnsi="Amsi Pro SemiBold"/>
              <w:color w:val="000000"/>
              <w:sz w:val="20"/>
              <w:szCs w:val="20"/>
              <w:lang w:val="en-US"/>
            </w:rPr>
            <w:t xml:space="preserve">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 xml:space="preserve">Porto FM, </w:t>
          </w:r>
          <w:proofErr w:type="spellStart"/>
          <w:r w:rsidRPr="002B5002">
            <w:rPr>
              <w:rFonts w:ascii="Amsi Pro SemiBold" w:eastAsia="Times New Roman" w:hAnsi="Amsi Pro SemiBold"/>
              <w:color w:val="000000"/>
              <w:sz w:val="20"/>
              <w:szCs w:val="20"/>
              <w:lang w:val="en-US"/>
            </w:rPr>
            <w:t>Carnut</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Remuneração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médica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assistência</w:t>
          </w:r>
          <w:proofErr w:type="spellEnd"/>
          <w:r w:rsidRPr="002B5002">
            <w:rPr>
              <w:rFonts w:ascii="Amsi Pro SemiBold" w:eastAsia="Times New Roman" w:hAnsi="Amsi Pro SemiBold"/>
              <w:color w:val="000000"/>
              <w:sz w:val="20"/>
              <w:szCs w:val="20"/>
              <w:lang w:val="en-US"/>
            </w:rPr>
            <w:t xml:space="preserve"> à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uma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revisão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integrativa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sobre</w:t>
          </w:r>
          <w:proofErr w:type="spellEnd"/>
          <w:r w:rsidRPr="002B5002">
            <w:rPr>
              <w:rFonts w:ascii="Amsi Pro SemiBold" w:eastAsia="Times New Roman" w:hAnsi="Amsi Pro SemiBold"/>
              <w:color w:val="000000"/>
              <w:sz w:val="20"/>
              <w:szCs w:val="20"/>
              <w:lang w:val="en-US"/>
            </w:rPr>
            <w:t xml:space="preserve"> o </w:t>
          </w:r>
          <w:proofErr w:type="spellStart"/>
          <w:r w:rsidRPr="002B5002">
            <w:rPr>
              <w:rFonts w:ascii="Amsi Pro SemiBold" w:eastAsia="Times New Roman" w:hAnsi="Amsi Pro SemiBold"/>
              <w:color w:val="000000"/>
              <w:sz w:val="20"/>
              <w:szCs w:val="20"/>
              <w:lang w:val="en-US"/>
            </w:rPr>
            <w:t>papel</w:t>
          </w:r>
          <w:proofErr w:type="spellEnd"/>
          <w:r w:rsidRPr="002B5002">
            <w:rPr>
              <w:rFonts w:ascii="Amsi Pro SemiBold" w:eastAsia="Times New Roman" w:hAnsi="Amsi Pro SemiBold"/>
              <w:color w:val="000000"/>
              <w:sz w:val="20"/>
              <w:szCs w:val="20"/>
              <w:lang w:val="en-US"/>
            </w:rPr>
            <w:t xml:space="preserve"> das </w:t>
          </w:r>
          <w:proofErr w:type="spellStart"/>
          <w:r w:rsidRPr="002B5002">
            <w:rPr>
              <w:rFonts w:ascii="Amsi Pro SemiBold" w:eastAsia="Times New Roman" w:hAnsi="Amsi Pro SemiBold"/>
              <w:color w:val="000000"/>
              <w:sz w:val="20"/>
              <w:szCs w:val="20"/>
              <w:lang w:val="en-US"/>
            </w:rPr>
            <w:t>formas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mensuração</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desempenho</w:t>
          </w:r>
          <w:proofErr w:type="spellEnd"/>
          <w:r w:rsidRPr="002B5002">
            <w:rPr>
              <w:rFonts w:ascii="Amsi Pro SemiBold" w:eastAsia="Times New Roman" w:hAnsi="Amsi Pro SemiBold"/>
              <w:color w:val="000000"/>
              <w:sz w:val="20"/>
              <w:szCs w:val="20"/>
              <w:lang w:val="en-US"/>
            </w:rPr>
            <w:t>. J Manag Prim Health Care. 2022;</w:t>
          </w:r>
          <w:proofErr w:type="gramStart"/>
          <w:r w:rsidRPr="002B5002">
            <w:rPr>
              <w:rFonts w:ascii="Amsi Pro SemiBold" w:eastAsia="Times New Roman" w:hAnsi="Amsi Pro SemiBold"/>
              <w:color w:val="000000"/>
              <w:sz w:val="20"/>
              <w:szCs w:val="20"/>
              <w:lang w:val="en-US"/>
            </w:rPr>
            <w:t>14:e</w:t>
          </w:r>
          <w:proofErr w:type="gramEnd"/>
          <w:r w:rsidRPr="002B5002">
            <w:rPr>
              <w:rFonts w:ascii="Amsi Pro SemiBold" w:eastAsia="Times New Roman" w:hAnsi="Amsi Pro SemiBold"/>
              <w:color w:val="000000"/>
              <w:sz w:val="20"/>
              <w:szCs w:val="20"/>
              <w:lang w:val="en-US"/>
            </w:rPr>
            <w:t>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64DD" w14:textId="77777777" w:rsidR="002A399E" w:rsidRDefault="002A399E" w:rsidP="0078205E">
      <w:pPr>
        <w:spacing w:after="0" w:line="240" w:lineRule="auto"/>
      </w:pPr>
      <w:r>
        <w:separator/>
      </w:r>
    </w:p>
  </w:endnote>
  <w:endnote w:type="continuationSeparator" w:id="0">
    <w:p w14:paraId="2B2781C7" w14:textId="77777777" w:rsidR="002A399E" w:rsidRDefault="002A399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B3BE" w14:textId="77777777" w:rsidR="002A399E" w:rsidRDefault="002A399E" w:rsidP="0078205E">
      <w:pPr>
        <w:spacing w:after="0" w:line="240" w:lineRule="auto"/>
      </w:pPr>
      <w:r>
        <w:separator/>
      </w:r>
    </w:p>
  </w:footnote>
  <w:footnote w:type="continuationSeparator" w:id="0">
    <w:p w14:paraId="23CB039C" w14:textId="77777777" w:rsidR="002A399E" w:rsidRDefault="002A399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632688">
    <w:abstractNumId w:val="6"/>
  </w:num>
  <w:num w:numId="2" w16cid:durableId="1019241458">
    <w:abstractNumId w:val="3"/>
  </w:num>
  <w:num w:numId="3" w16cid:durableId="285284118">
    <w:abstractNumId w:val="0"/>
  </w:num>
  <w:num w:numId="4" w16cid:durableId="490148098">
    <w:abstractNumId w:val="1"/>
  </w:num>
  <w:num w:numId="5" w16cid:durableId="192042119">
    <w:abstractNumId w:val="2"/>
  </w:num>
  <w:num w:numId="6" w16cid:durableId="2098286569">
    <w:abstractNumId w:val="4"/>
  </w:num>
  <w:num w:numId="7" w16cid:durableId="1611545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A399E"/>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46897"/>
    <w:rsid w:val="005C3030"/>
    <w:rsid w:val="005C3346"/>
    <w:rsid w:val="005F633D"/>
    <w:rsid w:val="006000CD"/>
    <w:rsid w:val="006128F9"/>
    <w:rsid w:val="006447AB"/>
    <w:rsid w:val="00666086"/>
    <w:rsid w:val="0067139C"/>
    <w:rsid w:val="006A7E80"/>
    <w:rsid w:val="00700C69"/>
    <w:rsid w:val="00733734"/>
    <w:rsid w:val="0078205E"/>
    <w:rsid w:val="007E49B2"/>
    <w:rsid w:val="007F4681"/>
    <w:rsid w:val="00814305"/>
    <w:rsid w:val="00820AAC"/>
    <w:rsid w:val="008423FC"/>
    <w:rsid w:val="00891CD5"/>
    <w:rsid w:val="008B03A0"/>
    <w:rsid w:val="00971A8C"/>
    <w:rsid w:val="00981EE0"/>
    <w:rsid w:val="009E5CEE"/>
    <w:rsid w:val="00A021DF"/>
    <w:rsid w:val="00A35392"/>
    <w:rsid w:val="00A442E3"/>
    <w:rsid w:val="00A46FC5"/>
    <w:rsid w:val="00A60AA5"/>
    <w:rsid w:val="00A80BE7"/>
    <w:rsid w:val="00A818E7"/>
    <w:rsid w:val="00A83BCD"/>
    <w:rsid w:val="00A92A31"/>
    <w:rsid w:val="00B13018"/>
    <w:rsid w:val="00B21CDE"/>
    <w:rsid w:val="00B37532"/>
    <w:rsid w:val="00B55CBE"/>
    <w:rsid w:val="00B926E2"/>
    <w:rsid w:val="00C05C2B"/>
    <w:rsid w:val="00C074E4"/>
    <w:rsid w:val="00C1446A"/>
    <w:rsid w:val="00C47F67"/>
    <w:rsid w:val="00C567EB"/>
    <w:rsid w:val="00C86226"/>
    <w:rsid w:val="00CA4CA1"/>
    <w:rsid w:val="00CD549A"/>
    <w:rsid w:val="00D24869"/>
    <w:rsid w:val="00D36EEF"/>
    <w:rsid w:val="00D7294F"/>
    <w:rsid w:val="00D94AD2"/>
    <w:rsid w:val="00DD4756"/>
    <w:rsid w:val="00E47210"/>
    <w:rsid w:val="00E5289F"/>
    <w:rsid w:val="00E72E2A"/>
    <w:rsid w:val="00E861AB"/>
    <w:rsid w:val="00E91EB8"/>
    <w:rsid w:val="00EE645E"/>
    <w:rsid w:val="00EF322A"/>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4_remuneracao_media/14_remuneracao_medi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emuneraao_mdia_de_profissionais_de_sade" TargetMode="External"/><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E31CFC"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E31CFC"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457A3"/>
    <w:rsid w:val="00183307"/>
    <w:rsid w:val="00201B4E"/>
    <w:rsid w:val="00262A86"/>
    <w:rsid w:val="002750D6"/>
    <w:rsid w:val="002A0518"/>
    <w:rsid w:val="003B65A6"/>
    <w:rsid w:val="00423B05"/>
    <w:rsid w:val="0048793E"/>
    <w:rsid w:val="00596217"/>
    <w:rsid w:val="00597BB7"/>
    <w:rsid w:val="00652E76"/>
    <w:rsid w:val="007B7422"/>
    <w:rsid w:val="00820AAC"/>
    <w:rsid w:val="008C3563"/>
    <w:rsid w:val="00940436"/>
    <w:rsid w:val="009A2513"/>
    <w:rsid w:val="00A647F7"/>
    <w:rsid w:val="00AA1822"/>
    <w:rsid w:val="00AE103D"/>
    <w:rsid w:val="00B02602"/>
    <w:rsid w:val="00B1368B"/>
    <w:rsid w:val="00BA0934"/>
    <w:rsid w:val="00CE484B"/>
    <w:rsid w:val="00E31CFC"/>
    <w:rsid w:val="00E4473F"/>
    <w:rsid w:val="00E73564"/>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1495</Words>
  <Characters>8076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11</cp:revision>
  <cp:lastPrinted>2025-03-19T00:09:00Z</cp:lastPrinted>
  <dcterms:created xsi:type="dcterms:W3CDTF">2025-02-27T21:29:00Z</dcterms:created>
  <dcterms:modified xsi:type="dcterms:W3CDTF">2025-03-19T00:09:00Z</dcterms:modified>
</cp:coreProperties>
</file>