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2F15649C" w:rsidR="0078205E" w:rsidRDefault="00AA2977"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3:25:00Z">
        <w:r w:rsidRPr="0078205E" w:rsidDel="00EE3330">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3:25:00Z">
        <w:r w:rsidRPr="0078205E" w:rsidDel="00EE3330">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E71A44E"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3:25:00Z">
        <w:r w:rsidRPr="0078205E" w:rsidDel="00EE3330">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3:25:00Z">
        <w:r w:rsidRPr="0078205E" w:rsidDel="00EE3330">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6EADED37"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4</w:t>
            </w:r>
            <w:r w:rsidR="007D26D7" w:rsidRPr="007D26D7">
              <w:rPr>
                <w:rStyle w:val="Hyperlink"/>
                <w:rFonts w:ascii="Exo" w:hAnsi="Exo"/>
                <w:b/>
                <w:bCs/>
                <w:webHidden/>
              </w:rPr>
              <w:fldChar w:fldCharType="end"/>
            </w:r>
          </w:hyperlink>
        </w:p>
        <w:p w14:paraId="5ADE8605" w14:textId="4FF2B046" w:rsidR="007D26D7" w:rsidRPr="007D26D7" w:rsidRDefault="006F5237">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5</w:t>
            </w:r>
            <w:r w:rsidR="007D26D7" w:rsidRPr="007D26D7">
              <w:rPr>
                <w:rStyle w:val="Hyperlink"/>
                <w:rFonts w:ascii="Exo" w:hAnsi="Exo"/>
                <w:b/>
                <w:bCs/>
                <w:webHidden/>
              </w:rPr>
              <w:fldChar w:fldCharType="end"/>
            </w:r>
          </w:hyperlink>
        </w:p>
        <w:p w14:paraId="25C8615C" w14:textId="2D7EB6A4" w:rsidR="007D26D7" w:rsidRPr="007D26D7" w:rsidRDefault="006F5237">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7</w:t>
            </w:r>
            <w:r w:rsidR="007D26D7" w:rsidRPr="007D26D7">
              <w:rPr>
                <w:rStyle w:val="Hyperlink"/>
                <w:rFonts w:ascii="Exo" w:hAnsi="Exo"/>
                <w:b/>
                <w:bCs/>
                <w:webHidden/>
              </w:rPr>
              <w:fldChar w:fldCharType="end"/>
            </w:r>
          </w:hyperlink>
        </w:p>
        <w:p w14:paraId="134BBD59" w14:textId="13B30593" w:rsidR="007D26D7" w:rsidRPr="007D26D7" w:rsidRDefault="006F5237">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4" w:name="_Toc188459874"/>
      <w:r w:rsidRPr="004C586F">
        <w:rPr>
          <w:rFonts w:ascii="Exo" w:hAnsi="Exo"/>
          <w:b/>
          <w:bCs/>
          <w:color w:val="auto"/>
        </w:rPr>
        <w:lastRenderedPageBreak/>
        <w:t>Introdução</w:t>
      </w:r>
      <w:bookmarkEnd w:id="4"/>
    </w:p>
    <w:p w14:paraId="127EBA6B" w14:textId="10EFAF2D" w:rsidR="004C586F" w:rsidRPr="004C586F" w:rsidRDefault="004C586F" w:rsidP="004C586F">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3:25:00Z">
        <w:r w:rsidRPr="004C586F" w:rsidDel="00EE3330">
          <w:rPr>
            <w:rFonts w:ascii="Exo" w:hAnsi="Exo"/>
            <w:sz w:val="20"/>
            <w:szCs w:val="20"/>
          </w:rPr>
          <w:delText xml:space="preserve">a </w:delText>
        </w:r>
      </w:del>
      <w:ins w:id="7" w:author="Gilson" w:date="2025-02-15T13:25:00Z">
        <w:r w:rsidR="00EE3330">
          <w:rPr>
            <w:rFonts w:ascii="Exo" w:hAnsi="Exo"/>
            <w:sz w:val="20"/>
            <w:szCs w:val="20"/>
          </w:rPr>
          <w:t>em</w:t>
        </w:r>
        <w:r w:rsidR="00EE3330" w:rsidRPr="004C586F">
          <w:rPr>
            <w:rFonts w:ascii="Exo" w:hAnsi="Exo"/>
            <w:sz w:val="20"/>
            <w:szCs w:val="20"/>
          </w:rPr>
          <w:t xml:space="preserve"> </w:t>
        </w:r>
      </w:ins>
      <w:r w:rsidRPr="004C586F">
        <w:rPr>
          <w:rFonts w:ascii="Exo" w:hAnsi="Exo"/>
          <w:sz w:val="20"/>
          <w:szCs w:val="20"/>
        </w:rPr>
        <w:t xml:space="preserve">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333303AD" w14:textId="56200C8A" w:rsidR="00AE7889" w:rsidRPr="00971322" w:rsidRDefault="00AE7889" w:rsidP="00AE7889">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FC42992AEA4C1B87C534C2CABE14B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3:25:00Z">
        <w:r w:rsidR="00EE3330">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FC42992AEA4C1B87C534C2CABE14B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1B367DAB" w14:textId="5C80BD82"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Pr>
              <w:rFonts w:ascii="Exo" w:hAnsi="Exo"/>
              <w:color w:val="000000"/>
              <w:sz w:val="20"/>
              <w:szCs w:val="20"/>
              <w:vertAlign w:val="superscript"/>
            </w:rPr>
            <w:t>7</w:t>
          </w:r>
        </w:sdtContent>
      </w:sdt>
      <w:r w:rsidR="003361F9" w:rsidRPr="004C586F">
        <w:rPr>
          <w:rFonts w:ascii="Exo" w:hAnsi="Exo"/>
          <w:sz w:val="20"/>
          <w:szCs w:val="20"/>
        </w:rPr>
        <w:t>.</w:t>
      </w:r>
    </w:p>
    <w:p w14:paraId="00B525C2" w14:textId="63BEA3B8" w:rsidR="00D36EEF" w:rsidRPr="004C586F" w:rsidRDefault="003361F9" w:rsidP="004C586F">
      <w:pPr>
        <w:spacing w:after="200" w:line="360" w:lineRule="auto"/>
        <w:ind w:firstLine="851"/>
        <w:jc w:val="both"/>
        <w:rPr>
          <w:rFonts w:ascii="Exo" w:hAnsi="Exo"/>
          <w:sz w:val="20"/>
          <w:szCs w:val="20"/>
        </w:rPr>
      </w:pPr>
      <w:r w:rsidRPr="004C586F">
        <w:rPr>
          <w:rFonts w:ascii="Exo" w:hAnsi="Exo"/>
          <w:sz w:val="20"/>
          <w:szCs w:val="20"/>
        </w:rPr>
        <w:t>Portanto, monitorar a quantidade de IES com cursos d</w:t>
      </w:r>
      <w:r w:rsidR="00AE7889">
        <w:rPr>
          <w:rFonts w:ascii="Exo" w:hAnsi="Exo"/>
          <w:sz w:val="20"/>
          <w:szCs w:val="20"/>
        </w:rPr>
        <w:t>a área da</w:t>
      </w:r>
      <w:r w:rsidRPr="004C586F">
        <w:rPr>
          <w:rFonts w:ascii="Exo" w:hAnsi="Exo"/>
          <w:sz w:val="20"/>
          <w:szCs w:val="20"/>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Pr>
              <w:rFonts w:ascii="Exo" w:hAnsi="Exo"/>
              <w:color w:val="000000"/>
              <w:sz w:val="20"/>
              <w:szCs w:val="20"/>
              <w:vertAlign w:val="superscript"/>
            </w:rPr>
            <w:t>8</w:t>
          </w:r>
        </w:sdtContent>
      </w:sdt>
      <w:r w:rsidR="005049B6">
        <w:rPr>
          <w:rFonts w:ascii="Exo" w:hAnsi="Exo"/>
          <w:sz w:val="20"/>
          <w:szCs w:val="20"/>
        </w:rPr>
        <w:t>.</w:t>
      </w:r>
    </w:p>
    <w:p w14:paraId="6A4D83B7" w14:textId="575C0B47"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AE7889">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009F7A8E" w:rsidRPr="009F7A8E">
        <w:rPr>
          <w:rFonts w:ascii="Exo" w:hAnsi="Exo"/>
          <w:sz w:val="20"/>
          <w:szCs w:val="20"/>
        </w:rPr>
        <w:t>das capitais da Região Norte do Brasil</w:t>
      </w:r>
      <w:r w:rsidRPr="009F7A8E">
        <w:rPr>
          <w:rFonts w:ascii="Exo" w:hAnsi="Exo"/>
          <w:sz w:val="20"/>
          <w:szCs w:val="20"/>
        </w:rPr>
        <w:t>.</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10" w:name="_Toc188374090"/>
      <w:bookmarkStart w:id="11" w:name="_Toc188459875"/>
      <w:r w:rsidRPr="00A440DB">
        <w:rPr>
          <w:rFonts w:ascii="Exo" w:hAnsi="Exo"/>
          <w:b/>
          <w:bCs/>
          <w:color w:val="auto"/>
        </w:rPr>
        <w:lastRenderedPageBreak/>
        <w:t>Ficha de qualificação do indicador</w:t>
      </w:r>
      <w:bookmarkEnd w:id="10"/>
      <w:bookmarkEnd w:id="11"/>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12"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 xml:space="preserve">Para o indicador, é feita uma filtragem para selecionar os seguintes cursos </w:t>
            </w:r>
            <w:ins w:id="13" w:author="Gilson" w:date="2025-02-15T13:30:00Z">
              <w:r w:rsidR="00EE3330">
                <w:rPr>
                  <w:rFonts w:ascii="Exo" w:hAnsi="Exo"/>
                  <w:color w:val="auto"/>
                  <w:szCs w:val="20"/>
                </w:rPr>
                <w:t xml:space="preserve">da área </w:t>
              </w:r>
            </w:ins>
            <w:r w:rsidRPr="00BC3B08">
              <w:rPr>
                <w:rFonts w:ascii="Exo" w:hAnsi="Exo"/>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 xml:space="preserve">Após isso, é feita a soma da quantidade de IES, utilizando uma contagem distinta da variável </w:t>
            </w:r>
            <w:proofErr w:type="spellStart"/>
            <w:r w:rsidRPr="00BC3B08">
              <w:rPr>
                <w:rFonts w:ascii="Exo" w:hAnsi="Exo"/>
                <w:color w:val="auto"/>
                <w:szCs w:val="20"/>
              </w:rPr>
              <w:t>co_ies</w:t>
            </w:r>
            <w:proofErr w:type="spellEnd"/>
            <w:r w:rsidRPr="00BC3B08">
              <w:rPr>
                <w:rFonts w:ascii="Exo" w:hAnsi="Exo"/>
                <w:color w:val="auto"/>
                <w:szCs w:val="20"/>
              </w:rPr>
              <w:t xml:space="preserve">, que possuía pelo menos um dos cursos listados acima por ano e localidade. Assim, é gerada a variável </w:t>
            </w:r>
            <w:proofErr w:type="spellStart"/>
            <w:r w:rsidRPr="00BC3B08">
              <w:rPr>
                <w:rFonts w:ascii="Exo" w:hAnsi="Exo"/>
                <w:color w:val="auto"/>
                <w:szCs w:val="20"/>
              </w:rPr>
              <w:t>qtd_ies_cursos</w:t>
            </w:r>
            <w:proofErr w:type="spellEnd"/>
            <w:r w:rsidRPr="00BC3B08">
              <w:rPr>
                <w:rFonts w:ascii="Exo" w:hAnsi="Exo"/>
                <w:color w:val="auto"/>
                <w:szCs w:val="20"/>
              </w:rPr>
              <w:t xml:space="preserve">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m:t>
                </m:r>
                <w:proofErr w:type="spellStart"/>
                <m:r>
                  <m:rPr>
                    <m:nor/>
                  </m:rPr>
                  <w:rPr>
                    <w:rFonts w:ascii="Cambria Math" w:hAnsi="Cambria Math"/>
                    <w:i/>
                    <w:iCs/>
                    <w:sz w:val="20"/>
                    <w:szCs w:val="20"/>
                  </w:rPr>
                  <m:t>ies</m:t>
                </m:r>
                <w:proofErr w:type="spellEnd"/>
                <m:r>
                  <m:rPr>
                    <m:nor/>
                  </m:rPr>
                  <w:rPr>
                    <w:rFonts w:ascii="Cambria Math" w:hAnsi="Cambria Math"/>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w:t>
            </w:r>
            <w:r w:rsidR="005676CD">
              <w:rPr>
                <w:rFonts w:ascii="Exo" w:hAnsi="Exo"/>
                <w:color w:val="auto"/>
              </w:rPr>
              <w:t>s</w:t>
            </w:r>
            <w:r w:rsidRPr="009F7A8E">
              <w:rPr>
                <w:rFonts w:ascii="Exo" w:hAnsi="Exo"/>
                <w:color w:val="auto"/>
              </w:rPr>
              <w:t xml:space="preserv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commentRangeStart w:id="14"/>
            <w:r w:rsidRPr="009F7A8E">
              <w:rPr>
                <w:rFonts w:ascii="Exo" w:hAnsi="Exo"/>
                <w:b/>
                <w:bCs/>
                <w:color w:val="FFFFFF" w:themeColor="background1"/>
                <w:sz w:val="22"/>
                <w:szCs w:val="24"/>
              </w:rPr>
              <w:t>Níveis de desagregação indicador</w:t>
            </w:r>
            <w:commentRangeEnd w:id="14"/>
            <w:r w:rsidR="00EE3330">
              <w:rPr>
                <w:rStyle w:val="Refdecomentrio"/>
                <w:rFonts w:asciiTheme="minorHAnsi" w:hAnsiTheme="minorHAnsi"/>
                <w:color w:val="auto"/>
                <w:kern w:val="2"/>
                <w14:ligatures w14:val="standardContextual"/>
              </w:rPr>
              <w:commentReference w:id="14"/>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w:t>
            </w:r>
            <w:ins w:id="15" w:author="Gilson" w:date="2025-02-15T13:28:00Z">
              <w:r w:rsidR="00EE3330">
                <w:rPr>
                  <w:rFonts w:ascii="Exo" w:hAnsi="Exo"/>
                  <w:color w:val="auto"/>
                </w:rPr>
                <w:t>,</w:t>
              </w:r>
            </w:ins>
            <w:r w:rsidRPr="009F7A8E">
              <w:rPr>
                <w:rFonts w:ascii="Exo" w:hAnsi="Exo"/>
                <w:color w:val="auto"/>
              </w:rPr>
              <w:t xml:space="preserve">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1420E1" w:rsidRDefault="001420E1" w:rsidP="00777CB9">
            <w:pPr>
              <w:pStyle w:val="QuadrosFiguras1"/>
              <w:spacing w:before="60" w:after="60" w:line="240" w:lineRule="auto"/>
              <w:jc w:val="both"/>
              <w:rPr>
                <w:rFonts w:ascii="Exo" w:hAnsi="Exo"/>
                <w:color w:val="auto"/>
              </w:rPr>
            </w:pPr>
            <w:proofErr w:type="spellStart"/>
            <w:r w:rsidRPr="001420E1">
              <w:rPr>
                <w:rFonts w:ascii="Exo" w:hAnsi="Exo"/>
                <w:color w:val="auto"/>
              </w:rPr>
              <w:t>Poz</w:t>
            </w:r>
            <w:proofErr w:type="spellEnd"/>
            <w:r w:rsidRPr="001420E1">
              <w:rPr>
                <w:rFonts w:ascii="Exo" w:hAnsi="Exo"/>
                <w:color w:val="auto"/>
              </w:rPr>
              <w:t xml:space="preserve"> MRD, Couto MHC, Franco TDAV. Inovação, desenvolvimento e financiamento das instituições de ensino superior em saúde. </w:t>
            </w:r>
            <w:proofErr w:type="spellStart"/>
            <w:r w:rsidRPr="001420E1">
              <w:rPr>
                <w:rFonts w:ascii="Exo" w:hAnsi="Exo"/>
                <w:color w:val="auto"/>
              </w:rPr>
              <w:t>Cad</w:t>
            </w:r>
            <w:proofErr w:type="spellEnd"/>
            <w:r w:rsidRPr="001420E1">
              <w:rPr>
                <w:rFonts w:ascii="Exo" w:hAnsi="Exo"/>
                <w:color w:val="auto"/>
              </w:rPr>
              <w:t xml:space="preserve"> Saúde Pública. 2016;32:e00139915.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 xml:space="preserve">Este indicador quantifica uma contagem simples de IES. Nesse sentido, valores mais elevados indicam maior presença de IES com cursos </w:t>
            </w:r>
            <w:commentRangeStart w:id="16"/>
            <w:r w:rsidRPr="009F7A8E">
              <w:rPr>
                <w:rFonts w:ascii="Exo" w:hAnsi="Exo"/>
                <w:color w:val="auto"/>
              </w:rPr>
              <w:t>de saúde</w:t>
            </w:r>
            <w:commentRangeEnd w:id="16"/>
            <w:r w:rsidR="00EE3330">
              <w:rPr>
                <w:rStyle w:val="Refdecomentrio"/>
                <w:rFonts w:asciiTheme="minorHAnsi" w:hAnsiTheme="minorHAnsi"/>
                <w:color w:val="auto"/>
                <w:kern w:val="2"/>
                <w14:ligatures w14:val="standardContextual"/>
              </w:rPr>
              <w:commentReference w:id="16"/>
            </w:r>
            <w:r w:rsidRPr="009F7A8E">
              <w:rPr>
                <w:rFonts w:ascii="Exo" w:hAnsi="Exo"/>
                <w:color w:val="auto"/>
              </w:rPr>
              <w:t>.</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bookmarkEnd w:id="12"/>
    <w:p w14:paraId="1F28EBA7" w14:textId="77777777" w:rsidR="004C586F" w:rsidRPr="008D02AF" w:rsidRDefault="004C586F" w:rsidP="004C586F">
      <w:pPr>
        <w:spacing w:before="200" w:after="200" w:line="360" w:lineRule="auto"/>
        <w:ind w:firstLine="851"/>
        <w:jc w:val="both"/>
        <w:rPr>
          <w:rFonts w:ascii="Exo" w:hAnsi="Exo"/>
          <w:sz w:val="20"/>
          <w:szCs w:val="20"/>
        </w:rPr>
      </w:pPr>
      <w:r w:rsidRPr="008D02AF">
        <w:rPr>
          <w:rFonts w:ascii="Exo" w:hAnsi="Exo"/>
          <w:sz w:val="20"/>
          <w:szCs w:val="20"/>
        </w:rPr>
        <w:t xml:space="preserve">Como informado acima, existem alguns artefatos que decorrem da criação deste indicador, como o código SQL usado para construir o indicador, o resultado dos cálculos e o </w:t>
      </w:r>
      <w:r w:rsidRPr="008D02AF">
        <w:rPr>
          <w:rFonts w:ascii="Exo" w:hAnsi="Exo"/>
          <w:i/>
          <w:iCs/>
          <w:sz w:val="20"/>
          <w:szCs w:val="20"/>
        </w:rPr>
        <w:t>dashboard</w:t>
      </w:r>
      <w:r w:rsidRPr="008D02AF">
        <w:rPr>
          <w:rFonts w:ascii="Exo" w:hAnsi="Exo"/>
          <w:sz w:val="20"/>
          <w:szCs w:val="20"/>
        </w:rPr>
        <w:t xml:space="preserve"> interativo. Para acessar estes artefatos, basta clicar nos ícones abaixo.</w:t>
      </w:r>
    </w:p>
    <w:p w14:paraId="123F27AC" w14:textId="09CA0BE0" w:rsidR="004C586F" w:rsidRPr="00982DD4" w:rsidRDefault="004C586F" w:rsidP="004C586F">
      <w:pPr>
        <w:pStyle w:val="Legenda"/>
        <w:keepNext/>
        <w:spacing w:after="0"/>
        <w:jc w:val="center"/>
        <w:rPr>
          <w:rFonts w:ascii="Exo" w:hAnsi="Exo"/>
          <w:b/>
          <w:bCs/>
          <w:color w:val="auto"/>
        </w:rPr>
      </w:pPr>
      <w:commentRangeStart w:id="17"/>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1420E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7"/>
      <w:r w:rsidR="00EE3330">
        <w:rPr>
          <w:rStyle w:val="Refdecomentrio"/>
          <w:i w:val="0"/>
          <w:iCs w:val="0"/>
          <w:color w:val="auto"/>
        </w:rPr>
        <w:commentReference w:id="17"/>
      </w:r>
    </w:p>
    <w:p w14:paraId="1411D186" w14:textId="77777777" w:rsidR="00630F4B" w:rsidRDefault="00630F4B" w:rsidP="004C586F">
      <w:pPr>
        <w:pStyle w:val="PargrafodaLista"/>
        <w:ind w:left="0"/>
        <w:jc w:val="center"/>
        <w:rPr>
          <w:rFonts w:ascii="Montserrat" w:hAnsi="Montserrat"/>
        </w:rPr>
      </w:pPr>
      <w:r>
        <w:rPr>
          <w:rFonts w:ascii="Montserrat" w:hAnsi="Montserrat"/>
          <w:noProof/>
          <w:lang w:eastAsia="pt-BR"/>
        </w:rPr>
        <w:drawing>
          <wp:inline distT="0" distB="0" distL="0" distR="0" wp14:anchorId="2CF285D3" wp14:editId="71D70EBA">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18" w:name="_Toc188459876"/>
      <w:r w:rsidRPr="00F44797">
        <w:rPr>
          <w:rFonts w:ascii="Exo" w:hAnsi="Exo"/>
          <w:b/>
          <w:bCs/>
          <w:color w:val="auto"/>
        </w:rPr>
        <w:lastRenderedPageBreak/>
        <w:t>Exemplo de aplicação</w:t>
      </w:r>
      <w:bookmarkEnd w:id="18"/>
    </w:p>
    <w:p w14:paraId="2B9707BA" w14:textId="43C6F35C" w:rsidR="00AE55C5" w:rsidRPr="002E7BD9" w:rsidRDefault="009566B7" w:rsidP="009566B7">
      <w:pPr>
        <w:pStyle w:val="SemEspaamento"/>
        <w:spacing w:after="200" w:line="360" w:lineRule="auto"/>
        <w:ind w:firstLine="851"/>
        <w:jc w:val="both"/>
        <w:rPr>
          <w:rFonts w:ascii="Exo" w:hAnsi="Exo"/>
          <w:sz w:val="20"/>
          <w:szCs w:val="20"/>
        </w:rPr>
      </w:pPr>
      <w:bookmarkStart w:id="19" w:name="_Hlk188883288"/>
      <w:r w:rsidRPr="009566B7">
        <w:rPr>
          <w:rFonts w:ascii="Exo" w:hAnsi="Exo"/>
          <w:sz w:val="20"/>
          <w:szCs w:val="20"/>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19"/>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bookmarkStart w:id="20" w:name="_GoBack"/>
      <w:bookmarkEnd w:id="20"/>
    </w:p>
    <w:p w14:paraId="39EEE99C" w14:textId="58826981" w:rsidR="00F44797" w:rsidRDefault="005049B6" w:rsidP="00F44797">
      <w:pPr>
        <w:pStyle w:val="NormalWeb"/>
        <w:spacing w:before="0" w:beforeAutospacing="0" w:after="0" w:afterAutospacing="0"/>
        <w:jc w:val="center"/>
      </w:pPr>
      <w:bookmarkStart w:id="21"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1"/>
    </w:p>
    <w:p w14:paraId="44BD6DC9" w14:textId="5BF01F4C" w:rsidR="00F44797" w:rsidRPr="00F44797" w:rsidRDefault="00F44797" w:rsidP="00621F37">
      <w:pPr>
        <w:spacing w:line="360" w:lineRule="auto"/>
        <w:ind w:firstLine="851"/>
        <w:jc w:val="both"/>
        <w:rPr>
          <w:rFonts w:ascii="Montserrat" w:hAnsi="Montserrat"/>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22" w:name="_Toc188459877"/>
      <w:r w:rsidRPr="00F44797">
        <w:rPr>
          <w:rFonts w:ascii="Exo" w:hAnsi="Exo"/>
          <w:b/>
          <w:bCs/>
          <w:color w:val="auto"/>
        </w:rPr>
        <w:lastRenderedPageBreak/>
        <w:t>Referências</w:t>
      </w:r>
      <w:bookmarkEnd w:id="22"/>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p>
        <w:p w14:paraId="1AD0438A" w14:textId="478E2AB7"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w:t>
          </w:r>
          <w:proofErr w:type="spellStart"/>
          <w:r w:rsidR="007D148F" w:rsidRPr="00B83F7C">
            <w:rPr>
              <w:rFonts w:ascii="Exo" w:eastAsia="Times New Roman" w:hAnsi="Exo"/>
              <w:color w:val="000000"/>
              <w:sz w:val="20"/>
              <w:szCs w:val="20"/>
            </w:rPr>
            <w:t>Saliba</w:t>
          </w:r>
          <w:proofErr w:type="spellEnd"/>
          <w:r w:rsidR="007D148F" w:rsidRPr="00B83F7C">
            <w:rPr>
              <w:rFonts w:ascii="Exo" w:eastAsia="Times New Roman" w:hAnsi="Exo"/>
              <w:color w:val="000000"/>
              <w:sz w:val="20"/>
              <w:szCs w:val="20"/>
            </w:rPr>
            <w:t xml:space="preserve"> NA, </w:t>
          </w:r>
          <w:proofErr w:type="spellStart"/>
          <w:r w:rsidR="007D148F" w:rsidRPr="00B83F7C">
            <w:rPr>
              <w:rFonts w:ascii="Exo" w:eastAsia="Times New Roman" w:hAnsi="Exo"/>
              <w:color w:val="000000"/>
              <w:sz w:val="20"/>
              <w:szCs w:val="20"/>
            </w:rPr>
            <w:t>Moimaz</w:t>
          </w:r>
          <w:proofErr w:type="spellEnd"/>
          <w:r w:rsidR="007D148F" w:rsidRPr="00B83F7C">
            <w:rPr>
              <w:rFonts w:ascii="Exo" w:eastAsia="Times New Roman" w:hAnsi="Exo"/>
              <w:color w:val="000000"/>
              <w:sz w:val="20"/>
              <w:szCs w:val="20"/>
            </w:rPr>
            <w:t xml:space="preserve"> SAS, </w:t>
          </w:r>
          <w:r w:rsidR="001420E1">
            <w:rPr>
              <w:rFonts w:ascii="Exo" w:eastAsia="Times New Roman" w:hAnsi="Exo"/>
              <w:color w:val="000000"/>
              <w:sz w:val="20"/>
              <w:szCs w:val="20"/>
            </w:rPr>
            <w:t xml:space="preserve">dos </w:t>
          </w:r>
          <w:r w:rsidR="007D148F" w:rsidRPr="00B83F7C">
            <w:rPr>
              <w:rFonts w:ascii="Exo" w:eastAsia="Times New Roman" w:hAnsi="Exo"/>
              <w:color w:val="000000"/>
              <w:sz w:val="20"/>
              <w:szCs w:val="20"/>
            </w:rPr>
            <w:t xml:space="preserve">Santos KT. O papel das universidades na formação de profissionais na área de saúde. </w:t>
          </w:r>
          <w:proofErr w:type="spellStart"/>
          <w:r w:rsidR="007D148F" w:rsidRPr="00B83F7C">
            <w:rPr>
              <w:rFonts w:ascii="Exo" w:eastAsia="Times New Roman" w:hAnsi="Exo"/>
              <w:color w:val="000000"/>
              <w:sz w:val="20"/>
              <w:szCs w:val="20"/>
            </w:rPr>
            <w:t>Rev</w:t>
          </w:r>
          <w:proofErr w:type="spellEnd"/>
          <w:r w:rsidR="007D148F" w:rsidRPr="00B83F7C">
            <w:rPr>
              <w:rFonts w:ascii="Exo" w:eastAsia="Times New Roman" w:hAnsi="Exo"/>
              <w:color w:val="000000"/>
              <w:sz w:val="20"/>
              <w:szCs w:val="20"/>
            </w:rPr>
            <w:t xml:space="preserve"> </w:t>
          </w:r>
          <w:proofErr w:type="spellStart"/>
          <w:r w:rsidR="007D148F" w:rsidRPr="00B83F7C">
            <w:rPr>
              <w:rFonts w:ascii="Exo" w:eastAsia="Times New Roman" w:hAnsi="Exo"/>
              <w:color w:val="000000"/>
              <w:sz w:val="20"/>
              <w:szCs w:val="20"/>
            </w:rPr>
            <w:t>Abeno</w:t>
          </w:r>
          <w:proofErr w:type="spellEnd"/>
          <w:r w:rsidR="007D148F" w:rsidRPr="00B83F7C">
            <w:rPr>
              <w:rFonts w:ascii="Exo" w:eastAsia="Times New Roman" w:hAnsi="Exo"/>
              <w:color w:val="000000"/>
              <w:sz w:val="20"/>
              <w:szCs w:val="20"/>
            </w:rPr>
            <w:t>.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ilson" w:date="2025-02-15T13:26:00Z" w:initials="G">
    <w:p w14:paraId="2F49B848" w14:textId="48FFCAF7" w:rsidR="00EE3330" w:rsidRDefault="00EE3330">
      <w:pPr>
        <w:pStyle w:val="Textodecomentrio"/>
      </w:pPr>
      <w:r>
        <w:rPr>
          <w:rStyle w:val="Refdecomentrio"/>
        </w:rPr>
        <w:annotationRef/>
      </w:r>
      <w:r>
        <w:t>..</w:t>
      </w:r>
      <w:r w:rsidRPr="00EE3330">
        <w:rPr>
          <w:u w:val="single"/>
        </w:rPr>
        <w:t>.do</w:t>
      </w:r>
      <w:r>
        <w:t xml:space="preserve"> indicador</w:t>
      </w:r>
    </w:p>
  </w:comment>
  <w:comment w:id="16" w:author="Gilson" w:date="2025-02-15T13:29:00Z" w:initials="G">
    <w:p w14:paraId="43D740C3" w14:textId="1C057687" w:rsidR="00EE3330" w:rsidRDefault="00EE3330">
      <w:pPr>
        <w:pStyle w:val="Textodecomentrio"/>
      </w:pPr>
      <w:r>
        <w:rPr>
          <w:rStyle w:val="Refdecomentrio"/>
        </w:rPr>
        <w:annotationRef/>
      </w:r>
      <w:r>
        <w:t>...da área da saúde</w:t>
      </w:r>
    </w:p>
  </w:comment>
  <w:comment w:id="17" w:author="Gilson" w:date="2025-02-15T13:30:00Z" w:initials="G">
    <w:p w14:paraId="248B73FC" w14:textId="46D3DDBA" w:rsidR="00EE3330" w:rsidRDefault="00EE3330">
      <w:pPr>
        <w:pStyle w:val="Textodecomentrio"/>
      </w:pPr>
      <w:r>
        <w:rPr>
          <w:rStyle w:val="Refdecomentrio"/>
        </w:rPr>
        <w:annotationRef/>
      </w:r>
      <w:r>
        <w:t xml:space="preserve">Tem 2 itens 1; evitar “para acessar... acesse” e </w:t>
      </w:r>
      <w:proofErr w:type="spellStart"/>
      <w:r>
        <w:t>dashboard</w:t>
      </w:r>
      <w:proofErr w:type="spellEnd"/>
      <w:r>
        <w:t xml:space="preserve"> em itálico para padronizar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9B848" w15:done="0"/>
  <w15:commentEx w15:paraId="43D740C3" w15:done="0"/>
  <w15:commentEx w15:paraId="248B73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587D8" w14:textId="77777777" w:rsidR="006F5237" w:rsidRDefault="006F5237" w:rsidP="0078205E">
      <w:pPr>
        <w:spacing w:after="0" w:line="240" w:lineRule="auto"/>
      </w:pPr>
      <w:r>
        <w:separator/>
      </w:r>
    </w:p>
  </w:endnote>
  <w:endnote w:type="continuationSeparator" w:id="0">
    <w:p w14:paraId="3654CEA2" w14:textId="77777777" w:rsidR="006F5237" w:rsidRDefault="006F523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19435" w14:textId="77777777" w:rsidR="006F5237" w:rsidRDefault="006F5237" w:rsidP="0078205E">
      <w:pPr>
        <w:spacing w:after="0" w:line="240" w:lineRule="auto"/>
      </w:pPr>
      <w:r>
        <w:separator/>
      </w:r>
    </w:p>
  </w:footnote>
  <w:footnote w:type="continuationSeparator" w:id="0">
    <w:p w14:paraId="4FE6B14E" w14:textId="77777777" w:rsidR="006F5237" w:rsidRDefault="006F5237"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33659"/>
    <w:rsid w:val="00070E8E"/>
    <w:rsid w:val="001239B3"/>
    <w:rsid w:val="00134CD6"/>
    <w:rsid w:val="001420E1"/>
    <w:rsid w:val="001D0EE0"/>
    <w:rsid w:val="00255C97"/>
    <w:rsid w:val="002826EF"/>
    <w:rsid w:val="002D5D78"/>
    <w:rsid w:val="00312956"/>
    <w:rsid w:val="0031525C"/>
    <w:rsid w:val="00317332"/>
    <w:rsid w:val="003361F9"/>
    <w:rsid w:val="00393255"/>
    <w:rsid w:val="003F6595"/>
    <w:rsid w:val="004036A2"/>
    <w:rsid w:val="00492D6C"/>
    <w:rsid w:val="00496AA8"/>
    <w:rsid w:val="004A3585"/>
    <w:rsid w:val="004C446E"/>
    <w:rsid w:val="004C586F"/>
    <w:rsid w:val="004E0F3E"/>
    <w:rsid w:val="005049B6"/>
    <w:rsid w:val="0051118D"/>
    <w:rsid w:val="0051366A"/>
    <w:rsid w:val="00537021"/>
    <w:rsid w:val="005676CD"/>
    <w:rsid w:val="005C3030"/>
    <w:rsid w:val="00611B15"/>
    <w:rsid w:val="00621F37"/>
    <w:rsid w:val="00630F4B"/>
    <w:rsid w:val="006447AB"/>
    <w:rsid w:val="00666086"/>
    <w:rsid w:val="0067139C"/>
    <w:rsid w:val="006F5237"/>
    <w:rsid w:val="00734DA8"/>
    <w:rsid w:val="00777CB9"/>
    <w:rsid w:val="0078205E"/>
    <w:rsid w:val="007B242D"/>
    <w:rsid w:val="007D148F"/>
    <w:rsid w:val="007D26D7"/>
    <w:rsid w:val="00814305"/>
    <w:rsid w:val="008A4697"/>
    <w:rsid w:val="008B2C81"/>
    <w:rsid w:val="008D02AF"/>
    <w:rsid w:val="009566B7"/>
    <w:rsid w:val="00973F1E"/>
    <w:rsid w:val="009A798D"/>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72E2A"/>
    <w:rsid w:val="00E901DF"/>
    <w:rsid w:val="00EE3330"/>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9_quantidade_ies_saude/09_quantidade_ies_saud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99012DEE-2095-4C7E-8616-A2B10E1602D6}"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AFD7E71E-06F4-4E30-AB93-E8CD2F00D20A}" type="presOf" srcId="{90464B62-12E6-4495-A349-F474B665F994}" destId="{AA6F2AFC-8D7F-45F9-80CA-30218302A5D3}" srcOrd="1" destOrd="0" presId="urn:microsoft.com/office/officeart/2005/8/layout/vList4"/>
    <dgm:cxn modelId="{3FAD8D46-AE06-4E79-AB76-03B006A6628B}" type="presOf" srcId="{BC085E80-1B48-42A7-9691-1C1A4166ED25}" destId="{B135152D-B454-47EA-A74A-8F467C8624E6}" srcOrd="0" destOrd="0" presId="urn:microsoft.com/office/officeart/2005/8/layout/vList4"/>
    <dgm:cxn modelId="{2057E353-9257-44AF-A074-A2009FC1E6A8}"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A9797D47-4F0A-4744-8AF6-256142CD468F}" type="presOf" srcId="{B28CD35B-00C0-42A5-822F-19B5B45B774D}" destId="{2813FACD-E038-4BC8-A797-FE679AF5926C}" srcOrd="1"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4EB6A966-212A-4A8E-967C-5AB3E4BC013E}" type="presOf" srcId="{B28CD35B-00C0-42A5-822F-19B5B45B774D}" destId="{5D1683F8-A5E9-4212-B6CF-EB65A12E1D55}"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CC7901" w:rsidRDefault="0003657F" w:rsidP="0003657F">
          <w:pPr>
            <w:pStyle w:val="06D487C58F144504993FC3ED399EB9D1"/>
          </w:pPr>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A8FC42992AEA4C1B87C534C2CABE14BC"/>
        <w:category>
          <w:name w:val="Geral"/>
          <w:gallery w:val="placeholder"/>
        </w:category>
        <w:types>
          <w:type w:val="bbPlcHdr"/>
        </w:types>
        <w:behaviors>
          <w:behavior w:val="content"/>
        </w:behaviors>
        <w:guid w:val="{ED11494E-90F9-4FAD-8569-8E5CF05845D8}"/>
      </w:docPartPr>
      <w:docPartBody>
        <w:p w:rsidR="00481F5E" w:rsidRDefault="00EE7DAC" w:rsidP="00EE7DAC">
          <w:pPr>
            <w:pStyle w:val="A8FC42992AEA4C1B87C534C2CABE14B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3657F"/>
    <w:rsid w:val="001D5101"/>
    <w:rsid w:val="00201B4E"/>
    <w:rsid w:val="00206B74"/>
    <w:rsid w:val="00234B10"/>
    <w:rsid w:val="00481F5E"/>
    <w:rsid w:val="004E3978"/>
    <w:rsid w:val="00673525"/>
    <w:rsid w:val="007C6DAE"/>
    <w:rsid w:val="009A2513"/>
    <w:rsid w:val="00A13FC7"/>
    <w:rsid w:val="00A647F7"/>
    <w:rsid w:val="00AE103D"/>
    <w:rsid w:val="00B10BB0"/>
    <w:rsid w:val="00BA0934"/>
    <w:rsid w:val="00BC5F8A"/>
    <w:rsid w:val="00C21B55"/>
    <w:rsid w:val="00C8124C"/>
    <w:rsid w:val="00CC7901"/>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E7DAC"/>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A8FC42992AEA4C1B87C534C2CABE14BC">
    <w:name w:val="A8FC42992AEA4C1B87C534C2CABE14BC"/>
    <w:rsid w:val="00EE7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1437</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2025-01-28T17:18:00Z</cp:lastPrinted>
  <dcterms:created xsi:type="dcterms:W3CDTF">2025-02-15T15:07:00Z</dcterms:created>
  <dcterms:modified xsi:type="dcterms:W3CDTF">2025-02-15T16:33:00Z</dcterms:modified>
</cp:coreProperties>
</file>