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B3D8CD4">
            <wp:simplePos x="0" y="0"/>
            <wp:positionH relativeFrom="column">
              <wp:posOffset>-1157773</wp:posOffset>
            </wp:positionH>
            <wp:positionV relativeFrom="paragraph">
              <wp:posOffset>-882542</wp:posOffset>
            </wp:positionV>
            <wp:extent cx="7685064" cy="10869963"/>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3"/>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Gustavo Hoff</w:t>
      </w:r>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Daniel do Prado Pagotto</w:t>
      </w:r>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18B77DA9"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525C771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Desirée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Elisabet Pereira Lelo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0404B357"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75C85EF6"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0B4947F6" w:rsidR="00D94830" w:rsidRPr="00A36677" w:rsidRDefault="00000000">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1D70B669" w:rsidR="00D94830" w:rsidRPr="00A36677" w:rsidRDefault="00000000">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9</w:t>
            </w:r>
            <w:r w:rsidR="00D94830" w:rsidRPr="00A36677">
              <w:rPr>
                <w:rStyle w:val="Hyperlink"/>
                <w:rFonts w:ascii="Amsi Pro SemiBold" w:hAnsi="Amsi Pro SemiBold"/>
                <w:b/>
                <w:bCs/>
                <w:noProof/>
                <w:webHidden/>
              </w:rPr>
              <w:fldChar w:fldCharType="end"/>
            </w:r>
          </w:hyperlink>
        </w:p>
        <w:p w14:paraId="3F8FE46D" w14:textId="2D74ED5B" w:rsidR="00D94830" w:rsidRPr="00A36677" w:rsidRDefault="00000000">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A36677">
        <w:rPr>
          <w:rFonts w:ascii="Amsi Pro SemiBold" w:hAnsi="Amsi Pro SemiBold"/>
          <w:sz w:val="24"/>
          <w:szCs w:val="24"/>
        </w:rPr>
        <w:t>cervicouterino</w:t>
      </w:r>
      <w:proofErr w:type="spellEnd"/>
      <w:r w:rsidRPr="00A36677">
        <w:rPr>
          <w:rFonts w:ascii="Amsi Pro SemiBold" w:hAnsi="Amsi Pro SemiBold"/>
          <w:sz w:val="24"/>
          <w:szCs w:val="24"/>
        </w:rPr>
        <w:t xml:space="preserve">. Uma pesquisa realizada na Bahia revelou que profissionais com dois ou mais anos de atuação no mesmo município apresentaram indicadores de qualidade superiores </w:t>
      </w:r>
      <w:r w:rsidRPr="00A36677">
        <w:rPr>
          <w:rFonts w:ascii="Amsi Pro SemiBold" w:hAnsi="Amsi Pro SemiBold"/>
          <w:sz w:val="24"/>
          <w:szCs w:val="24"/>
        </w:rPr>
        <w:lastRenderedPageBreak/>
        <w:t>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Instituição: Ministério da Saúde, disponibilizado via </w:t>
            </w:r>
            <w:proofErr w:type="spellStart"/>
            <w:r w:rsidRPr="00A36677">
              <w:rPr>
                <w:rFonts w:ascii="Amsi Pro SemiBold" w:hAnsi="Amsi Pro SemiBold"/>
                <w:color w:val="auto"/>
              </w:rPr>
              <w:t>Datasus</w:t>
            </w:r>
            <w:proofErr w:type="spellEnd"/>
            <w:r w:rsidRPr="00A36677">
              <w:rPr>
                <w:rFonts w:ascii="Amsi Pro SemiBold" w:hAnsi="Amsi Pro SemiBold"/>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Wakerman</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Kuipers</w:t>
            </w:r>
            <w:proofErr w:type="spellEnd"/>
            <w:r w:rsidRPr="00A36677">
              <w:rPr>
                <w:rFonts w:ascii="Amsi Pro SemiBold" w:hAnsi="Amsi Pro SemiBold"/>
                <w:color w:val="auto"/>
              </w:rPr>
              <w:t xml:space="preserve"> P, Wells R, Russell D, </w:t>
            </w:r>
            <w:proofErr w:type="spellStart"/>
            <w:r w:rsidRPr="00A36677">
              <w:rPr>
                <w:rFonts w:ascii="Amsi Pro SemiBold" w:hAnsi="Amsi Pro SemiBold"/>
                <w:color w:val="auto"/>
              </w:rPr>
              <w:t>Siegloff</w:t>
            </w:r>
            <w:proofErr w:type="spellEnd"/>
            <w:r w:rsidRPr="00A36677">
              <w:rPr>
                <w:rFonts w:ascii="Amsi Pro SemiBold" w:hAnsi="Amsi Pro SemiBold"/>
                <w:color w:val="auto"/>
              </w:rPr>
              <w:t xml:space="preserve"> S, et al. </w:t>
            </w:r>
            <w:proofErr w:type="spellStart"/>
            <w:r w:rsidRPr="00A36677">
              <w:rPr>
                <w:rFonts w:ascii="Amsi Pro SemiBold" w:hAnsi="Amsi Pro SemiBold"/>
                <w:color w:val="auto"/>
              </w:rPr>
              <w:t>Improving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developing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integrated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logic</w:t>
            </w:r>
            <w:proofErr w:type="spellEnd"/>
            <w:r w:rsidRPr="00A36677">
              <w:rPr>
                <w:rFonts w:ascii="Amsi Pro SemiBold" w:hAnsi="Amsi Pro SemiBold"/>
                <w:color w:val="auto"/>
              </w:rPr>
              <w:t xml:space="preserve"> model </w:t>
            </w:r>
            <w:proofErr w:type="spellStart"/>
            <w:r w:rsidRPr="00A36677">
              <w:rPr>
                <w:rFonts w:ascii="Amsi Pro SemiBold" w:hAnsi="Amsi Pro SemiBold"/>
                <w:color w:val="auto"/>
              </w:rPr>
              <w:t>to</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maximise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sustainability</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of</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small</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remote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services</w:t>
            </w:r>
            <w:proofErr w:type="spellEnd"/>
            <w:r w:rsidRPr="00A36677">
              <w:rPr>
                <w:rFonts w:ascii="Amsi Pro SemiBold" w:hAnsi="Amsi Pro SemiBold"/>
                <w:color w:val="auto"/>
              </w:rPr>
              <w:t xml:space="preserve">. Canberra: Australian Primary Health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Research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Institute</w:t>
            </w:r>
            <w:proofErr w:type="spellEnd"/>
            <w:r w:rsidRPr="00A36677">
              <w:rPr>
                <w:rFonts w:ascii="Amsi Pro SemiBold" w:hAnsi="Amsi Pro SemiBold"/>
                <w:color w:val="auto"/>
              </w:rPr>
              <w:t>; 2009.</w:t>
            </w:r>
          </w:p>
          <w:p w14:paraId="34B73507" w14:textId="54696327" w:rsidR="003A32BC"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Chisholm</w:t>
            </w:r>
            <w:proofErr w:type="spellEnd"/>
            <w:r w:rsidRPr="00A36677">
              <w:rPr>
                <w:rFonts w:ascii="Amsi Pro SemiBold" w:hAnsi="Amsi Pro SemiBold"/>
                <w:color w:val="auto"/>
              </w:rPr>
              <w:t xml:space="preserve"> M, Russell D, </w:t>
            </w: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Measuring</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allied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turnover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what</w:t>
            </w:r>
            <w:proofErr w:type="spellEnd"/>
            <w:r w:rsidRPr="00A36677">
              <w:rPr>
                <w:rFonts w:ascii="Amsi Pro SemiBold" w:hAnsi="Amsi Pro SemiBold"/>
                <w:color w:val="auto"/>
              </w:rPr>
              <w:t xml:space="preserve"> are </w:t>
            </w:r>
            <w:proofErr w:type="spellStart"/>
            <w:r w:rsidRPr="00A36677">
              <w:rPr>
                <w:rFonts w:ascii="Amsi Pro SemiBold" w:hAnsi="Amsi Pro SemiBold"/>
                <w:color w:val="auto"/>
              </w:rPr>
              <w:t>the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patterns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determinants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costs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Aust</w:t>
            </w:r>
            <w:proofErr w:type="spellEnd"/>
            <w:r w:rsidRPr="00A36677">
              <w:rPr>
                <w:rFonts w:ascii="Amsi Pro SemiBold" w:hAnsi="Amsi Pro SemiBold"/>
                <w:color w:val="auto"/>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D80968">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77777777" w:rsidR="00A36677" w:rsidRPr="00727C53" w:rsidRDefault="00A36677" w:rsidP="00A36677">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142725C5">
            <wp:extent cx="5400040" cy="3150235"/>
            <wp:effectExtent l="0" t="0" r="863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5"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5"/>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2D6C">
        <w:rPr>
          <w:rFonts w:ascii="Exo" w:hAnsi="Exo"/>
          <w:sz w:val="24"/>
          <w:szCs w:val="24"/>
        </w:rPr>
        <w:t xml:space="preserve"> </w:t>
      </w:r>
      <w:commentRangeStart w:id="16"/>
      <w:r w:rsidR="006051DD">
        <w:fldChar w:fldCharType="begin"/>
      </w:r>
      <w:r w:rsidR="006051DD">
        <w:instrText xml:space="preserve"> HYPERLINK "https://github.com/danielppagotto/dimensionamento_m4/blob/main/01_indicadores/16_taxa_retencao/16_taxa_retencao.R" </w:instrText>
      </w:r>
      <w:r w:rsidR="006051DD">
        <w:fldChar w:fldCharType="separate"/>
      </w:r>
      <w:r w:rsidR="00C72D6C" w:rsidRPr="00C72D6C">
        <w:rPr>
          <w:rStyle w:val="Hyperlink"/>
          <w:rFonts w:ascii="Exo" w:hAnsi="Exo"/>
          <w:sz w:val="24"/>
          <w:szCs w:val="24"/>
        </w:rPr>
        <w:t>aqui</w:t>
      </w:r>
      <w:r w:rsidR="006051DD">
        <w:rPr>
          <w:rStyle w:val="Hyperlink"/>
          <w:rFonts w:ascii="Exo" w:hAnsi="Exo"/>
          <w:sz w:val="24"/>
          <w:szCs w:val="24"/>
        </w:rPr>
        <w:fldChar w:fldCharType="end"/>
      </w:r>
      <w:commentRangeEnd w:id="16"/>
      <w:r w:rsidR="00A36677">
        <w:rPr>
          <w:rStyle w:val="Refdecomentrio"/>
        </w:rPr>
        <w:commentReference w:id="16"/>
      </w:r>
      <w:r w:rsidR="00C72D6C">
        <w:rPr>
          <w:rFonts w:ascii="Exo" w:hAnsi="Exo"/>
          <w:sz w:val="24"/>
          <w:szCs w:val="24"/>
        </w:rPr>
        <w:t>.</w:t>
      </w:r>
      <w:r w:rsidR="00E04E3F">
        <w:rPr>
          <w:rFonts w:ascii="Exo" w:hAnsi="Exo"/>
          <w:b/>
          <w:bCs/>
        </w:rPr>
        <w:br w:type="page"/>
      </w:r>
    </w:p>
    <w:p w14:paraId="393A9936" w14:textId="4AA468C9" w:rsidR="00666086" w:rsidRPr="00A36677" w:rsidRDefault="00666086" w:rsidP="00E04E3F">
      <w:pPr>
        <w:pStyle w:val="Ttulo1"/>
        <w:spacing w:after="200" w:line="360" w:lineRule="auto"/>
        <w:jc w:val="center"/>
        <w:rPr>
          <w:rFonts w:ascii="Amsi Pro SemiBold" w:hAnsi="Amsi Pro SemiBold"/>
          <w:b/>
          <w:bCs/>
          <w:color w:val="auto"/>
          <w:lang w:val="en-US"/>
        </w:rPr>
      </w:pPr>
      <w:bookmarkStart w:id="17" w:name="_Toc188883217"/>
      <w:proofErr w:type="spellStart"/>
      <w:r w:rsidRPr="00A36677">
        <w:rPr>
          <w:rFonts w:ascii="Amsi Pro SemiBold" w:hAnsi="Amsi Pro SemiBold"/>
          <w:b/>
          <w:bCs/>
          <w:color w:val="auto"/>
          <w:lang w:val="en-US"/>
        </w:rPr>
        <w:lastRenderedPageBreak/>
        <w:t>Referências</w:t>
      </w:r>
      <w:bookmarkEnd w:id="17"/>
      <w:proofErr w:type="spellEnd"/>
    </w:p>
    <w:bookmarkStart w:id="18"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Najafpour</w:t>
          </w:r>
          <w:proofErr w:type="spellEnd"/>
          <w:r w:rsidRPr="00A36677">
            <w:rPr>
              <w:rFonts w:ascii="Amsi Pro SemiBold" w:eastAsia="Times New Roman" w:hAnsi="Amsi Pro SemiBold"/>
              <w:color w:val="000000"/>
              <w:sz w:val="20"/>
              <w:szCs w:val="20"/>
              <w:lang w:val="en-US"/>
            </w:rPr>
            <w:t xml:space="preserve"> Z, Arab M, </w:t>
          </w:r>
          <w:proofErr w:type="spellStart"/>
          <w:r w:rsidRPr="00A36677">
            <w:rPr>
              <w:rFonts w:ascii="Amsi Pro SemiBold" w:eastAsia="Times New Roman" w:hAnsi="Amsi Pro SemiBold"/>
              <w:color w:val="000000"/>
              <w:sz w:val="20"/>
              <w:szCs w:val="20"/>
              <w:lang w:val="en-US"/>
            </w:rPr>
            <w:t>Shayanfard</w:t>
          </w:r>
          <w:proofErr w:type="spellEnd"/>
          <w:r w:rsidRPr="00A3667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Organização</w:t>
          </w:r>
          <w:proofErr w:type="spellEnd"/>
          <w:r w:rsidRPr="00A36677">
            <w:rPr>
              <w:rFonts w:ascii="Amsi Pro SemiBold" w:eastAsia="Times New Roman" w:hAnsi="Amsi Pro SemiBold"/>
              <w:color w:val="000000"/>
              <w:sz w:val="20"/>
              <w:szCs w:val="20"/>
              <w:lang w:val="en-US"/>
            </w:rPr>
            <w:t xml:space="preserve"> Pan-Americana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Contas</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Nacionais</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Força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Ministério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Indicadores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material de </w:t>
          </w:r>
          <w:proofErr w:type="spellStart"/>
          <w:r w:rsidRPr="00A36677">
            <w:rPr>
              <w:rFonts w:ascii="Amsi Pro SemiBold" w:eastAsia="Times New Roman" w:hAnsi="Amsi Pro SemiBold"/>
              <w:color w:val="000000"/>
              <w:sz w:val="20"/>
              <w:szCs w:val="20"/>
              <w:lang w:val="en-US"/>
            </w:rPr>
            <w:t>apoio</w:t>
          </w:r>
          <w:proofErr w:type="spellEnd"/>
          <w:r w:rsidRPr="00A36677">
            <w:rPr>
              <w:rFonts w:ascii="Amsi Pro SemiBold" w:eastAsia="Times New Roman" w:hAnsi="Amsi Pro SemiBold"/>
              <w:color w:val="000000"/>
              <w:sz w:val="20"/>
              <w:szCs w:val="20"/>
              <w:lang w:val="en-US"/>
            </w:rPr>
            <w:t xml:space="preserve"> para o </w:t>
          </w:r>
          <w:proofErr w:type="spellStart"/>
          <w:r w:rsidRPr="00A36677">
            <w:rPr>
              <w:rFonts w:ascii="Amsi Pro SemiBold" w:eastAsia="Times New Roman" w:hAnsi="Amsi Pro SemiBold"/>
              <w:color w:val="000000"/>
              <w:sz w:val="20"/>
              <w:szCs w:val="20"/>
              <w:lang w:val="en-US"/>
            </w:rPr>
            <w:t>Programa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Qualificação</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Estruturação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e da </w:t>
          </w:r>
          <w:proofErr w:type="spellStart"/>
          <w:r w:rsidRPr="00A36677">
            <w:rPr>
              <w:rFonts w:ascii="Amsi Pro SemiBold" w:eastAsia="Times New Roman" w:hAnsi="Amsi Pro SemiBold"/>
              <w:color w:val="000000"/>
              <w:sz w:val="20"/>
              <w:szCs w:val="20"/>
              <w:lang w:val="en-US"/>
            </w:rPr>
            <w:t>Educação</w:t>
          </w:r>
          <w:proofErr w:type="spellEnd"/>
          <w:r w:rsidRPr="00A36677">
            <w:rPr>
              <w:rFonts w:ascii="Amsi Pro SemiBold" w:eastAsia="Times New Roman" w:hAnsi="Amsi Pro SemiBold"/>
              <w:color w:val="000000"/>
              <w:sz w:val="20"/>
              <w:szCs w:val="20"/>
              <w:lang w:val="en-US"/>
            </w:rPr>
            <w:t xml:space="preserve"> no SUS - </w:t>
          </w:r>
          <w:proofErr w:type="spellStart"/>
          <w:r w:rsidRPr="00A36677">
            <w:rPr>
              <w:rFonts w:ascii="Amsi Pro SemiBold" w:eastAsia="Times New Roman" w:hAnsi="Amsi Pro SemiBold"/>
              <w:color w:val="000000"/>
              <w:sz w:val="20"/>
              <w:szCs w:val="20"/>
              <w:lang w:val="en-US"/>
            </w:rPr>
            <w:t>ProgeSUS</w:t>
          </w:r>
          <w:proofErr w:type="spellEnd"/>
          <w:r w:rsidRPr="00A36677">
            <w:rPr>
              <w:rFonts w:ascii="Amsi Pro SemiBold" w:eastAsia="Times New Roman" w:hAnsi="Amsi Pro SemiBold"/>
              <w:color w:val="000000"/>
              <w:sz w:val="20"/>
              <w:szCs w:val="20"/>
              <w:lang w:val="en-US"/>
            </w:rPr>
            <w:t xml:space="preserve">. Brasília: </w:t>
          </w:r>
          <w:proofErr w:type="spellStart"/>
          <w:r w:rsidRPr="00A36677">
            <w:rPr>
              <w:rFonts w:ascii="Amsi Pro SemiBold" w:eastAsia="Times New Roman" w:hAnsi="Amsi Pro SemiBold"/>
              <w:color w:val="000000"/>
              <w:sz w:val="20"/>
              <w:szCs w:val="20"/>
              <w:lang w:val="en-US"/>
            </w:rPr>
            <w:t>Editora</w:t>
          </w:r>
          <w:proofErr w:type="spellEnd"/>
          <w:r w:rsidRPr="00A36677">
            <w:rPr>
              <w:rFonts w:ascii="Amsi Pro SemiBold" w:eastAsia="Times New Roman" w:hAnsi="Amsi Pro SemiBold"/>
              <w:color w:val="000000"/>
              <w:sz w:val="20"/>
              <w:szCs w:val="20"/>
              <w:lang w:val="en-US"/>
            </w:rPr>
            <w:t xml:space="preserve">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8"/>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 xml:space="preserve">Anjos EF, Andrade KB, Martins PC, Paiva JAC, Prado NMBL, Santos AMD. </w:t>
          </w:r>
          <w:proofErr w:type="spellStart"/>
          <w:r w:rsidRPr="00A36677">
            <w:rPr>
              <w:rFonts w:ascii="Amsi Pro SemiBold" w:eastAsia="Times New Roman" w:hAnsi="Amsi Pro SemiBold"/>
              <w:color w:val="000000"/>
              <w:sz w:val="20"/>
              <w:szCs w:val="20"/>
              <w:lang w:val="en-US"/>
            </w:rPr>
            <w:t>Atuação</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profissionais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qualidade</w:t>
          </w:r>
          <w:proofErr w:type="spellEnd"/>
          <w:r w:rsidRPr="00A36677">
            <w:rPr>
              <w:rFonts w:ascii="Amsi Pro SemiBold" w:eastAsia="Times New Roman" w:hAnsi="Amsi Pro SemiBold"/>
              <w:color w:val="000000"/>
              <w:sz w:val="20"/>
              <w:szCs w:val="20"/>
              <w:lang w:val="en-US"/>
            </w:rPr>
            <w:t xml:space="preserve"> das </w:t>
          </w:r>
          <w:proofErr w:type="spellStart"/>
          <w:r w:rsidRPr="00A36677">
            <w:rPr>
              <w:rFonts w:ascii="Amsi Pro SemiBold" w:eastAsia="Times New Roman" w:hAnsi="Amsi Pro SemiBold"/>
              <w:color w:val="000000"/>
              <w:sz w:val="20"/>
              <w:szCs w:val="20"/>
              <w:lang w:val="en-US"/>
            </w:rPr>
            <w:t>ações</w:t>
          </w:r>
          <w:proofErr w:type="spellEnd"/>
          <w:r w:rsidRPr="00A36677">
            <w:rPr>
              <w:rFonts w:ascii="Amsi Pro SemiBold" w:eastAsia="Times New Roman" w:hAnsi="Amsi Pro SemiBold"/>
              <w:color w:val="000000"/>
              <w:sz w:val="20"/>
              <w:szCs w:val="20"/>
              <w:lang w:val="en-US"/>
            </w:rPr>
            <w:t xml:space="preserve"> no </w:t>
          </w:r>
          <w:proofErr w:type="spellStart"/>
          <w:r w:rsidRPr="00A36677">
            <w:rPr>
              <w:rFonts w:ascii="Amsi Pro SemiBold" w:eastAsia="Times New Roman" w:hAnsi="Amsi Pro SemiBold"/>
              <w:color w:val="000000"/>
              <w:sz w:val="20"/>
              <w:szCs w:val="20"/>
              <w:lang w:val="en-US"/>
            </w:rPr>
            <w:t>controle</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câncer</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cervicouterino</w:t>
          </w:r>
          <w:proofErr w:type="spellEnd"/>
          <w:r w:rsidRPr="00A36677">
            <w:rPr>
              <w:rFonts w:ascii="Amsi Pro SemiBold" w:eastAsia="Times New Roman" w:hAnsi="Amsi Pro SemiBold"/>
              <w:color w:val="000000"/>
              <w:sz w:val="20"/>
              <w:szCs w:val="20"/>
              <w:lang w:val="en-US"/>
            </w:rPr>
            <w:t xml:space="preserve">: um </w:t>
          </w:r>
          <w:proofErr w:type="spellStart"/>
          <w:r w:rsidRPr="00A36677">
            <w:rPr>
              <w:rFonts w:ascii="Amsi Pro SemiBold" w:eastAsia="Times New Roman" w:hAnsi="Amsi Pro SemiBold"/>
              <w:color w:val="000000"/>
              <w:sz w:val="20"/>
              <w:szCs w:val="20"/>
              <w:lang w:val="en-US"/>
            </w:rPr>
            <w:t>estudo</w:t>
          </w:r>
          <w:proofErr w:type="spellEnd"/>
          <w:r w:rsidRPr="00A36677">
            <w:rPr>
              <w:rFonts w:ascii="Amsi Pro SemiBold" w:eastAsia="Times New Roman" w:hAnsi="Amsi Pro SemiBold"/>
              <w:color w:val="000000"/>
              <w:sz w:val="20"/>
              <w:szCs w:val="20"/>
              <w:lang w:val="en-US"/>
            </w:rPr>
            <w:t xml:space="preserve"> transversal. Esc Anna Nery. 2021;</w:t>
          </w:r>
          <w:proofErr w:type="gramStart"/>
          <w:r w:rsidRPr="00A36677">
            <w:rPr>
              <w:rFonts w:ascii="Amsi Pro SemiBold" w:eastAsia="Times New Roman" w:hAnsi="Amsi Pro SemiBold"/>
              <w:color w:val="000000"/>
              <w:sz w:val="20"/>
              <w:szCs w:val="20"/>
              <w:lang w:val="en-US"/>
            </w:rPr>
            <w:t>26:e</w:t>
          </w:r>
          <w:proofErr w:type="gramEnd"/>
          <w:r w:rsidRPr="00A36677">
            <w:rPr>
              <w:rFonts w:ascii="Amsi Pro SemiBold" w:eastAsia="Times New Roman" w:hAnsi="Amsi Pro SemiBold"/>
              <w:color w:val="000000"/>
              <w:sz w:val="20"/>
              <w:szCs w:val="20"/>
              <w:lang w:val="en-US"/>
            </w:rPr>
            <w:t>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 xml:space="preserve">do Nascimento LH, Guerra GM, Nunes JGP. </w:t>
          </w:r>
          <w:proofErr w:type="spellStart"/>
          <w:r w:rsidR="00E33433" w:rsidRPr="00A36677">
            <w:rPr>
              <w:rFonts w:ascii="Amsi Pro SemiBold" w:eastAsia="Times New Roman" w:hAnsi="Amsi Pro SemiBold"/>
              <w:color w:val="000000"/>
              <w:sz w:val="20"/>
              <w:szCs w:val="20"/>
              <w:lang w:val="en-US"/>
            </w:rPr>
            <w:t>Estratégias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retenção</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profissionais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enfermagem</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nos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hospitais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protocolo</w:t>
          </w:r>
          <w:proofErr w:type="spellEnd"/>
          <w:r w:rsidR="00E33433" w:rsidRPr="00A36677">
            <w:rPr>
              <w:rFonts w:ascii="Amsi Pro SemiBold" w:eastAsia="Times New Roman" w:hAnsi="Amsi Pro SemiBold"/>
              <w:color w:val="000000"/>
              <w:sz w:val="20"/>
              <w:szCs w:val="20"/>
              <w:lang w:val="en-US"/>
            </w:rPr>
            <w:t xml:space="preserve"> de scoping review. Rev </w:t>
          </w:r>
          <w:proofErr w:type="spellStart"/>
          <w:r w:rsidR="00E33433" w:rsidRPr="00A36677">
            <w:rPr>
              <w:rFonts w:ascii="Amsi Pro SemiBold" w:eastAsia="Times New Roman" w:hAnsi="Amsi Pro SemiBold"/>
              <w:color w:val="000000"/>
              <w:sz w:val="20"/>
              <w:szCs w:val="20"/>
              <w:lang w:val="en-US"/>
            </w:rPr>
            <w:t>Enferm</w:t>
          </w:r>
          <w:proofErr w:type="spellEnd"/>
          <w:r w:rsidR="00E33433" w:rsidRPr="00A36677">
            <w:rPr>
              <w:rFonts w:ascii="Amsi Pro SemiBold" w:eastAsia="Times New Roman" w:hAnsi="Amsi Pro SemiBold"/>
              <w:color w:val="000000"/>
              <w:sz w:val="20"/>
              <w:szCs w:val="20"/>
              <w:lang w:val="en-US"/>
            </w:rPr>
            <w:t xml:space="preserve"> Ref. </w:t>
          </w:r>
          <w:proofErr w:type="gramStart"/>
          <w:r w:rsidR="00E33433" w:rsidRPr="00A36677">
            <w:rPr>
              <w:rFonts w:ascii="Amsi Pro SemiBold" w:eastAsia="Times New Roman" w:hAnsi="Amsi Pro SemiBold"/>
              <w:color w:val="000000"/>
              <w:sz w:val="20"/>
              <w:szCs w:val="20"/>
              <w:lang w:val="en-US"/>
            </w:rPr>
            <w:t>2019;:</w:t>
          </w:r>
          <w:proofErr w:type="gramEnd"/>
          <w:r w:rsidR="00E33433" w:rsidRPr="00A36677">
            <w:rPr>
              <w:rFonts w:ascii="Amsi Pro SemiBold" w:eastAsia="Times New Roman" w:hAnsi="Amsi Pro SemiBold"/>
              <w:color w:val="000000"/>
              <w:sz w:val="20"/>
              <w:szCs w:val="20"/>
              <w:lang w:val="en-US"/>
            </w:rPr>
            <w:t>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Tabur</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Elkefi</w:t>
          </w:r>
          <w:proofErr w:type="spellEnd"/>
          <w:r w:rsidRPr="00A36677">
            <w:rPr>
              <w:rFonts w:ascii="Amsi Pro SemiBold" w:eastAsia="Times New Roman" w:hAnsi="Amsi Pro SemiBold"/>
              <w:color w:val="000000"/>
              <w:sz w:val="20"/>
              <w:szCs w:val="20"/>
              <w:lang w:val="en-US"/>
            </w:rPr>
            <w:t xml:space="preserve"> S, </w:t>
          </w:r>
          <w:proofErr w:type="spellStart"/>
          <w:r w:rsidRPr="00A36677">
            <w:rPr>
              <w:rFonts w:ascii="Amsi Pro SemiBold" w:eastAsia="Times New Roman" w:hAnsi="Amsi Pro SemiBold"/>
              <w:color w:val="000000"/>
              <w:sz w:val="20"/>
              <w:szCs w:val="20"/>
              <w:lang w:val="en-US"/>
            </w:rPr>
            <w:t>Emhan</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Mengenci</w:t>
          </w:r>
          <w:proofErr w:type="spellEnd"/>
          <w:r w:rsidRPr="00A36677">
            <w:rPr>
              <w:rFonts w:ascii="Amsi Pro SemiBold" w:eastAsia="Times New Roman" w:hAnsi="Amsi Pro SemiBold"/>
              <w:color w:val="000000"/>
              <w:sz w:val="20"/>
              <w:szCs w:val="20"/>
              <w:lang w:val="en-US"/>
            </w:rPr>
            <w:t xml:space="preserve">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r w:rsidRPr="007033B0">
            <w:rPr>
              <w:rFonts w:ascii="Amsi Pro SemiBold" w:hAnsi="Amsi Pro SemiBold"/>
              <w:sz w:val="20"/>
              <w:szCs w:val="20"/>
            </w:rPr>
            <w:t>Pagotto DP, Marques W, Teixeira DM. A mensuração da retenção de profissionais. In: Pagotto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ENRIQUE RIBEIRO DA SILVEIRA" w:date="2025-03-06T11:40:00Z" w:initials="HRDS">
    <w:p w14:paraId="67C41D89" w14:textId="1C7983C9" w:rsidR="00A36677" w:rsidRDefault="00A36677">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41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831" w16cex:dateUtc="2025-03-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41D89" w16cid:durableId="2B740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0234" w14:textId="77777777" w:rsidR="00303735" w:rsidRDefault="00303735" w:rsidP="0078205E">
      <w:pPr>
        <w:spacing w:after="0" w:line="240" w:lineRule="auto"/>
      </w:pPr>
      <w:r>
        <w:separator/>
      </w:r>
    </w:p>
  </w:endnote>
  <w:endnote w:type="continuationSeparator" w:id="0">
    <w:p w14:paraId="7BDE9F3A" w14:textId="77777777" w:rsidR="00303735" w:rsidRDefault="0030373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4304C" w14:textId="77777777" w:rsidR="00303735" w:rsidRDefault="00303735" w:rsidP="0078205E">
      <w:pPr>
        <w:spacing w:after="0" w:line="240" w:lineRule="auto"/>
      </w:pPr>
      <w:r>
        <w:separator/>
      </w:r>
    </w:p>
  </w:footnote>
  <w:footnote w:type="continuationSeparator" w:id="0">
    <w:p w14:paraId="5E54DF35" w14:textId="77777777" w:rsidR="00303735" w:rsidRDefault="0030373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55639">
    <w:abstractNumId w:val="6"/>
  </w:num>
  <w:num w:numId="2" w16cid:durableId="1924222278">
    <w:abstractNumId w:val="3"/>
  </w:num>
  <w:num w:numId="3" w16cid:durableId="402725396">
    <w:abstractNumId w:val="0"/>
  </w:num>
  <w:num w:numId="4" w16cid:durableId="1298802807">
    <w:abstractNumId w:val="1"/>
  </w:num>
  <w:num w:numId="5" w16cid:durableId="320471576">
    <w:abstractNumId w:val="2"/>
  </w:num>
  <w:num w:numId="6" w16cid:durableId="1346594395">
    <w:abstractNumId w:val="4"/>
  </w:num>
  <w:num w:numId="7" w16cid:durableId="58538309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1E05EF"/>
    <w:rsid w:val="00255C97"/>
    <w:rsid w:val="00271638"/>
    <w:rsid w:val="0027498E"/>
    <w:rsid w:val="002826EF"/>
    <w:rsid w:val="00286AED"/>
    <w:rsid w:val="002C3D7F"/>
    <w:rsid w:val="002D5D78"/>
    <w:rsid w:val="002F4103"/>
    <w:rsid w:val="00303735"/>
    <w:rsid w:val="003A32BC"/>
    <w:rsid w:val="003E7A6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D7583"/>
    <w:rsid w:val="00B12FBF"/>
    <w:rsid w:val="00B13018"/>
    <w:rsid w:val="00B55CBE"/>
    <w:rsid w:val="00B81178"/>
    <w:rsid w:val="00BA7F31"/>
    <w:rsid w:val="00BE198D"/>
    <w:rsid w:val="00BE601B"/>
    <w:rsid w:val="00C05C2B"/>
    <w:rsid w:val="00C4209A"/>
    <w:rsid w:val="00C51334"/>
    <w:rsid w:val="00C567EB"/>
    <w:rsid w:val="00C72065"/>
    <w:rsid w:val="00C72D6C"/>
    <w:rsid w:val="00C91A7B"/>
    <w:rsid w:val="00CA4CA1"/>
    <w:rsid w:val="00CA52AE"/>
    <w:rsid w:val="00CD5E5D"/>
    <w:rsid w:val="00CF49FE"/>
    <w:rsid w:val="00D24869"/>
    <w:rsid w:val="00D36EEF"/>
    <w:rsid w:val="00D7294F"/>
    <w:rsid w:val="00D80968"/>
    <w:rsid w:val="00D94830"/>
    <w:rsid w:val="00D94AD2"/>
    <w:rsid w:val="00DE0DB4"/>
    <w:rsid w:val="00E04E3F"/>
    <w:rsid w:val="00E33433"/>
    <w:rsid w:val="00E47210"/>
    <w:rsid w:val="00E508EC"/>
    <w:rsid w:val="00E574C7"/>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dimensionamento.face.ufg.br/index.html" TargetMode="External"/><Relationship Id="rId7" Type="http://schemas.openxmlformats.org/officeDocument/2006/relationships/image" Target="../media/image6.svg"/><Relationship Id="rId2" Type="http://schemas.openxmlformats.org/officeDocument/2006/relationships/hyperlink" Target="https://dados.face.ufg.br/dataset/taxa_de_reteno_de_profissionais_localizados_em_regiao_de_sade"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CA1FBA"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71C8"/>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77FE8"/>
    <w:rsid w:val="008D68BB"/>
    <w:rsid w:val="00953952"/>
    <w:rsid w:val="00965E04"/>
    <w:rsid w:val="009A2513"/>
    <w:rsid w:val="00A53B5A"/>
    <w:rsid w:val="00A647F7"/>
    <w:rsid w:val="00AD7583"/>
    <w:rsid w:val="00AE103D"/>
    <w:rsid w:val="00B6662A"/>
    <w:rsid w:val="00BA0934"/>
    <w:rsid w:val="00C4209A"/>
    <w:rsid w:val="00CA1FBA"/>
    <w:rsid w:val="00CF5D84"/>
    <w:rsid w:val="00D40B86"/>
    <w:rsid w:val="00E70156"/>
    <w:rsid w:val="00E80F21"/>
    <w:rsid w:val="00EB6977"/>
    <w:rsid w:val="00F20BFD"/>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1766</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9</cp:revision>
  <cp:lastPrinted>2025-02-20T11:54:00Z</cp:lastPrinted>
  <dcterms:created xsi:type="dcterms:W3CDTF">2025-02-27T21:49:00Z</dcterms:created>
  <dcterms:modified xsi:type="dcterms:W3CDTF">2025-03-13T14:38:00Z</dcterms:modified>
</cp:coreProperties>
</file>