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CB0F0F7">
            <wp:simplePos x="0" y="0"/>
            <wp:positionH relativeFrom="column">
              <wp:posOffset>-1160602</wp:posOffset>
            </wp:positionH>
            <wp:positionV relativeFrom="paragraph">
              <wp:posOffset>-885165</wp:posOffset>
            </wp:positionV>
            <wp:extent cx="7685064"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Gustavo Hoff</w:t>
      </w:r>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Antonio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Daniel do Prado Pagotto</w:t>
      </w:r>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Alef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Wemerson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Camilla Barreto Rodrigues Cochia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Carla Novara Monclair</w:t>
      </w:r>
    </w:p>
    <w:p w14:paraId="18B77DA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Deivyson José Pereira de Araújo</w:t>
      </w:r>
    </w:p>
    <w:p w14:paraId="525C771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Desirée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Elisabet Pereira Lelo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Silvia Lutaif Dolci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Vânia Maria Corrêa Barthmann</w:t>
      </w:r>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Fernando Canto Michelotti</w:t>
      </w:r>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p w14:paraId="481FDDCE" w14:textId="77777777" w:rsidR="00A36677" w:rsidRPr="00727C53" w:rsidRDefault="00A36677" w:rsidP="00A36677">
      <w:pPr>
        <w:ind w:left="-1701"/>
        <w:jc w:val="center"/>
        <w:rPr>
          <w:rFonts w:ascii="Amsi Pro SemiBold" w:hAnsi="Amsi Pro SemiBold"/>
        </w:rPr>
      </w:pPr>
    </w:p>
    <w:p w14:paraId="098D1443" w14:textId="77777777" w:rsidR="00A36677" w:rsidRDefault="00A36677" w:rsidP="00A36677">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0404B357"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75C85EF6"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0B4947F6" w:rsidR="00D94830" w:rsidRPr="00A36677" w:rsidRDefault="006C0FE4">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1D70B669" w:rsidR="00D94830" w:rsidRPr="00A36677" w:rsidRDefault="006C0FE4">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9</w:t>
            </w:r>
            <w:r w:rsidR="00D94830" w:rsidRPr="00A36677">
              <w:rPr>
                <w:rStyle w:val="Hyperlink"/>
                <w:rFonts w:ascii="Amsi Pro SemiBold" w:hAnsi="Amsi Pro SemiBold"/>
                <w:b/>
                <w:bCs/>
                <w:noProof/>
                <w:webHidden/>
              </w:rPr>
              <w:fldChar w:fldCharType="end"/>
            </w:r>
          </w:hyperlink>
        </w:p>
        <w:p w14:paraId="3F8FE46D" w14:textId="2D74ED5B" w:rsidR="00D94830" w:rsidRPr="00A36677" w:rsidRDefault="006C0FE4">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Estudos apontam que a permanência prolongada de médicos e enfermeiros na Atenção Primária à Saúde (APS) está associada a uma melhor qualidade nas ações de controle de doenças, como o câncer cervicouterino.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Instituição: Ministério da Saúde, disponibilizado via Datasus.</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Para uma compreensão aprofundada recomendamos a leitura do material </w:t>
            </w:r>
            <w:commentRangeStart w:id="13"/>
            <w:r w:rsidRPr="00A36677">
              <w:rPr>
                <w:rFonts w:ascii="Amsi Pro SemiBold" w:hAnsi="Amsi Pro SemiBold"/>
                <w:color w:val="auto"/>
              </w:rPr>
              <w:t>“Formas de mensuração da retenção de profissionais de saúde”.</w:t>
            </w:r>
            <w:commentRangeEnd w:id="13"/>
            <w:r w:rsidR="00946B1A" w:rsidRPr="00A36677">
              <w:rPr>
                <w:rFonts w:ascii="Amsi Pro SemiBold" w:hAnsi="Amsi Pro SemiBold"/>
                <w:color w:val="auto"/>
              </w:rPr>
              <w:commentReference w:id="13"/>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Pr="00A36677" w:rsidRDefault="003A32BC"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Humphreys J, Wakerman J, Kuipers P, Wells R, Russell D, Siegloff S, et al. Improving workforce retention: developing an integrated logic model to maximise sustainability of small rural and remote health care services. Canberra: Australian Primary Health Care Research Institute; 2009.</w:t>
            </w:r>
          </w:p>
          <w:p w14:paraId="34B73507" w14:textId="54696327" w:rsidR="003A32BC" w:rsidRPr="00A36677" w:rsidRDefault="003A32BC"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Chisholm M, Russell D, Humphreys J. Measuring rural allied health workforce turnover and retention: what are the patterns, determinants and costs? Aust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3A32BC">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4" w:name="_Hlk188949234"/>
      <w:bookmarkStart w:id="15"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4"/>
    <w:bookmarkEnd w:id="15"/>
    <w:p w14:paraId="3148D762" w14:textId="77777777" w:rsidR="00A36677" w:rsidRPr="00727C53" w:rsidRDefault="00A36677" w:rsidP="00A36677">
      <w:pPr>
        <w:pStyle w:val="Legenda"/>
        <w:keepNext/>
        <w:spacing w:after="0"/>
        <w:jc w:val="center"/>
        <w:rPr>
          <w:rFonts w:ascii="Amsi Pro SemiBold" w:hAnsi="Amsi Pro SemiBold"/>
          <w:b/>
          <w:bCs/>
          <w:color w:val="auto"/>
        </w:rPr>
      </w:pPr>
      <w:commentRangeStart w:id="16"/>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16"/>
      <w:r>
        <w:rPr>
          <w:rStyle w:val="Refdecomentrio"/>
          <w:i w:val="0"/>
          <w:iCs w:val="0"/>
          <w:color w:val="auto"/>
        </w:rPr>
        <w:commentReference w:id="16"/>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77D89B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7"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7"/>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2D6C">
        <w:rPr>
          <w:rFonts w:ascii="Exo" w:hAnsi="Exo"/>
          <w:sz w:val="24"/>
          <w:szCs w:val="24"/>
        </w:rPr>
        <w:t xml:space="preserve"> </w:t>
      </w:r>
      <w:commentRangeStart w:id="18"/>
      <w:r w:rsidR="006051DD">
        <w:fldChar w:fldCharType="begin"/>
      </w:r>
      <w:r w:rsidR="006051DD">
        <w:instrText xml:space="preserve"> HYPERLINK "https://github.com/danielppagotto/dimensionamento_m4/blob/main/01_indicadores/16_taxa_retencao/16_taxa_retencao.R" </w:instrText>
      </w:r>
      <w:r w:rsidR="006051DD">
        <w:fldChar w:fldCharType="separate"/>
      </w:r>
      <w:r w:rsidR="00C72D6C" w:rsidRPr="00C72D6C">
        <w:rPr>
          <w:rStyle w:val="Hyperlink"/>
          <w:rFonts w:ascii="Exo" w:hAnsi="Exo"/>
          <w:sz w:val="24"/>
          <w:szCs w:val="24"/>
        </w:rPr>
        <w:t>aqui</w:t>
      </w:r>
      <w:r w:rsidR="006051DD">
        <w:rPr>
          <w:rStyle w:val="Hyperlink"/>
          <w:rFonts w:ascii="Exo" w:hAnsi="Exo"/>
          <w:sz w:val="24"/>
          <w:szCs w:val="24"/>
        </w:rPr>
        <w:fldChar w:fldCharType="end"/>
      </w:r>
      <w:commentRangeEnd w:id="18"/>
      <w:r w:rsidR="00A36677">
        <w:rPr>
          <w:rStyle w:val="Refdecomentrio"/>
        </w:rPr>
        <w:commentReference w:id="18"/>
      </w:r>
      <w:r w:rsidR="00C72D6C">
        <w:rPr>
          <w:rFonts w:ascii="Exo" w:hAnsi="Exo"/>
          <w:sz w:val="24"/>
          <w:szCs w:val="24"/>
        </w:rPr>
        <w:t>.</w:t>
      </w:r>
      <w:r w:rsidR="00E04E3F">
        <w:rPr>
          <w:rFonts w:ascii="Exo" w:hAnsi="Exo"/>
          <w:b/>
          <w:bCs/>
        </w:rPr>
        <w:br w:type="page"/>
      </w:r>
    </w:p>
    <w:p w14:paraId="393A9936" w14:textId="4AA468C9" w:rsidR="00666086" w:rsidRPr="00A36677" w:rsidRDefault="00666086" w:rsidP="00E04E3F">
      <w:pPr>
        <w:pStyle w:val="Ttulo1"/>
        <w:spacing w:after="200" w:line="360" w:lineRule="auto"/>
        <w:jc w:val="center"/>
        <w:rPr>
          <w:rFonts w:ascii="Amsi Pro SemiBold" w:hAnsi="Amsi Pro SemiBold"/>
          <w:b/>
          <w:bCs/>
          <w:color w:val="auto"/>
          <w:lang w:val="en-US"/>
        </w:rPr>
      </w:pPr>
      <w:bookmarkStart w:id="19" w:name="_Toc188883217"/>
      <w:r w:rsidRPr="00A36677">
        <w:rPr>
          <w:rFonts w:ascii="Amsi Pro SemiBold" w:hAnsi="Amsi Pro SemiBold"/>
          <w:b/>
          <w:bCs/>
          <w:color w:val="auto"/>
          <w:lang w:val="en-US"/>
        </w:rPr>
        <w:lastRenderedPageBreak/>
        <w:t>Referências</w:t>
      </w:r>
      <w:bookmarkEnd w:id="19"/>
    </w:p>
    <w:bookmarkStart w:id="20"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20"/>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Anjos EF, Andrade KB, Martins PC, Paiva JAC, Prado NMBL, Santos AMD. Atuação de profissionais de saúde e qualidade das ações no controle de câncer cervicouterino: um estudo transversal. Esc Anna Nery. 2021;26:e20210137.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do Nascimento LH, Guerra GM, Nunes JGP. Estratégias de retenção de profissionais de enfermagem nos hospitais: protocolo de scoping review. Rev Enferm Ref. 2019;:161-8.</w:t>
          </w:r>
        </w:p>
        <w:p w14:paraId="1AD0438A" w14:textId="0891515E" w:rsidR="0078205E" w:rsidRPr="00A36677" w:rsidRDefault="00E33433"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t>Tabur A, Elkefi S, Emhan A, Mengenci C, Bez Y, Asan O. Anxiety, burnout and depression, psychological well-being as predictor of healthcare professionals’ turnover during the COVID-19 pandemic: study in a pandemic hospital. Healthcare (Basel). 2022 Mar;10(3):525.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Gilson" w:date="2025-02-27T18:45:00Z" w:initials="G">
    <w:p w14:paraId="2629B1F8" w14:textId="1B20DBE1" w:rsidR="00946B1A" w:rsidRDefault="00946B1A">
      <w:pPr>
        <w:pStyle w:val="Textodecomentrio"/>
      </w:pPr>
      <w:r>
        <w:rPr>
          <w:rStyle w:val="Refdecomentrio"/>
        </w:rPr>
        <w:annotationRef/>
      </w:r>
      <w:r>
        <w:t>Onde está?</w:t>
      </w:r>
    </w:p>
  </w:comment>
  <w:comment w:id="16" w:author="HENRIQUE RIBEIRO DA SILVEIRA" w:date="2025-03-06T11:40:00Z" w:initials="HRDS">
    <w:p w14:paraId="30E5B278" w14:textId="563F6161" w:rsidR="00A36677" w:rsidRDefault="00A36677">
      <w:pPr>
        <w:pStyle w:val="Textodecomentrio"/>
      </w:pPr>
      <w:r>
        <w:rPr>
          <w:rStyle w:val="Refdecomentrio"/>
        </w:rPr>
        <w:annotationRef/>
      </w:r>
      <w:r>
        <w:rPr>
          <w:rStyle w:val="Refdecomentrio"/>
        </w:rPr>
        <w:annotationRef/>
      </w:r>
      <w:r>
        <w:rPr>
          <w:rStyle w:val="Refdecomentrio"/>
        </w:rPr>
        <w:annotationRef/>
      </w:r>
      <w:r>
        <w:t>Trocar fonte dentro do quadro</w:t>
      </w:r>
    </w:p>
  </w:comment>
  <w:comment w:id="18" w:author="HENRIQUE RIBEIRO DA SILVEIRA" w:date="2025-03-06T11:40:00Z" w:initials="HRDS">
    <w:p w14:paraId="67C41D89" w14:textId="1C7983C9" w:rsidR="00A36677" w:rsidRDefault="00A36677">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9B1F8" w15:done="0"/>
  <w15:commentEx w15:paraId="30E5B278" w15:done="0"/>
  <w15:commentEx w15:paraId="67C41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81E" w16cex:dateUtc="2025-03-06T14:40:00Z"/>
  <w16cex:commentExtensible w16cex:durableId="2B740831" w16cex:dateUtc="2025-03-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9B1F8" w16cid:durableId="2B740248"/>
  <w16cid:commentId w16cid:paraId="30E5B278" w16cid:durableId="2B74081E"/>
  <w16cid:commentId w16cid:paraId="67C41D89" w16cid:durableId="2B740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F361" w14:textId="77777777" w:rsidR="006C0FE4" w:rsidRDefault="006C0FE4" w:rsidP="0078205E">
      <w:pPr>
        <w:spacing w:after="0" w:line="240" w:lineRule="auto"/>
      </w:pPr>
      <w:r>
        <w:separator/>
      </w:r>
    </w:p>
  </w:endnote>
  <w:endnote w:type="continuationSeparator" w:id="0">
    <w:p w14:paraId="6C6CB514" w14:textId="77777777" w:rsidR="006C0FE4" w:rsidRDefault="006C0FE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99046" w14:textId="77777777" w:rsidR="006C0FE4" w:rsidRDefault="006C0FE4" w:rsidP="0078205E">
      <w:pPr>
        <w:spacing w:after="0" w:line="240" w:lineRule="auto"/>
      </w:pPr>
      <w:r>
        <w:separator/>
      </w:r>
    </w:p>
  </w:footnote>
  <w:footnote w:type="continuationSeparator" w:id="0">
    <w:p w14:paraId="376B23A1" w14:textId="77777777" w:rsidR="006C0FE4" w:rsidRDefault="006C0FE4"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son">
    <w15:presenceInfo w15:providerId="None" w15:userId="Gilson"/>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4B0D"/>
    <w:rsid w:val="00711219"/>
    <w:rsid w:val="007150EE"/>
    <w:rsid w:val="00742328"/>
    <w:rsid w:val="0075785E"/>
    <w:rsid w:val="0078205E"/>
    <w:rsid w:val="0078457E"/>
    <w:rsid w:val="007C635E"/>
    <w:rsid w:val="007F2820"/>
    <w:rsid w:val="00814305"/>
    <w:rsid w:val="00830899"/>
    <w:rsid w:val="00870EE1"/>
    <w:rsid w:val="008D5245"/>
    <w:rsid w:val="0090631E"/>
    <w:rsid w:val="00911093"/>
    <w:rsid w:val="00946B1A"/>
    <w:rsid w:val="00953952"/>
    <w:rsid w:val="00954B56"/>
    <w:rsid w:val="00972BFA"/>
    <w:rsid w:val="00977AE4"/>
    <w:rsid w:val="009904FC"/>
    <w:rsid w:val="009E5CEE"/>
    <w:rsid w:val="00A02D65"/>
    <w:rsid w:val="00A355C7"/>
    <w:rsid w:val="00A36677"/>
    <w:rsid w:val="00A374E0"/>
    <w:rsid w:val="00A636AB"/>
    <w:rsid w:val="00A80BE7"/>
    <w:rsid w:val="00A8102A"/>
    <w:rsid w:val="00A92A31"/>
    <w:rsid w:val="00AA2839"/>
    <w:rsid w:val="00AD7583"/>
    <w:rsid w:val="00B12FBF"/>
    <w:rsid w:val="00B13018"/>
    <w:rsid w:val="00B55CBE"/>
    <w:rsid w:val="00BA7F31"/>
    <w:rsid w:val="00BE198D"/>
    <w:rsid w:val="00BE601B"/>
    <w:rsid w:val="00C05C2B"/>
    <w:rsid w:val="00C4209A"/>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233"/>
    <w:rsid w:val="00095F3F"/>
    <w:rsid w:val="000B2AE1"/>
    <w:rsid w:val="001042EA"/>
    <w:rsid w:val="00147755"/>
    <w:rsid w:val="00201B4E"/>
    <w:rsid w:val="00275772"/>
    <w:rsid w:val="002A1305"/>
    <w:rsid w:val="002C28F9"/>
    <w:rsid w:val="002E582F"/>
    <w:rsid w:val="002F4ECF"/>
    <w:rsid w:val="003F36C7"/>
    <w:rsid w:val="0045728A"/>
    <w:rsid w:val="00460E4C"/>
    <w:rsid w:val="004C14AB"/>
    <w:rsid w:val="005A1F32"/>
    <w:rsid w:val="005A3554"/>
    <w:rsid w:val="005B5886"/>
    <w:rsid w:val="006152FE"/>
    <w:rsid w:val="00656F0F"/>
    <w:rsid w:val="007871F5"/>
    <w:rsid w:val="007C6A17"/>
    <w:rsid w:val="007D3534"/>
    <w:rsid w:val="0082664E"/>
    <w:rsid w:val="00854C22"/>
    <w:rsid w:val="00953952"/>
    <w:rsid w:val="00965E04"/>
    <w:rsid w:val="009A2513"/>
    <w:rsid w:val="00A53B5A"/>
    <w:rsid w:val="00A647F7"/>
    <w:rsid w:val="00AD7583"/>
    <w:rsid w:val="00AE103D"/>
    <w:rsid w:val="00B6662A"/>
    <w:rsid w:val="00BA0934"/>
    <w:rsid w:val="00C4209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3B5A"/>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1731</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2025-02-20T11:54:00Z</cp:lastPrinted>
  <dcterms:created xsi:type="dcterms:W3CDTF">2025-02-27T21:49:00Z</dcterms:created>
  <dcterms:modified xsi:type="dcterms:W3CDTF">2025-03-06T14:55:00Z</dcterms:modified>
</cp:coreProperties>
</file>