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CAF70" w14:textId="77777777" w:rsidR="0022351C" w:rsidRPr="00AE64FE" w:rsidRDefault="00220E05">
      <w:pPr>
        <w:rPr>
          <w:b/>
        </w:rPr>
      </w:pPr>
      <w:r w:rsidRPr="00AE64FE">
        <w:rPr>
          <w:b/>
        </w:rPr>
        <w:t>2.3. SEQUENCE ANALYSIS</w:t>
      </w:r>
    </w:p>
    <w:p w14:paraId="5B1CAF71" w14:textId="57C3E07B" w:rsidR="00F52E5D" w:rsidRDefault="00220E05" w:rsidP="00220E05">
      <w:pPr>
        <w:spacing w:line="360" w:lineRule="auto"/>
        <w:jc w:val="both"/>
      </w:pPr>
      <w:r w:rsidRPr="00AE64FE">
        <w:tab/>
        <w:t>A Análise de Sequência</w:t>
      </w:r>
      <w:r w:rsidR="000574F0">
        <w:t>,</w:t>
      </w:r>
      <w:r w:rsidRPr="00AE64FE">
        <w:t xml:space="preserve"> originalmente aplicado na biologia em estudos de análises de sequência de proteínas e DNA, avançou para as ciências sociais a partir da década de 1980 (Abbott &amp; </w:t>
      </w:r>
      <w:proofErr w:type="spellStart"/>
      <w:r w:rsidRPr="00AE64FE">
        <w:t>Tsay</w:t>
      </w:r>
      <w:proofErr w:type="spellEnd"/>
      <w:r w:rsidRPr="00AE64FE">
        <w:t xml:space="preserve">, 2000). </w:t>
      </w:r>
      <w:r w:rsidR="003F22C9" w:rsidRPr="00AE64FE">
        <w:t>A proposta</w:t>
      </w:r>
      <w:r w:rsidRPr="00AE64FE">
        <w:t xml:space="preserve"> pioneira de Abbot (1</w:t>
      </w:r>
      <w:r w:rsidR="00D82528" w:rsidRPr="00AE64FE">
        <w:t xml:space="preserve">983) advinha da falta de consideração da natureza sequencial dos processos sociais. </w:t>
      </w:r>
      <w:r w:rsidRPr="00AE64FE">
        <w:t>A principal limitação encontrada nos modelos lineares tradicionais é que el</w:t>
      </w:r>
      <w:r w:rsidR="00D82528" w:rsidRPr="00AE64FE">
        <w:t>es ignoram a ordem narrativa e a</w:t>
      </w:r>
      <w:r w:rsidRPr="00AE64FE">
        <w:t xml:space="preserve"> dependência </w:t>
      </w:r>
      <w:r w:rsidR="004939FA" w:rsidRPr="00AE64FE">
        <w:t>sequencial</w:t>
      </w:r>
      <w:r w:rsidRPr="00AE64FE">
        <w:t xml:space="preserve"> dos eventos sociais.</w:t>
      </w:r>
      <w:r w:rsidR="00D82528" w:rsidRPr="00AE64FE">
        <w:t xml:space="preserve">  A ordem narrativa</w:t>
      </w:r>
      <w:r w:rsidR="004939FA" w:rsidRPr="00AE64FE">
        <w:t xml:space="preserve"> e a dependência sequencial</w:t>
      </w:r>
      <w:r w:rsidR="00D82528" w:rsidRPr="00AE64FE">
        <w:t xml:space="preserve"> significa</w:t>
      </w:r>
      <w:r w:rsidR="004939FA" w:rsidRPr="00AE64FE">
        <w:t xml:space="preserve"> </w:t>
      </w:r>
      <w:r w:rsidR="00D82528" w:rsidRPr="00AE64FE">
        <w:t>dizer que a ordenação dos eventos importa</w:t>
      </w:r>
      <w:r w:rsidR="004939FA" w:rsidRPr="00AE64FE">
        <w:t xml:space="preserve"> e que os eventos passados moldam os posteriores. O</w:t>
      </w:r>
      <w:r w:rsidR="00D82528" w:rsidRPr="00AE64FE">
        <w:t>s modelos tradicionais supõem que</w:t>
      </w:r>
      <w:r w:rsidR="00E3672F" w:rsidRPr="00AE64FE">
        <w:t xml:space="preserve"> o valor específico de uma variável independe de seus antecedentes ou</w:t>
      </w:r>
      <w:r w:rsidR="004939FA" w:rsidRPr="00AE64FE">
        <w:t xml:space="preserve"> do seu contexto de forma geral, e trata o tempo como uma variável categórica que gera os mesmos resultados independente de sua ordenação (Abbot, 1983).</w:t>
      </w:r>
    </w:p>
    <w:p w14:paraId="5B1CAF72" w14:textId="173061DF" w:rsidR="002B7DB0" w:rsidRDefault="00B20C28" w:rsidP="00220E05">
      <w:pPr>
        <w:spacing w:line="360" w:lineRule="auto"/>
        <w:jc w:val="both"/>
      </w:pPr>
      <w:r>
        <w:tab/>
        <w:t>As décadas de 1980 e 1990 é o que marca o surgimento e a infância da Análise de Sequência. Sendo</w:t>
      </w:r>
      <w:r w:rsidR="00400034" w:rsidRPr="00AE64FE">
        <w:t xml:space="preserve"> frequentemente utilizada nos estudos de carreiras ocupacionais </w:t>
      </w:r>
      <w:r w:rsidR="00400034" w:rsidRPr="00AE6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00034" w:rsidRPr="00AE64FE">
        <w:rPr>
          <w:rFonts w:eastAsia="Times New Roman" w:cstheme="minorHAnsi"/>
        </w:rPr>
        <w:t>Liao</w:t>
      </w:r>
      <w:proofErr w:type="spellEnd"/>
      <w:r w:rsidR="00400034" w:rsidRPr="00AE64FE">
        <w:rPr>
          <w:rFonts w:eastAsia="Times New Roman" w:cstheme="minorHAnsi"/>
        </w:rPr>
        <w:t xml:space="preserve"> et al., 2022</w:t>
      </w:r>
      <w:r w:rsidR="00400034" w:rsidRPr="00AE64FE">
        <w:rPr>
          <w:rFonts w:ascii="Times New Roman" w:eastAsia="Times New Roman" w:hAnsi="Times New Roman" w:cs="Times New Roman"/>
          <w:sz w:val="24"/>
          <w:szCs w:val="24"/>
        </w:rPr>
        <w:t>)</w:t>
      </w:r>
      <w:r w:rsidR="00400034" w:rsidRPr="00AE64FE">
        <w:t xml:space="preserve">. A adoção de uma abordagem sequencial do estudos de carreiras significa adotar uma visão de </w:t>
      </w:r>
      <w:proofErr w:type="spellStart"/>
      <w:r w:rsidR="00400034" w:rsidRPr="00AE64FE">
        <w:rPr>
          <w:i/>
        </w:rPr>
        <w:t>careers</w:t>
      </w:r>
      <w:proofErr w:type="spellEnd"/>
      <w:r w:rsidR="00400034" w:rsidRPr="00AE64FE">
        <w:rPr>
          <w:i/>
        </w:rPr>
        <w:t xml:space="preserve"> as </w:t>
      </w:r>
      <w:proofErr w:type="spellStart"/>
      <w:r w:rsidR="00400034" w:rsidRPr="00AE64FE">
        <w:rPr>
          <w:i/>
        </w:rPr>
        <w:t>wholes</w:t>
      </w:r>
      <w:proofErr w:type="spellEnd"/>
      <w:r w:rsidR="00400034" w:rsidRPr="00AE64FE">
        <w:t xml:space="preserve">, em vez de </w:t>
      </w:r>
      <w:proofErr w:type="spellStart"/>
      <w:r w:rsidR="00400034" w:rsidRPr="00AE64FE">
        <w:rPr>
          <w:i/>
        </w:rPr>
        <w:t>careers</w:t>
      </w:r>
      <w:proofErr w:type="spellEnd"/>
      <w:r w:rsidR="00400034" w:rsidRPr="00AE64FE">
        <w:rPr>
          <w:i/>
        </w:rPr>
        <w:t xml:space="preserve"> as </w:t>
      </w:r>
      <w:proofErr w:type="spellStart"/>
      <w:r w:rsidR="00400034" w:rsidRPr="00AE64FE">
        <w:rPr>
          <w:i/>
        </w:rPr>
        <w:t>realizations</w:t>
      </w:r>
      <w:proofErr w:type="spellEnd"/>
      <w:r w:rsidR="00400034" w:rsidRPr="00AE64FE">
        <w:rPr>
          <w:i/>
        </w:rPr>
        <w:t xml:space="preserve"> </w:t>
      </w:r>
      <w:proofErr w:type="spellStart"/>
      <w:r w:rsidR="00400034" w:rsidRPr="00AE64FE">
        <w:rPr>
          <w:i/>
        </w:rPr>
        <w:t>of</w:t>
      </w:r>
      <w:proofErr w:type="spellEnd"/>
      <w:r w:rsidR="00400034" w:rsidRPr="00AE64FE">
        <w:rPr>
          <w:i/>
        </w:rPr>
        <w:t xml:space="preserve"> </w:t>
      </w:r>
      <w:proofErr w:type="spellStart"/>
      <w:r w:rsidR="00400034" w:rsidRPr="00AE64FE">
        <w:rPr>
          <w:i/>
        </w:rPr>
        <w:t>stochastic</w:t>
      </w:r>
      <w:proofErr w:type="spellEnd"/>
      <w:r w:rsidR="00400034" w:rsidRPr="00AE64FE">
        <w:rPr>
          <w:i/>
        </w:rPr>
        <w:t xml:space="preserve"> processes</w:t>
      </w:r>
      <w:r w:rsidR="00400034" w:rsidRPr="00AE64FE">
        <w:t xml:space="preserve"> (Abbot, 1990).</w:t>
      </w:r>
      <w:r w:rsidR="00592A09" w:rsidRPr="00AE64FE">
        <w:t xml:space="preserve"> </w:t>
      </w:r>
      <w:r w:rsidR="00546D14">
        <w:t>Um</w:t>
      </w:r>
      <w:r w:rsidR="00385A48">
        <w:t>a das aplicações clássicas</w:t>
      </w:r>
      <w:r w:rsidR="00A0351A">
        <w:t xml:space="preserve"> da metodologia</w:t>
      </w:r>
      <w:r w:rsidR="00342CD7">
        <w:t xml:space="preserve"> foi para analisar carreiras de músicos alem</w:t>
      </w:r>
      <w:r w:rsidR="00F17C9F">
        <w:t>ães</w:t>
      </w:r>
      <w:r w:rsidR="004867A1">
        <w:t>, mostrou que músicos das cortes aristocráticas</w:t>
      </w:r>
      <w:r w:rsidR="00D6241D">
        <w:t xml:space="preserve"> </w:t>
      </w:r>
      <w:r w:rsidR="00EE08B3">
        <w:t>e d</w:t>
      </w:r>
      <w:r w:rsidR="00C053FF">
        <w:t>a esfera cívica, escolar e religiosa</w:t>
      </w:r>
      <w:r w:rsidR="00EE08B3">
        <w:t>, dificilmente transita</w:t>
      </w:r>
      <w:r w:rsidR="00BF65BF">
        <w:t>vam de uma para outra.</w:t>
      </w:r>
      <w:r w:rsidR="00B0111A">
        <w:t xml:space="preserve"> </w:t>
      </w:r>
      <w:r w:rsidR="00AA2FF4">
        <w:t>A primeira proporcionava maior prestígio, melhores salários, mas sem estabilidade, e o segundo</w:t>
      </w:r>
      <w:r w:rsidR="003F50A1">
        <w:t xml:space="preserve"> possuíam baixos salários, mas com maior estabilidade</w:t>
      </w:r>
      <w:r w:rsidR="00766516">
        <w:t xml:space="preserve"> </w:t>
      </w:r>
      <w:r w:rsidR="00766516" w:rsidRPr="00AE64FE">
        <w:t xml:space="preserve">(Abbott &amp; </w:t>
      </w:r>
      <w:proofErr w:type="spellStart"/>
      <w:r w:rsidR="00766516">
        <w:t>H</w:t>
      </w:r>
      <w:r w:rsidR="000A1B94">
        <w:t>ryack</w:t>
      </w:r>
      <w:proofErr w:type="spellEnd"/>
      <w:r w:rsidR="00766516" w:rsidRPr="00AE64FE">
        <w:t xml:space="preserve">, </w:t>
      </w:r>
      <w:r w:rsidR="000A1B94">
        <w:t>1990</w:t>
      </w:r>
      <w:r w:rsidR="00766516" w:rsidRPr="00AE64FE">
        <w:t>)</w:t>
      </w:r>
      <w:r w:rsidR="000A1B94">
        <w:t>.</w:t>
      </w:r>
      <w:r w:rsidR="00206214">
        <w:t xml:space="preserve"> </w:t>
      </w:r>
      <w:r>
        <w:t xml:space="preserve"> </w:t>
      </w:r>
    </w:p>
    <w:p w14:paraId="6573E181" w14:textId="40364465" w:rsidR="00CA1757" w:rsidRDefault="00244271" w:rsidP="00220E05">
      <w:pPr>
        <w:spacing w:line="360" w:lineRule="auto"/>
        <w:jc w:val="both"/>
      </w:pPr>
      <w:r>
        <w:tab/>
      </w:r>
      <w:r w:rsidR="00682C48">
        <w:t xml:space="preserve">Autores </w:t>
      </w:r>
      <w:r w:rsidR="00E0302B">
        <w:t>também aplicaram a abo</w:t>
      </w:r>
      <w:r w:rsidR="000574F0">
        <w:t>rdagem sequencial em períodos de</w:t>
      </w:r>
      <w:r w:rsidR="00E0302B">
        <w:t xml:space="preserve"> tempo mais curtos.</w:t>
      </w:r>
      <w:r w:rsidR="00AC21FF">
        <w:t xml:space="preserve"> </w:t>
      </w:r>
      <w:r w:rsidR="001F231B">
        <w:t>Como</w:t>
      </w:r>
      <w:r w:rsidR="007C7560">
        <w:t xml:space="preserve"> a ordem exata de ações para </w:t>
      </w:r>
      <w:r w:rsidR="00321DF5">
        <w:t>realizar uma tarefa de trabalho</w:t>
      </w:r>
      <w:r w:rsidR="0061790B">
        <w:t>, envolvendo período de dias com uma média de 7 ações (</w:t>
      </w:r>
      <w:proofErr w:type="spellStart"/>
      <w:r w:rsidR="0071484A">
        <w:t>Pentland</w:t>
      </w:r>
      <w:proofErr w:type="spellEnd"/>
      <w:r w:rsidR="0071484A">
        <w:t xml:space="preserve"> et al</w:t>
      </w:r>
      <w:r w:rsidR="0061790B">
        <w:t>.</w:t>
      </w:r>
      <w:r w:rsidR="00DE6E0B">
        <w:t>, 1998).</w:t>
      </w:r>
      <w:r w:rsidR="00FD0628">
        <w:t xml:space="preserve"> E períodos de 24 horas,</w:t>
      </w:r>
      <w:r w:rsidR="00695861">
        <w:t xml:space="preserve"> analisando a rotina de atividades</w:t>
      </w:r>
      <w:r w:rsidR="003910C8">
        <w:t xml:space="preserve"> de mulheres canadenses</w:t>
      </w:r>
      <w:r w:rsidR="006D4E86">
        <w:t xml:space="preserve"> </w:t>
      </w:r>
      <w:r w:rsidR="00D76194">
        <w:t xml:space="preserve">(Wilson, </w:t>
      </w:r>
      <w:r w:rsidR="00A85D1F">
        <w:t>1998</w:t>
      </w:r>
      <w:r w:rsidR="00D76194">
        <w:t>)</w:t>
      </w:r>
      <w:r w:rsidR="006D4E86">
        <w:t>.</w:t>
      </w:r>
      <w:r w:rsidR="00A85D1F">
        <w:t xml:space="preserve"> </w:t>
      </w:r>
    </w:p>
    <w:p w14:paraId="14AEC8A1" w14:textId="261A0CCA" w:rsidR="00033AEE" w:rsidRDefault="00033AEE" w:rsidP="00220E05">
      <w:pPr>
        <w:spacing w:line="360" w:lineRule="auto"/>
        <w:jc w:val="both"/>
        <w:rPr>
          <w:rFonts w:eastAsia="Times New Roman" w:cstheme="minorHAnsi"/>
        </w:rPr>
      </w:pPr>
      <w:r>
        <w:tab/>
      </w:r>
      <w:r w:rsidR="00D55770">
        <w:t xml:space="preserve">Em sua fase posterior, os avanços na área foram a nível de visualização dos dados. </w:t>
      </w:r>
      <w:r w:rsidR="00DD4323">
        <w:t>A visualização</w:t>
      </w:r>
      <w:r w:rsidR="007909A2">
        <w:t xml:space="preserve"> compreende três dimensões: unidades de observação, pontos no tempo e estados (ex.: desempregado, trabalhador por conta própria, etc.). A análise fundamenta-se em até três tipos de granularidades, o encadeamento da sequência, o tempo e a duração dos estados. </w:t>
      </w:r>
      <w:r w:rsidR="00972A8E">
        <w:t xml:space="preserve"> O primeiro refere-se a ordem em que os eventos (ou estados) ocorrem, a segunda em que momento do tempo e a terceira por quanto quantos períodos determinado estado perdura </w:t>
      </w:r>
      <w:r w:rsidR="00972A8E" w:rsidRPr="00AE6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972A8E" w:rsidRPr="00AE64FE">
        <w:rPr>
          <w:rFonts w:eastAsia="Times New Roman" w:cstheme="minorHAnsi"/>
        </w:rPr>
        <w:t>Liao</w:t>
      </w:r>
      <w:proofErr w:type="spellEnd"/>
      <w:r w:rsidR="00972A8E" w:rsidRPr="00AE64FE">
        <w:rPr>
          <w:rFonts w:eastAsia="Times New Roman" w:cstheme="minorHAnsi"/>
        </w:rPr>
        <w:t xml:space="preserve"> et al., 2022</w:t>
      </w:r>
      <w:r w:rsidR="00972A8E" w:rsidRPr="00AE64FE">
        <w:rPr>
          <w:rFonts w:ascii="Times New Roman" w:eastAsia="Times New Roman" w:hAnsi="Times New Roman" w:cs="Times New Roman"/>
          <w:sz w:val="24"/>
          <w:szCs w:val="24"/>
        </w:rPr>
        <w:t>)</w:t>
      </w:r>
      <w:r w:rsidR="00972A8E" w:rsidRPr="00AE64FE">
        <w:t>.</w:t>
      </w:r>
      <w:r w:rsidR="00972A8E">
        <w:t xml:space="preserve"> </w:t>
      </w:r>
      <w:r w:rsidR="00CF23DF">
        <w:t xml:space="preserve">A visualização mais utilizada pela literatura é o gráfico de índices, onde cada sequência individual é representada em linhas empilhadas uma sob a outra </w:t>
      </w:r>
      <w:r w:rsidR="00E436FA">
        <w:t xml:space="preserve">(Scherer, </w:t>
      </w:r>
      <w:r w:rsidR="00CF23DF">
        <w:t>2001).</w:t>
      </w:r>
      <w:r w:rsidR="002B176C">
        <w:t xml:space="preserve"> Outros gráficos também foram propostos, como de frequência relativa (</w:t>
      </w:r>
      <w:proofErr w:type="spellStart"/>
      <w:r w:rsidR="002B176C">
        <w:t>Fasang</w:t>
      </w:r>
      <w:proofErr w:type="spellEnd"/>
      <w:r w:rsidR="002B176C">
        <w:t xml:space="preserve"> &amp; </w:t>
      </w:r>
      <w:proofErr w:type="spellStart"/>
      <w:r w:rsidR="002B176C">
        <w:t>Liao</w:t>
      </w:r>
      <w:proofErr w:type="spellEnd"/>
      <w:r w:rsidR="002B176C">
        <w:t xml:space="preserve">, 2014), </w:t>
      </w:r>
      <w:r w:rsidR="002B176C">
        <w:lastRenderedPageBreak/>
        <w:t>gráficos de índices de sequências ponderadas (</w:t>
      </w:r>
      <w:proofErr w:type="spellStart"/>
      <w:r w:rsidR="002B176C">
        <w:t>Gabadinho</w:t>
      </w:r>
      <w:proofErr w:type="spellEnd"/>
      <w:r w:rsidR="002B176C">
        <w:t xml:space="preserve"> et al., 2011; </w:t>
      </w:r>
      <w:proofErr w:type="spellStart"/>
      <w:r w:rsidR="002B176C">
        <w:t>Gabadinho</w:t>
      </w:r>
      <w:proofErr w:type="spellEnd"/>
      <w:r w:rsidR="002B176C">
        <w:t xml:space="preserve"> e </w:t>
      </w:r>
      <w:proofErr w:type="spellStart"/>
      <w:r w:rsidR="002B176C">
        <w:t>Ritschard</w:t>
      </w:r>
      <w:proofErr w:type="spellEnd"/>
      <w:r w:rsidR="002B176C">
        <w:t>, 2013), gráficos de dispersão ponderados (</w:t>
      </w:r>
      <w:proofErr w:type="spellStart"/>
      <w:r w:rsidR="002B176C">
        <w:t>Brzinsky</w:t>
      </w:r>
      <w:proofErr w:type="spellEnd"/>
      <w:r w:rsidR="002B176C">
        <w:t xml:space="preserve">-Fay, 2014) e outros. No entanto, o aumento de legibilidade pode gerar perda de informações, e portanto o trade-off entre legibilidade e a quantidade de informações deve ser </w:t>
      </w:r>
      <w:r w:rsidR="005B66DA">
        <w:t>considerado</w:t>
      </w:r>
      <w:r w:rsidR="002B176C">
        <w:t xml:space="preserve"> (</w:t>
      </w:r>
      <w:proofErr w:type="spellStart"/>
      <w:r w:rsidR="002B176C" w:rsidRPr="00AE64FE">
        <w:rPr>
          <w:rFonts w:eastAsia="Times New Roman" w:cstheme="minorHAnsi"/>
        </w:rPr>
        <w:t>Liao</w:t>
      </w:r>
      <w:proofErr w:type="spellEnd"/>
      <w:r w:rsidR="002B176C" w:rsidRPr="00AE64FE">
        <w:rPr>
          <w:rFonts w:eastAsia="Times New Roman" w:cstheme="minorHAnsi"/>
        </w:rPr>
        <w:t xml:space="preserve"> et al., 2022</w:t>
      </w:r>
      <w:r w:rsidR="002B176C">
        <w:rPr>
          <w:rFonts w:eastAsia="Times New Roman" w:cstheme="minorHAnsi"/>
        </w:rPr>
        <w:t>).</w:t>
      </w:r>
    </w:p>
    <w:p w14:paraId="5C45C150" w14:textId="1E1BFF7C" w:rsidR="005B66DA" w:rsidRDefault="000574F0" w:rsidP="00220E05">
      <w:pPr>
        <w:spacing w:line="36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 w:rsidR="00D133E4">
        <w:rPr>
          <w:rFonts w:eastAsia="Times New Roman" w:cstheme="minorHAnsi"/>
        </w:rPr>
        <w:t xml:space="preserve">Também ocorreram avanços a nível de medição de </w:t>
      </w:r>
      <w:r w:rsidR="00EE7622">
        <w:rPr>
          <w:rFonts w:eastAsia="Times New Roman" w:cstheme="minorHAnsi"/>
        </w:rPr>
        <w:t>dissimilaridades.</w:t>
      </w:r>
      <w:r w:rsidR="00B45E09">
        <w:rPr>
          <w:rFonts w:eastAsia="Times New Roman" w:cstheme="minorHAnsi"/>
        </w:rPr>
        <w:t xml:space="preserve"> Uma medida de dissimilaridades busca quantificar o quanto duas sequências</w:t>
      </w:r>
      <w:r w:rsidR="001E4BAE">
        <w:rPr>
          <w:rFonts w:eastAsia="Times New Roman" w:cstheme="minorHAnsi"/>
        </w:rPr>
        <w:t xml:space="preserve"> individuais apresentam comportamentos distintos</w:t>
      </w:r>
      <w:r w:rsidR="00804ED8">
        <w:rPr>
          <w:rFonts w:eastAsia="Times New Roman" w:cstheme="minorHAnsi"/>
        </w:rPr>
        <w:t xml:space="preserve"> </w:t>
      </w:r>
      <w:r w:rsidR="00804ED8">
        <w:t>(</w:t>
      </w:r>
      <w:proofErr w:type="spellStart"/>
      <w:r w:rsidR="00804ED8" w:rsidRPr="00AE64FE">
        <w:rPr>
          <w:rFonts w:eastAsia="Times New Roman" w:cstheme="minorHAnsi"/>
        </w:rPr>
        <w:t>Liao</w:t>
      </w:r>
      <w:proofErr w:type="spellEnd"/>
      <w:r w:rsidR="00804ED8" w:rsidRPr="00AE64FE">
        <w:rPr>
          <w:rFonts w:eastAsia="Times New Roman" w:cstheme="minorHAnsi"/>
        </w:rPr>
        <w:t xml:space="preserve"> et al., 2022</w:t>
      </w:r>
      <w:r w:rsidR="00804ED8">
        <w:rPr>
          <w:rFonts w:eastAsia="Times New Roman" w:cstheme="minorHAnsi"/>
        </w:rPr>
        <w:t>)</w:t>
      </w:r>
      <w:r w:rsidR="001E4BAE">
        <w:rPr>
          <w:rFonts w:eastAsia="Times New Roman" w:cstheme="minorHAnsi"/>
        </w:rPr>
        <w:t>.</w:t>
      </w:r>
      <w:r w:rsidR="001D036C">
        <w:rPr>
          <w:rFonts w:eastAsia="Times New Roman" w:cstheme="minorHAnsi"/>
        </w:rPr>
        <w:t xml:space="preserve"> </w:t>
      </w:r>
      <w:r w:rsidR="001052DE">
        <w:rPr>
          <w:rFonts w:eastAsia="Times New Roman" w:cstheme="minorHAnsi"/>
        </w:rPr>
        <w:t>As técnicas propostas podem ser classificadas em três tipos: distância entre distribuições,</w:t>
      </w:r>
      <w:r w:rsidR="008E014F">
        <w:rPr>
          <w:rFonts w:eastAsia="Times New Roman" w:cstheme="minorHAnsi"/>
        </w:rPr>
        <w:t xml:space="preserve"> medidas de</w:t>
      </w:r>
      <w:r w:rsidR="005C058E">
        <w:rPr>
          <w:rFonts w:eastAsia="Times New Roman" w:cstheme="minorHAnsi"/>
        </w:rPr>
        <w:t xml:space="preserve"> atributos em comum e</w:t>
      </w:r>
      <w:r w:rsidR="00330D72">
        <w:rPr>
          <w:rFonts w:eastAsia="Times New Roman" w:cstheme="minorHAnsi"/>
        </w:rPr>
        <w:t xml:space="preserve"> </w:t>
      </w:r>
      <w:r w:rsidR="005D225B">
        <w:rPr>
          <w:rFonts w:eastAsia="Times New Roman" w:cstheme="minorHAnsi"/>
        </w:rPr>
        <w:t>distâncias de edição (</w:t>
      </w:r>
      <w:proofErr w:type="spellStart"/>
      <w:r w:rsidR="005D225B">
        <w:rPr>
          <w:rFonts w:eastAsia="Times New Roman" w:cstheme="minorHAnsi"/>
        </w:rPr>
        <w:t>Studer</w:t>
      </w:r>
      <w:proofErr w:type="spellEnd"/>
      <w:r w:rsidR="005D225B">
        <w:rPr>
          <w:rFonts w:eastAsia="Times New Roman" w:cstheme="minorHAnsi"/>
        </w:rPr>
        <w:t xml:space="preserve"> &amp;</w:t>
      </w:r>
      <w:r w:rsidR="00835D44">
        <w:rPr>
          <w:rFonts w:eastAsia="Times New Roman" w:cstheme="minorHAnsi"/>
        </w:rPr>
        <w:t xml:space="preserve"> </w:t>
      </w:r>
      <w:proofErr w:type="spellStart"/>
      <w:r w:rsidR="00835D44">
        <w:rPr>
          <w:rFonts w:eastAsia="Times New Roman" w:cstheme="minorHAnsi"/>
        </w:rPr>
        <w:t>Ritschard</w:t>
      </w:r>
      <w:proofErr w:type="spellEnd"/>
      <w:r w:rsidR="00835D44">
        <w:rPr>
          <w:rFonts w:eastAsia="Times New Roman" w:cstheme="minorHAnsi"/>
        </w:rPr>
        <w:t>, 2016</w:t>
      </w:r>
      <w:r w:rsidR="005D225B">
        <w:rPr>
          <w:rFonts w:eastAsia="Times New Roman" w:cstheme="minorHAnsi"/>
        </w:rPr>
        <w:t>)</w:t>
      </w:r>
      <w:r w:rsidR="00206A7C">
        <w:rPr>
          <w:rFonts w:eastAsia="Times New Roman" w:cstheme="minorHAnsi"/>
        </w:rPr>
        <w:t xml:space="preserve">. </w:t>
      </w:r>
      <w:r w:rsidR="00B76B35">
        <w:rPr>
          <w:rFonts w:eastAsia="Times New Roman" w:cstheme="minorHAnsi"/>
        </w:rPr>
        <w:t xml:space="preserve"> O primeiro </w:t>
      </w:r>
      <w:r w:rsidR="006F106E">
        <w:rPr>
          <w:rFonts w:eastAsia="Times New Roman" w:cstheme="minorHAnsi"/>
        </w:rPr>
        <w:t>calcula a proporção de tempo em cada estado</w:t>
      </w:r>
      <w:r w:rsidR="004A5676">
        <w:rPr>
          <w:rFonts w:eastAsia="Times New Roman" w:cstheme="minorHAnsi"/>
        </w:rPr>
        <w:t xml:space="preserve">, e </w:t>
      </w:r>
      <w:r w:rsidR="00FC4C56">
        <w:rPr>
          <w:rFonts w:eastAsia="Times New Roman" w:cstheme="minorHAnsi"/>
        </w:rPr>
        <w:t>a dissimilaridade é calculada a partir da distância euclidiana entre os vetores.</w:t>
      </w:r>
      <w:r w:rsidR="00ED6A3D">
        <w:rPr>
          <w:rFonts w:eastAsia="Times New Roman" w:cstheme="minorHAnsi"/>
        </w:rPr>
        <w:t xml:space="preserve"> </w:t>
      </w:r>
      <w:r w:rsidR="00650702">
        <w:rPr>
          <w:rFonts w:eastAsia="Times New Roman" w:cstheme="minorHAnsi"/>
        </w:rPr>
        <w:t xml:space="preserve">Isto </w:t>
      </w:r>
      <w:r w:rsidR="002F336E">
        <w:rPr>
          <w:rFonts w:eastAsia="Times New Roman" w:cstheme="minorHAnsi"/>
        </w:rPr>
        <w:t>torna</w:t>
      </w:r>
      <w:r w:rsidR="00D86EFD">
        <w:rPr>
          <w:rFonts w:eastAsia="Times New Roman" w:cstheme="minorHAnsi"/>
        </w:rPr>
        <w:t xml:space="preserve"> a quantidade de períodos em um mesmo estado determinante no cálculo, enquanto desconsidera a ordem e a temporização ex</w:t>
      </w:r>
      <w:r w:rsidR="00C15BFB">
        <w:rPr>
          <w:rFonts w:eastAsia="Times New Roman" w:cstheme="minorHAnsi"/>
        </w:rPr>
        <w:t xml:space="preserve">ata dos estados </w:t>
      </w:r>
      <w:r w:rsidR="00C15BFB" w:rsidRPr="00C15BFB">
        <w:rPr>
          <w:rFonts w:eastAsia="Times New Roman" w:cstheme="minorHAnsi"/>
        </w:rPr>
        <w:t xml:space="preserve">(Deville </w:t>
      </w:r>
      <w:r w:rsidR="00C15BFB">
        <w:rPr>
          <w:rFonts w:eastAsia="Times New Roman" w:cstheme="minorHAnsi"/>
        </w:rPr>
        <w:t>&amp;</w:t>
      </w:r>
      <w:r w:rsidR="00C15BFB" w:rsidRPr="00C15BFB">
        <w:rPr>
          <w:rFonts w:eastAsia="Times New Roman" w:cstheme="minorHAnsi"/>
        </w:rPr>
        <w:t xml:space="preserve"> </w:t>
      </w:r>
      <w:proofErr w:type="spellStart"/>
      <w:r w:rsidR="00C15BFB" w:rsidRPr="00C15BFB">
        <w:rPr>
          <w:rFonts w:eastAsia="Times New Roman" w:cstheme="minorHAnsi"/>
        </w:rPr>
        <w:t>Saporta</w:t>
      </w:r>
      <w:proofErr w:type="spellEnd"/>
      <w:r w:rsidR="00C15BFB" w:rsidRPr="00C15BFB">
        <w:rPr>
          <w:rFonts w:eastAsia="Times New Roman" w:cstheme="minorHAnsi"/>
        </w:rPr>
        <w:t xml:space="preserve">, 1983; </w:t>
      </w:r>
      <w:proofErr w:type="spellStart"/>
      <w:r w:rsidR="00C15BFB" w:rsidRPr="00C15BFB">
        <w:rPr>
          <w:rFonts w:eastAsia="Times New Roman" w:cstheme="minorHAnsi"/>
        </w:rPr>
        <w:t>Grelet</w:t>
      </w:r>
      <w:proofErr w:type="spellEnd"/>
      <w:r w:rsidR="00C15BFB" w:rsidRPr="00C15BFB">
        <w:rPr>
          <w:rFonts w:eastAsia="Times New Roman" w:cstheme="minorHAnsi"/>
        </w:rPr>
        <w:t>, 2002)</w:t>
      </w:r>
      <w:r w:rsidR="00C15BFB">
        <w:rPr>
          <w:rFonts w:eastAsia="Times New Roman" w:cstheme="minorHAnsi"/>
        </w:rPr>
        <w:t>.</w:t>
      </w:r>
      <w:r w:rsidR="001D1D4E">
        <w:rPr>
          <w:rFonts w:eastAsia="Times New Roman" w:cstheme="minorHAnsi"/>
        </w:rPr>
        <w:t xml:space="preserve"> A medida de atributos comum calcula a dissimilaridade a partir do número de posições com estados não correspondentes</w:t>
      </w:r>
      <w:r w:rsidR="000C524B">
        <w:rPr>
          <w:rFonts w:eastAsia="Times New Roman" w:cstheme="minorHAnsi"/>
        </w:rPr>
        <w:t xml:space="preserve">, uma comparação posição a posição. No entanto, </w:t>
      </w:r>
      <w:r w:rsidR="00B87514">
        <w:rPr>
          <w:rFonts w:eastAsia="Times New Roman" w:cstheme="minorHAnsi"/>
        </w:rPr>
        <w:t>limita-se</w:t>
      </w:r>
      <w:r w:rsidR="000C524B">
        <w:rPr>
          <w:rFonts w:eastAsia="Times New Roman" w:cstheme="minorHAnsi"/>
        </w:rPr>
        <w:t xml:space="preserve"> apenas as sequências de mesmo comprimento (</w:t>
      </w:r>
      <w:proofErr w:type="spellStart"/>
      <w:r w:rsidR="000C524B">
        <w:rPr>
          <w:rFonts w:eastAsia="Times New Roman" w:cstheme="minorHAnsi"/>
        </w:rPr>
        <w:t>Hamming</w:t>
      </w:r>
      <w:proofErr w:type="spellEnd"/>
      <w:r w:rsidR="000C524B">
        <w:rPr>
          <w:rFonts w:eastAsia="Times New Roman" w:cstheme="minorHAnsi"/>
        </w:rPr>
        <w:t>, 1950</w:t>
      </w:r>
      <w:r w:rsidR="000C524B" w:rsidRPr="000C524B">
        <w:rPr>
          <w:rFonts w:eastAsia="Times New Roman" w:cstheme="minorHAnsi"/>
        </w:rPr>
        <w:t>)</w:t>
      </w:r>
      <w:r w:rsidR="000C524B">
        <w:rPr>
          <w:rFonts w:eastAsia="Times New Roman" w:cstheme="minorHAnsi"/>
        </w:rPr>
        <w:t>.</w:t>
      </w:r>
      <w:r w:rsidR="008F0B7B">
        <w:rPr>
          <w:rFonts w:eastAsia="Times New Roman" w:cstheme="minorHAnsi"/>
        </w:rPr>
        <w:t xml:space="preserve"> E por último, a distância de edição, também conhecido como </w:t>
      </w:r>
      <w:proofErr w:type="spellStart"/>
      <w:r w:rsidR="008F0B7B">
        <w:rPr>
          <w:rFonts w:eastAsia="Times New Roman" w:cstheme="minorHAnsi"/>
        </w:rPr>
        <w:t>Optimal</w:t>
      </w:r>
      <w:proofErr w:type="spellEnd"/>
      <w:r w:rsidR="008F0B7B">
        <w:rPr>
          <w:rFonts w:eastAsia="Times New Roman" w:cstheme="minorHAnsi"/>
        </w:rPr>
        <w:t xml:space="preserve"> </w:t>
      </w:r>
      <w:proofErr w:type="spellStart"/>
      <w:r w:rsidR="008F0B7B">
        <w:rPr>
          <w:rFonts w:eastAsia="Times New Roman" w:cstheme="minorHAnsi"/>
        </w:rPr>
        <w:t>Matching</w:t>
      </w:r>
      <w:proofErr w:type="spellEnd"/>
      <w:r w:rsidR="008F0B7B">
        <w:rPr>
          <w:rFonts w:eastAsia="Times New Roman" w:cstheme="minorHAnsi"/>
        </w:rPr>
        <w:t xml:space="preserve"> (OM), mede a dissimilaridade como o custo total mínimo de forma a tornar duas sequências iguais.</w:t>
      </w:r>
      <w:r w:rsidR="00A24C22">
        <w:rPr>
          <w:rFonts w:eastAsia="Times New Roman" w:cstheme="minorHAnsi"/>
        </w:rPr>
        <w:t xml:space="preserve"> Para isso utiliza-se custos de substituição de estados ou inserções/deleções (</w:t>
      </w:r>
      <w:proofErr w:type="spellStart"/>
      <w:r w:rsidR="00A24C22">
        <w:rPr>
          <w:rFonts w:eastAsia="Times New Roman" w:cstheme="minorHAnsi"/>
        </w:rPr>
        <w:t>indels</w:t>
      </w:r>
      <w:proofErr w:type="spellEnd"/>
      <w:r w:rsidR="00A24C22">
        <w:rPr>
          <w:rFonts w:eastAsia="Times New Roman" w:cstheme="minorHAnsi"/>
        </w:rPr>
        <w:t>), o quais podem ser atribuídos valores de custos diferentes (Abbott &amp; Forrest, 1986; Abbott &amp;</w:t>
      </w:r>
      <w:r w:rsidR="00A24C22" w:rsidRPr="00A24C22">
        <w:rPr>
          <w:rFonts w:eastAsia="Times New Roman" w:cstheme="minorHAnsi"/>
        </w:rPr>
        <w:t xml:space="preserve"> </w:t>
      </w:r>
      <w:proofErr w:type="spellStart"/>
      <w:r w:rsidR="00A24C22" w:rsidRPr="00A24C22">
        <w:rPr>
          <w:rFonts w:eastAsia="Times New Roman" w:cstheme="minorHAnsi"/>
        </w:rPr>
        <w:t>Hrycak</w:t>
      </w:r>
      <w:proofErr w:type="spellEnd"/>
      <w:r w:rsidR="00A24C22" w:rsidRPr="00A24C22">
        <w:rPr>
          <w:rFonts w:eastAsia="Times New Roman" w:cstheme="minorHAnsi"/>
        </w:rPr>
        <w:t>, 1990)</w:t>
      </w:r>
      <w:r w:rsidR="00A24C22">
        <w:rPr>
          <w:rFonts w:eastAsia="Times New Roman" w:cstheme="minorHAnsi"/>
        </w:rPr>
        <w:t xml:space="preserve">. Existe diversas outras variações de medidas de dissimilaridade, para uma revisão mais completa consultar </w:t>
      </w:r>
      <w:proofErr w:type="spellStart"/>
      <w:r w:rsidR="00A24C22" w:rsidRPr="00A24C22">
        <w:rPr>
          <w:rFonts w:eastAsia="Times New Roman" w:cstheme="minorHAnsi"/>
        </w:rPr>
        <w:t>Studer</w:t>
      </w:r>
      <w:proofErr w:type="spellEnd"/>
      <w:r w:rsidR="00A24C22" w:rsidRPr="00A24C22">
        <w:rPr>
          <w:rFonts w:eastAsia="Times New Roman" w:cstheme="minorHAnsi"/>
        </w:rPr>
        <w:t xml:space="preserve"> &amp; </w:t>
      </w:r>
      <w:proofErr w:type="spellStart"/>
      <w:r w:rsidR="00A24C22" w:rsidRPr="00A24C22">
        <w:rPr>
          <w:rFonts w:eastAsia="Times New Roman" w:cstheme="minorHAnsi"/>
        </w:rPr>
        <w:t>Ritschard</w:t>
      </w:r>
      <w:proofErr w:type="spellEnd"/>
      <w:r w:rsidR="00A24C22">
        <w:rPr>
          <w:rFonts w:eastAsia="Times New Roman" w:cstheme="minorHAnsi"/>
        </w:rPr>
        <w:t xml:space="preserve"> (2016).</w:t>
      </w:r>
    </w:p>
    <w:p w14:paraId="42AB5BE5" w14:textId="23F7F3B1" w:rsidR="0096047A" w:rsidRPr="00F46C6C" w:rsidRDefault="00053262" w:rsidP="00220E05">
      <w:pPr>
        <w:spacing w:line="36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ab/>
      </w:r>
    </w:p>
    <w:sectPr w:rsidR="0096047A" w:rsidRPr="00F46C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E05"/>
    <w:rsid w:val="00033AEE"/>
    <w:rsid w:val="00053262"/>
    <w:rsid w:val="000574F0"/>
    <w:rsid w:val="000A1B94"/>
    <w:rsid w:val="000C0B3F"/>
    <w:rsid w:val="000C524B"/>
    <w:rsid w:val="00101D5F"/>
    <w:rsid w:val="001052DE"/>
    <w:rsid w:val="001D036C"/>
    <w:rsid w:val="001D1D4E"/>
    <w:rsid w:val="001E4BAE"/>
    <w:rsid w:val="001F231B"/>
    <w:rsid w:val="00206214"/>
    <w:rsid w:val="00206A7C"/>
    <w:rsid w:val="00220E05"/>
    <w:rsid w:val="0022351C"/>
    <w:rsid w:val="00244271"/>
    <w:rsid w:val="002959ED"/>
    <w:rsid w:val="00296A64"/>
    <w:rsid w:val="002B176C"/>
    <w:rsid w:val="002B7DB0"/>
    <w:rsid w:val="002C4995"/>
    <w:rsid w:val="002F336E"/>
    <w:rsid w:val="00321DF5"/>
    <w:rsid w:val="00322E40"/>
    <w:rsid w:val="00330D72"/>
    <w:rsid w:val="00342CD7"/>
    <w:rsid w:val="00385A48"/>
    <w:rsid w:val="003910C8"/>
    <w:rsid w:val="003B3CCC"/>
    <w:rsid w:val="003F22C9"/>
    <w:rsid w:val="003F50A1"/>
    <w:rsid w:val="00400034"/>
    <w:rsid w:val="0043275C"/>
    <w:rsid w:val="00442E93"/>
    <w:rsid w:val="004867A1"/>
    <w:rsid w:val="004939FA"/>
    <w:rsid w:val="004A5676"/>
    <w:rsid w:val="00546D14"/>
    <w:rsid w:val="00592A09"/>
    <w:rsid w:val="005B66DA"/>
    <w:rsid w:val="005C058E"/>
    <w:rsid w:val="005D0C1F"/>
    <w:rsid w:val="005D225B"/>
    <w:rsid w:val="0061790B"/>
    <w:rsid w:val="00622CC1"/>
    <w:rsid w:val="00650702"/>
    <w:rsid w:val="00682C48"/>
    <w:rsid w:val="00695861"/>
    <w:rsid w:val="006D4E86"/>
    <w:rsid w:val="006F106E"/>
    <w:rsid w:val="00713CBB"/>
    <w:rsid w:val="0071484A"/>
    <w:rsid w:val="00747684"/>
    <w:rsid w:val="00766516"/>
    <w:rsid w:val="007909A2"/>
    <w:rsid w:val="007C7560"/>
    <w:rsid w:val="00804ED8"/>
    <w:rsid w:val="00835D44"/>
    <w:rsid w:val="008E014F"/>
    <w:rsid w:val="008F0B7B"/>
    <w:rsid w:val="00941DEC"/>
    <w:rsid w:val="0096047A"/>
    <w:rsid w:val="00972A8E"/>
    <w:rsid w:val="00A0351A"/>
    <w:rsid w:val="00A24C22"/>
    <w:rsid w:val="00A50FDE"/>
    <w:rsid w:val="00A85D1F"/>
    <w:rsid w:val="00AA2FF4"/>
    <w:rsid w:val="00AC21FF"/>
    <w:rsid w:val="00AE64FE"/>
    <w:rsid w:val="00B0111A"/>
    <w:rsid w:val="00B20C28"/>
    <w:rsid w:val="00B45E09"/>
    <w:rsid w:val="00B76B35"/>
    <w:rsid w:val="00B87514"/>
    <w:rsid w:val="00BD7D05"/>
    <w:rsid w:val="00BF65BF"/>
    <w:rsid w:val="00C053FF"/>
    <w:rsid w:val="00C15BFB"/>
    <w:rsid w:val="00CA1757"/>
    <w:rsid w:val="00CF23DF"/>
    <w:rsid w:val="00CF6632"/>
    <w:rsid w:val="00D133E4"/>
    <w:rsid w:val="00D55770"/>
    <w:rsid w:val="00D6241D"/>
    <w:rsid w:val="00D76194"/>
    <w:rsid w:val="00D82528"/>
    <w:rsid w:val="00D86EFD"/>
    <w:rsid w:val="00DD4323"/>
    <w:rsid w:val="00DE6E0B"/>
    <w:rsid w:val="00DF3E55"/>
    <w:rsid w:val="00E0302B"/>
    <w:rsid w:val="00E14C03"/>
    <w:rsid w:val="00E3672F"/>
    <w:rsid w:val="00E436FA"/>
    <w:rsid w:val="00E53DB3"/>
    <w:rsid w:val="00E95BD9"/>
    <w:rsid w:val="00ED6A3D"/>
    <w:rsid w:val="00EE08B3"/>
    <w:rsid w:val="00EE7622"/>
    <w:rsid w:val="00F16B6B"/>
    <w:rsid w:val="00F17C9F"/>
    <w:rsid w:val="00F46C6C"/>
    <w:rsid w:val="00F52E5D"/>
    <w:rsid w:val="00F67A71"/>
    <w:rsid w:val="00FA453D"/>
    <w:rsid w:val="00FC4C56"/>
    <w:rsid w:val="00FD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AF70"/>
  <w15:chartTrackingRefBased/>
  <w15:docId w15:val="{8055A931-4229-4DB1-B5B9-476581C5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2</Pages>
  <Words>715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Alef Santos</cp:lastModifiedBy>
  <cp:revision>85</cp:revision>
  <dcterms:created xsi:type="dcterms:W3CDTF">2026-06-23T16:45:00Z</dcterms:created>
  <dcterms:modified xsi:type="dcterms:W3CDTF">2026-07-08T11:19:00Z</dcterms:modified>
</cp:coreProperties>
</file>