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8BD1C" w14:textId="349CC854" w:rsidR="00E62D93" w:rsidRPr="002C67FF" w:rsidRDefault="005D48D2" w:rsidP="002C67FF">
      <w:pPr>
        <w:pStyle w:val="Title"/>
        <w:rPr>
          <w:rFonts w:ascii="Arial" w:hAnsi="Arial" w:cs="Arial"/>
          <w:caps/>
          <w:sz w:val="32"/>
          <w:szCs w:val="32"/>
          <w:lang w:val="en-US"/>
        </w:rPr>
      </w:pPr>
      <w:r w:rsidRPr="00FC4EBA">
        <w:rPr>
          <w:rFonts w:ascii="Arial" w:hAnsi="Arial" w:cs="Arial"/>
          <w:sz w:val="32"/>
          <w:szCs w:val="32"/>
        </w:rPr>
        <w:t xml:space="preserve">Foreign Exchange Prediction </w:t>
      </w:r>
      <w:r>
        <w:rPr>
          <w:rFonts w:ascii="Arial" w:hAnsi="Arial" w:cs="Arial"/>
          <w:sz w:val="32"/>
          <w:szCs w:val="32"/>
          <w:lang w:val="en-US"/>
        </w:rPr>
        <w:t>u</w:t>
      </w:r>
      <w:r w:rsidRPr="00FC4EBA">
        <w:rPr>
          <w:rFonts w:ascii="Arial" w:hAnsi="Arial" w:cs="Arial"/>
          <w:sz w:val="32"/>
          <w:szCs w:val="32"/>
        </w:rPr>
        <w:t xml:space="preserve">sing </w:t>
      </w:r>
      <w:r w:rsidR="00075708">
        <w:rPr>
          <w:rFonts w:ascii="Arial" w:hAnsi="Arial" w:cs="Arial"/>
          <w:sz w:val="32"/>
          <w:szCs w:val="32"/>
          <w:lang w:val="en-US"/>
        </w:rPr>
        <w:t>LSTM</w:t>
      </w:r>
      <w:r w:rsidRPr="00FC4EBA">
        <w:rPr>
          <w:rFonts w:ascii="Arial" w:hAnsi="Arial" w:cs="Arial"/>
          <w:sz w:val="32"/>
          <w:szCs w:val="32"/>
        </w:rPr>
        <w:t xml:space="preserve"> Optimized </w:t>
      </w:r>
      <w:r>
        <w:rPr>
          <w:rFonts w:ascii="Arial" w:hAnsi="Arial" w:cs="Arial"/>
          <w:sz w:val="32"/>
          <w:szCs w:val="32"/>
          <w:lang w:val="en-US"/>
        </w:rPr>
        <w:t>w</w:t>
      </w:r>
      <w:r w:rsidRPr="00FC4EBA">
        <w:rPr>
          <w:rFonts w:ascii="Arial" w:hAnsi="Arial" w:cs="Arial"/>
          <w:sz w:val="32"/>
          <w:szCs w:val="32"/>
        </w:rPr>
        <w:t>ith Genetic Algorithm</w:t>
      </w:r>
    </w:p>
    <w:p w14:paraId="60CBC3B2" w14:textId="77777777" w:rsidR="00E62D93" w:rsidRDefault="00E62D93" w:rsidP="00E62D93">
      <w:pPr>
        <w:jc w:val="center"/>
        <w:rPr>
          <w:rFonts w:ascii="Arial" w:hAnsi="Arial" w:cs="Arial"/>
          <w:b/>
          <w:bCs/>
        </w:rPr>
      </w:pPr>
    </w:p>
    <w:p w14:paraId="041F6C6B" w14:textId="77777777" w:rsidR="00E62D93" w:rsidRPr="00250A66" w:rsidRDefault="00E62D93" w:rsidP="00E62D93">
      <w:pPr>
        <w:jc w:val="center"/>
        <w:rPr>
          <w:rFonts w:ascii="Arial" w:hAnsi="Arial" w:cs="Arial"/>
          <w:b/>
          <w:bCs/>
        </w:rPr>
      </w:pPr>
    </w:p>
    <w:p w14:paraId="448EF5CD" w14:textId="78B034D4" w:rsidR="00E62D93" w:rsidRPr="00904D6D" w:rsidRDefault="00FC4EBA" w:rsidP="00E62D93">
      <w:pPr>
        <w:jc w:val="center"/>
        <w:rPr>
          <w:rFonts w:ascii="Arial" w:hAnsi="Arial" w:cs="Arial"/>
          <w:b/>
          <w:bCs/>
          <w:lang w:val="id-ID"/>
        </w:rPr>
      </w:pPr>
      <w:r>
        <w:rPr>
          <w:rFonts w:ascii="Arial" w:hAnsi="Arial" w:cs="Arial"/>
          <w:b/>
          <w:bCs/>
        </w:rPr>
        <w:t>Daniel Budi Prasetyo</w:t>
      </w:r>
      <w:r w:rsidR="00E62D93">
        <w:rPr>
          <w:rFonts w:ascii="Arial" w:hAnsi="Arial" w:cs="Arial"/>
          <w:b/>
          <w:bCs/>
          <w:lang w:val="id-ID"/>
        </w:rPr>
        <w:t xml:space="preserve">, </w:t>
      </w:r>
      <w:r w:rsidR="00B55CA4" w:rsidRPr="00B55CA4">
        <w:rPr>
          <w:rFonts w:ascii="Arial" w:hAnsi="Arial" w:cs="Arial"/>
          <w:b/>
          <w:bCs/>
        </w:rPr>
        <w:t xml:space="preserve">Cyprianus </w:t>
      </w:r>
      <w:proofErr w:type="spellStart"/>
      <w:r w:rsidR="00B55CA4" w:rsidRPr="00B55CA4">
        <w:rPr>
          <w:rFonts w:ascii="Arial" w:hAnsi="Arial" w:cs="Arial"/>
          <w:b/>
          <w:bCs/>
        </w:rPr>
        <w:t>Kuntoro</w:t>
      </w:r>
      <w:proofErr w:type="spellEnd"/>
      <w:r w:rsidR="00B55CA4" w:rsidRPr="00B55CA4">
        <w:rPr>
          <w:rFonts w:ascii="Arial" w:hAnsi="Arial" w:cs="Arial"/>
          <w:b/>
          <w:bCs/>
        </w:rPr>
        <w:t xml:space="preserve"> Adi, S.J. M.A., M.Sc., Ph.D.</w:t>
      </w:r>
    </w:p>
    <w:p w14:paraId="3B788467" w14:textId="77777777" w:rsidR="00E62D93" w:rsidRPr="008166D8" w:rsidRDefault="008166D8" w:rsidP="00E62D93">
      <w:pPr>
        <w:jc w:val="center"/>
        <w:rPr>
          <w:rFonts w:ascii="Arial" w:hAnsi="Arial" w:cs="Arial"/>
        </w:rPr>
      </w:pPr>
      <w:r>
        <w:rPr>
          <w:rFonts w:ascii="Arial" w:hAnsi="Arial" w:cs="Arial"/>
        </w:rPr>
        <w:t xml:space="preserve">Teknik </w:t>
      </w:r>
      <w:proofErr w:type="spellStart"/>
      <w:r>
        <w:rPr>
          <w:rFonts w:ascii="Arial" w:hAnsi="Arial" w:cs="Arial"/>
        </w:rPr>
        <w:t>Informatika</w:t>
      </w:r>
      <w:proofErr w:type="spellEnd"/>
    </w:p>
    <w:p w14:paraId="197C2F79" w14:textId="77777777" w:rsidR="00E62D93" w:rsidRPr="008166D8" w:rsidRDefault="008166D8" w:rsidP="00E62D93">
      <w:pPr>
        <w:jc w:val="center"/>
        <w:rPr>
          <w:rFonts w:ascii="Arial" w:hAnsi="Arial" w:cs="Arial"/>
        </w:rPr>
      </w:pPr>
      <w:r>
        <w:rPr>
          <w:rFonts w:ascii="Arial" w:hAnsi="Arial" w:cs="Arial"/>
        </w:rPr>
        <w:t xml:space="preserve">Universitas </w:t>
      </w:r>
      <w:proofErr w:type="spellStart"/>
      <w:r>
        <w:rPr>
          <w:rFonts w:ascii="Arial" w:hAnsi="Arial" w:cs="Arial"/>
        </w:rPr>
        <w:t>Sanata</w:t>
      </w:r>
      <w:proofErr w:type="spellEnd"/>
      <w:r>
        <w:rPr>
          <w:rFonts w:ascii="Arial" w:hAnsi="Arial" w:cs="Arial"/>
        </w:rPr>
        <w:t xml:space="preserve"> Dharma Yogyakarta</w:t>
      </w:r>
    </w:p>
    <w:p w14:paraId="4C35F672" w14:textId="699B95F5" w:rsidR="00E62D93" w:rsidRPr="00AA4B39" w:rsidRDefault="00E62D93" w:rsidP="00E62D93">
      <w:pPr>
        <w:jc w:val="center"/>
        <w:rPr>
          <w:rFonts w:ascii="Arial" w:hAnsi="Arial" w:cs="Arial"/>
        </w:rPr>
      </w:pPr>
      <w:r w:rsidRPr="00904D6D">
        <w:rPr>
          <w:rFonts w:ascii="Arial" w:hAnsi="Arial" w:cs="Arial"/>
          <w:lang w:val="id-ID"/>
        </w:rPr>
        <w:t>e</w:t>
      </w:r>
      <w:r>
        <w:rPr>
          <w:rFonts w:ascii="Arial" w:hAnsi="Arial" w:cs="Arial"/>
        </w:rPr>
        <w:t>-</w:t>
      </w:r>
      <w:r w:rsidRPr="00904D6D">
        <w:rPr>
          <w:rFonts w:ascii="Arial" w:hAnsi="Arial" w:cs="Arial"/>
          <w:lang w:val="id-ID"/>
        </w:rPr>
        <w:t>mail</w:t>
      </w:r>
      <w:r>
        <w:rPr>
          <w:rFonts w:ascii="Arial" w:hAnsi="Arial" w:cs="Arial"/>
        </w:rPr>
        <w:t xml:space="preserve">: </w:t>
      </w:r>
      <w:hyperlink r:id="rId8" w:history="1">
        <w:r w:rsidR="00B55CA4" w:rsidRPr="000F5C99">
          <w:rPr>
            <w:rStyle w:val="Hyperlink"/>
            <w:rFonts w:ascii="Arial" w:hAnsi="Arial" w:cs="Arial"/>
          </w:rPr>
          <w:t>danielbudip789077@gmail.com</w:t>
        </w:r>
      </w:hyperlink>
      <w:r w:rsidR="00B55CA4">
        <w:rPr>
          <w:rFonts w:ascii="Arial" w:hAnsi="Arial" w:cs="Arial"/>
        </w:rPr>
        <w:t xml:space="preserve">, </w:t>
      </w:r>
      <w:r w:rsidR="00075708">
        <w:rPr>
          <w:rFonts w:ascii="Arial" w:hAnsi="Arial" w:cs="Arial"/>
        </w:rPr>
        <w:t>…</w:t>
      </w:r>
    </w:p>
    <w:p w14:paraId="4D3C43D0" w14:textId="77777777" w:rsidR="00E62D93" w:rsidRDefault="00E62D93" w:rsidP="00E62D93">
      <w:pPr>
        <w:jc w:val="center"/>
        <w:rPr>
          <w:rFonts w:ascii="Arial" w:hAnsi="Arial" w:cs="Arial"/>
          <w:lang w:val="id-ID"/>
        </w:rPr>
      </w:pPr>
    </w:p>
    <w:p w14:paraId="1C025895" w14:textId="77777777" w:rsidR="00E62D93" w:rsidRPr="00904D6D" w:rsidRDefault="00E62D93" w:rsidP="00E62D93">
      <w:pPr>
        <w:jc w:val="center"/>
        <w:rPr>
          <w:rFonts w:ascii="Arial" w:hAnsi="Arial" w:cs="Arial"/>
          <w:lang w:val="id-ID"/>
        </w:rPr>
      </w:pPr>
    </w:p>
    <w:p w14:paraId="210D13B0" w14:textId="77777777" w:rsidR="00E62D93" w:rsidRPr="00535A39" w:rsidRDefault="00E62D93" w:rsidP="00E62D93">
      <w:pPr>
        <w:jc w:val="center"/>
        <w:rPr>
          <w:color w:val="000000"/>
          <w:sz w:val="24"/>
          <w:szCs w:val="24"/>
        </w:rPr>
      </w:pPr>
      <w:r w:rsidRPr="00535A39">
        <w:rPr>
          <w:rFonts w:ascii="Arial" w:hAnsi="Arial" w:cs="Arial"/>
          <w:b/>
          <w:bCs/>
          <w:i/>
          <w:iCs/>
          <w:color w:val="000000"/>
        </w:rPr>
        <w:t>Abstract</w:t>
      </w:r>
    </w:p>
    <w:p w14:paraId="0C1AAE6C" w14:textId="224A3FC9" w:rsidR="0014540C" w:rsidRPr="00266574" w:rsidRDefault="0014540C" w:rsidP="00FC4EBA">
      <w:pPr>
        <w:ind w:firstLine="720"/>
        <w:jc w:val="both"/>
        <w:rPr>
          <w:rFonts w:ascii="Arial" w:hAnsi="Arial" w:cs="Arial"/>
          <w:i/>
          <w:iCs/>
          <w:color w:val="000000"/>
        </w:rPr>
      </w:pPr>
      <w:r w:rsidRPr="0014540C">
        <w:rPr>
          <w:rFonts w:ascii="Arial" w:hAnsi="Arial" w:cs="Arial"/>
          <w:i/>
          <w:iCs/>
          <w:color w:val="000000"/>
        </w:rPr>
        <w:t>Foreign exchange (Forex) was one of the largest financial markets in the world, with more than $5.1 trillion being traded every day. In this study, Long Short-Term Memory (LSTM) and Genetic Algorithm Long Short-Term Memory (GA-LSTM) were used to predict the price patterns of USD, EUR, and SGD. The data was taken from the Google Finance website over a period of 5 years, totaling about 1977 data points for USD and EUR, and 1956 data points for SGD. In some scenarios, optimization with Genetic Algorithms was successful in reducing error values, although this did not always apply to all cases. The most optimal LSTM model for predicting USD, EUR, and SGD data against IDR obtained an MAE of around 41.27, 60.89, and 13.04 respectively. However, if we were to predict future prices, the EUR model would need to be improved further to obtain a smaller error value.</w:t>
      </w:r>
    </w:p>
    <w:p w14:paraId="0F1A8746" w14:textId="77777777" w:rsidR="00E62D93" w:rsidRPr="0061627D" w:rsidRDefault="00E62D93" w:rsidP="00E62D93">
      <w:pPr>
        <w:ind w:firstLine="720"/>
        <w:jc w:val="both"/>
        <w:rPr>
          <w:rFonts w:ascii="Arial" w:hAnsi="Arial" w:cs="Arial"/>
          <w:i/>
          <w:iCs/>
          <w:color w:val="000000"/>
        </w:rPr>
      </w:pPr>
      <w:r w:rsidRPr="0061627D">
        <w:rPr>
          <w:rFonts w:ascii="Arial" w:hAnsi="Arial" w:cs="Arial"/>
          <w:i/>
          <w:iCs/>
          <w:color w:val="000000"/>
        </w:rPr>
        <w:t> </w:t>
      </w:r>
    </w:p>
    <w:p w14:paraId="07C447F9" w14:textId="56ABE973" w:rsidR="00E62D93" w:rsidRPr="00535A39" w:rsidRDefault="00E62D93" w:rsidP="00E62D93">
      <w:pPr>
        <w:rPr>
          <w:color w:val="000000"/>
          <w:sz w:val="24"/>
          <w:szCs w:val="24"/>
        </w:rPr>
      </w:pPr>
      <w:r w:rsidRPr="00535A39">
        <w:rPr>
          <w:rFonts w:ascii="Arial" w:hAnsi="Arial" w:cs="Arial"/>
          <w:b/>
          <w:bCs/>
          <w:i/>
          <w:iCs/>
          <w:color w:val="000000"/>
        </w:rPr>
        <w:t>Keywords</w:t>
      </w:r>
      <w:r w:rsidRPr="00535A39">
        <w:rPr>
          <w:rFonts w:ascii="Arial" w:hAnsi="Arial" w:cs="Arial"/>
          <w:i/>
          <w:iCs/>
          <w:color w:val="000000"/>
        </w:rPr>
        <w:t xml:space="preserve">: </w:t>
      </w:r>
      <w:r w:rsidR="00FC4EBA" w:rsidRPr="00FC4EBA">
        <w:rPr>
          <w:rFonts w:ascii="Arial" w:hAnsi="Arial" w:cs="Arial"/>
          <w:i/>
          <w:iCs/>
          <w:color w:val="000000"/>
        </w:rPr>
        <w:t>Foreign exchange, Long Short-Term Memory, Genetic Algorithm</w:t>
      </w:r>
    </w:p>
    <w:p w14:paraId="1009D023" w14:textId="77777777" w:rsidR="00E62D93" w:rsidRPr="002622CD" w:rsidRDefault="00E62D93" w:rsidP="00E62D93">
      <w:pPr>
        <w:rPr>
          <w:rFonts w:ascii="Arial" w:hAnsi="Arial" w:cs="Arial"/>
          <w:color w:val="000000"/>
        </w:rPr>
      </w:pPr>
      <w:r w:rsidRPr="00535A39">
        <w:rPr>
          <w:rFonts w:ascii="Arial" w:hAnsi="Arial" w:cs="Arial"/>
          <w:color w:val="000000"/>
        </w:rPr>
        <w:t> </w:t>
      </w:r>
    </w:p>
    <w:p w14:paraId="6382766D" w14:textId="77777777" w:rsidR="00E62D93" w:rsidRDefault="00E62D93" w:rsidP="00E62D93">
      <w:pPr>
        <w:jc w:val="both"/>
        <w:rPr>
          <w:rFonts w:ascii="Arial" w:hAnsi="Arial" w:cs="Arial"/>
          <w:lang w:val="id-ID"/>
        </w:rPr>
      </w:pPr>
    </w:p>
    <w:p w14:paraId="1F0617C7" w14:textId="77777777" w:rsidR="00E62D93" w:rsidRPr="00904D6D" w:rsidRDefault="00E62D93" w:rsidP="00E62D93">
      <w:pPr>
        <w:rPr>
          <w:rFonts w:ascii="Arial" w:hAnsi="Arial" w:cs="Arial"/>
          <w:b/>
          <w:bCs/>
          <w:lang w:val="id-ID"/>
        </w:rPr>
      </w:pPr>
      <w:r w:rsidRPr="00904D6D">
        <w:rPr>
          <w:rFonts w:ascii="Arial" w:hAnsi="Arial" w:cs="Arial"/>
          <w:b/>
          <w:bCs/>
          <w:lang w:val="id-ID"/>
        </w:rPr>
        <w:t xml:space="preserve">1. </w:t>
      </w:r>
      <w:r>
        <w:rPr>
          <w:rFonts w:ascii="Arial" w:hAnsi="Arial" w:cs="Arial"/>
          <w:b/>
          <w:bCs/>
          <w:lang w:val="id-ID"/>
        </w:rPr>
        <w:t>Introduction</w:t>
      </w:r>
    </w:p>
    <w:p w14:paraId="761333B1" w14:textId="6CBA9C28" w:rsidR="00075708" w:rsidRPr="00075708" w:rsidRDefault="00075708" w:rsidP="00075708">
      <w:pPr>
        <w:ind w:firstLine="720"/>
        <w:jc w:val="both"/>
        <w:rPr>
          <w:rFonts w:ascii="Arial" w:hAnsi="Arial" w:cs="Arial"/>
          <w:lang w:val="id-ID"/>
        </w:rPr>
      </w:pPr>
      <w:r w:rsidRPr="00075708">
        <w:rPr>
          <w:rFonts w:ascii="Arial" w:hAnsi="Arial" w:cs="Arial"/>
          <w:lang w:val="id-ID"/>
        </w:rPr>
        <w:t xml:space="preserve">Foreign exchange (Forex) is one of the world's largest financial markets, with more than $5.1 trillion traded every day. </w:t>
      </w:r>
      <w:r w:rsidR="00004D50" w:rsidRPr="00004D50">
        <w:rPr>
          <w:rFonts w:ascii="Arial" w:hAnsi="Arial" w:cs="Arial"/>
          <w:lang w:val="id-ID"/>
        </w:rPr>
        <w:t>The intricacies and fluctuations inherent in Forex render price prediction challenging</w:t>
      </w:r>
      <w:r w:rsidR="00004D50">
        <w:rPr>
          <w:rFonts w:ascii="Arial" w:hAnsi="Arial" w:cs="Arial"/>
          <w:lang w:val="id-ID"/>
        </w:rPr>
        <w:t xml:space="preserve"> </w:t>
      </w:r>
      <w:sdt>
        <w:sdtPr>
          <w:rPr>
            <w:rFonts w:ascii="Arial" w:hAnsi="Arial" w:cs="Arial"/>
            <w:lang w:val="id-ID"/>
          </w:rPr>
          <w:id w:val="-1480908519"/>
          <w:citation/>
        </w:sdtPr>
        <w:sdtEndPr/>
        <w:sdtContent>
          <w:r w:rsidR="00B17587">
            <w:rPr>
              <w:rFonts w:ascii="Arial" w:hAnsi="Arial" w:cs="Arial"/>
              <w:lang w:val="id-ID"/>
            </w:rPr>
            <w:fldChar w:fldCharType="begin"/>
          </w:r>
          <w:r w:rsidR="00B17587">
            <w:rPr>
              <w:rFonts w:ascii="Arial" w:hAnsi="Arial" w:cs="Arial"/>
            </w:rPr>
            <w:instrText xml:space="preserve"> CITATION Isl21 \l 1033 </w:instrText>
          </w:r>
          <w:r w:rsidR="00B17587">
            <w:rPr>
              <w:rFonts w:ascii="Arial" w:hAnsi="Arial" w:cs="Arial"/>
              <w:lang w:val="id-ID"/>
            </w:rPr>
            <w:fldChar w:fldCharType="separate"/>
          </w:r>
          <w:r w:rsidR="00B17587" w:rsidRPr="00B17587">
            <w:rPr>
              <w:rFonts w:ascii="Arial" w:hAnsi="Arial" w:cs="Arial"/>
              <w:noProof/>
            </w:rPr>
            <w:t>[1]</w:t>
          </w:r>
          <w:r w:rsidR="00B17587">
            <w:rPr>
              <w:rFonts w:ascii="Arial" w:hAnsi="Arial" w:cs="Arial"/>
              <w:lang w:val="id-ID"/>
            </w:rPr>
            <w:fldChar w:fldCharType="end"/>
          </w:r>
        </w:sdtContent>
      </w:sdt>
      <w:r w:rsidR="00004D50">
        <w:rPr>
          <w:rFonts w:ascii="Arial" w:hAnsi="Arial" w:cs="Arial"/>
          <w:lang w:val="id-ID"/>
        </w:rPr>
        <w:t>,</w:t>
      </w:r>
      <w:r w:rsidRPr="00075708">
        <w:rPr>
          <w:rFonts w:ascii="Arial" w:hAnsi="Arial" w:cs="Arial"/>
          <w:lang w:val="id-ID"/>
        </w:rPr>
        <w:t xml:space="preserve"> </w:t>
      </w:r>
      <w:r w:rsidR="00004D50" w:rsidRPr="00004D50">
        <w:rPr>
          <w:rFonts w:ascii="Arial" w:hAnsi="Arial" w:cs="Arial"/>
          <w:lang w:val="id-ID"/>
        </w:rPr>
        <w:t>particularly in regions like Indonesia where fostering sustainable economic development and enhancing citizens' welfare is paramount. Exchange rate instability poses a significant deterrent to investor confidence, potentially hindering Indonesia's developmental progress, given the substantial role foreign investors play in its economic growth</w:t>
      </w:r>
      <w:r w:rsidRPr="00075708">
        <w:rPr>
          <w:rFonts w:ascii="Arial" w:hAnsi="Arial" w:cs="Arial"/>
          <w:lang w:val="id-ID"/>
        </w:rPr>
        <w:t xml:space="preserve"> </w:t>
      </w:r>
      <w:sdt>
        <w:sdtPr>
          <w:rPr>
            <w:rFonts w:ascii="Arial" w:hAnsi="Arial" w:cs="Arial"/>
            <w:lang w:val="id-ID"/>
          </w:rPr>
          <w:id w:val="574558324"/>
          <w:citation/>
        </w:sdtPr>
        <w:sdtEndPr/>
        <w:sdtContent>
          <w:r w:rsidR="00B17587">
            <w:rPr>
              <w:rFonts w:ascii="Arial" w:hAnsi="Arial" w:cs="Arial"/>
              <w:lang w:val="id-ID"/>
            </w:rPr>
            <w:fldChar w:fldCharType="begin"/>
          </w:r>
          <w:r w:rsidR="00B17587">
            <w:rPr>
              <w:rFonts w:ascii="Arial" w:hAnsi="Arial" w:cs="Arial"/>
            </w:rPr>
            <w:instrText xml:space="preserve"> CITATION Kar20 \l 1033 </w:instrText>
          </w:r>
          <w:r w:rsidR="00B17587">
            <w:rPr>
              <w:rFonts w:ascii="Arial" w:hAnsi="Arial" w:cs="Arial"/>
              <w:lang w:val="id-ID"/>
            </w:rPr>
            <w:fldChar w:fldCharType="separate"/>
          </w:r>
          <w:r w:rsidR="00B17587" w:rsidRPr="00B17587">
            <w:rPr>
              <w:rFonts w:ascii="Arial" w:hAnsi="Arial" w:cs="Arial"/>
              <w:noProof/>
            </w:rPr>
            <w:t>[2]</w:t>
          </w:r>
          <w:r w:rsidR="00B17587">
            <w:rPr>
              <w:rFonts w:ascii="Arial" w:hAnsi="Arial" w:cs="Arial"/>
              <w:lang w:val="id-ID"/>
            </w:rPr>
            <w:fldChar w:fldCharType="end"/>
          </w:r>
        </w:sdtContent>
      </w:sdt>
      <w:r w:rsidRPr="00075708">
        <w:rPr>
          <w:rFonts w:ascii="Arial" w:hAnsi="Arial" w:cs="Arial"/>
          <w:lang w:val="id-ID"/>
        </w:rPr>
        <w:t>.</w:t>
      </w:r>
      <w:r w:rsidR="00670313">
        <w:rPr>
          <w:rFonts w:ascii="Arial" w:hAnsi="Arial" w:cs="Arial"/>
          <w:lang w:val="id-ID"/>
        </w:rPr>
        <w:t xml:space="preserve"> </w:t>
      </w:r>
      <w:r w:rsidR="00670313" w:rsidRPr="00670313">
        <w:rPr>
          <w:rFonts w:ascii="Arial" w:hAnsi="Arial" w:cs="Arial"/>
          <w:lang w:val="id-ID"/>
        </w:rPr>
        <w:t>The consequential impact of such instability cannot be overstated, especially considering the pivotal role that foreign investors have historically played in propelling Indonesia's economic growth trajectory forward. As such, mitigating the adverse effects of exchange rate fluctuations assumes paramount importance, necessitating robust predictive models and strategic interventions to navigate the complexities of the Forex landscape effectively.</w:t>
      </w:r>
    </w:p>
    <w:p w14:paraId="59B30376" w14:textId="66E821C7" w:rsidR="00075708" w:rsidRPr="00075708" w:rsidRDefault="00004D50" w:rsidP="00075708">
      <w:pPr>
        <w:ind w:firstLine="720"/>
        <w:jc w:val="both"/>
        <w:rPr>
          <w:rFonts w:ascii="Arial" w:hAnsi="Arial" w:cs="Arial"/>
          <w:lang w:val="id-ID"/>
        </w:rPr>
      </w:pPr>
      <w:r w:rsidRPr="00004D50">
        <w:rPr>
          <w:rFonts w:ascii="Arial" w:hAnsi="Arial" w:cs="Arial"/>
          <w:lang w:val="id-ID"/>
        </w:rPr>
        <w:t>The realm of Deep Learning, celebrated for its triumphs in diverse domains like image recognition, natural language processing, and speech recognition, has garnered considerable attention for its applicability in forecasting exchange rates</w:t>
      </w:r>
      <w:r>
        <w:rPr>
          <w:rFonts w:ascii="Arial" w:hAnsi="Arial" w:cs="Arial"/>
          <w:lang w:val="id-ID"/>
        </w:rPr>
        <w:t xml:space="preserve"> </w:t>
      </w:r>
      <w:sdt>
        <w:sdtPr>
          <w:rPr>
            <w:rFonts w:ascii="Arial" w:hAnsi="Arial" w:cs="Arial"/>
            <w:lang w:val="id-ID"/>
          </w:rPr>
          <w:id w:val="1528362367"/>
          <w:citation/>
        </w:sdtPr>
        <w:sdtEndPr/>
        <w:sdtContent>
          <w:r w:rsidR="00B17587">
            <w:rPr>
              <w:rFonts w:ascii="Arial" w:hAnsi="Arial" w:cs="Arial"/>
              <w:lang w:val="id-ID"/>
            </w:rPr>
            <w:fldChar w:fldCharType="begin"/>
          </w:r>
          <w:r w:rsidR="00B17587">
            <w:rPr>
              <w:rFonts w:ascii="Arial" w:hAnsi="Arial" w:cs="Arial"/>
            </w:rPr>
            <w:instrText xml:space="preserve"> CITATION Lin19 \l 1033  \m Yas19 \m HuZ21</w:instrText>
          </w:r>
          <w:r w:rsidR="00B17587">
            <w:rPr>
              <w:rFonts w:ascii="Arial" w:hAnsi="Arial" w:cs="Arial"/>
              <w:lang w:val="id-ID"/>
            </w:rPr>
            <w:fldChar w:fldCharType="separate"/>
          </w:r>
          <w:r w:rsidR="00B17587" w:rsidRPr="00B17587">
            <w:rPr>
              <w:rFonts w:ascii="Arial" w:hAnsi="Arial" w:cs="Arial"/>
              <w:noProof/>
            </w:rPr>
            <w:t>[3, 4, 5]</w:t>
          </w:r>
          <w:r w:rsidR="00B17587">
            <w:rPr>
              <w:rFonts w:ascii="Arial" w:hAnsi="Arial" w:cs="Arial"/>
              <w:lang w:val="id-ID"/>
            </w:rPr>
            <w:fldChar w:fldCharType="end"/>
          </w:r>
        </w:sdtContent>
      </w:sdt>
      <w:r w:rsidR="00075708" w:rsidRPr="00075708">
        <w:rPr>
          <w:rFonts w:ascii="Arial" w:hAnsi="Arial" w:cs="Arial"/>
          <w:lang w:val="id-ID"/>
        </w:rPr>
        <w:t xml:space="preserve">. </w:t>
      </w:r>
      <w:r w:rsidR="00670313" w:rsidRPr="00670313">
        <w:rPr>
          <w:rFonts w:ascii="Arial" w:hAnsi="Arial" w:cs="Arial"/>
          <w:lang w:val="id-ID"/>
        </w:rPr>
        <w:t>This burgeoning interest is evident across the global financial landscape, where financial researchers have dedicated substantial efforts to studying and analyzing the intricacies of both stock and Forex markets. The advent of artificial intelligence has revolutionized investment strategies, precipitating a notable uptick in the utilization of Deep Learning models by investors seeking to predict and analyze stock and Forex prices. Over time, empirical evidence has firmly established the efficacy of Deep Learning methodologies in successfully predicting fluctuations in both stock and Forex prices</w:t>
      </w:r>
      <w:r w:rsidR="00075708" w:rsidRPr="00075708">
        <w:rPr>
          <w:rFonts w:ascii="Arial" w:hAnsi="Arial" w:cs="Arial"/>
          <w:lang w:val="id-ID"/>
        </w:rPr>
        <w:t xml:space="preserve"> </w:t>
      </w:r>
      <w:sdt>
        <w:sdtPr>
          <w:rPr>
            <w:rFonts w:ascii="Arial" w:hAnsi="Arial" w:cs="Arial"/>
            <w:lang w:val="id-ID"/>
          </w:rPr>
          <w:id w:val="409126406"/>
          <w:citation/>
        </w:sdtPr>
        <w:sdtEndPr/>
        <w:sdtContent>
          <w:r w:rsidR="00B17587">
            <w:rPr>
              <w:rFonts w:ascii="Arial" w:hAnsi="Arial" w:cs="Arial"/>
              <w:lang w:val="id-ID"/>
            </w:rPr>
            <w:fldChar w:fldCharType="begin"/>
          </w:r>
          <w:r w:rsidR="00B17587">
            <w:rPr>
              <w:rFonts w:ascii="Arial" w:hAnsi="Arial" w:cs="Arial"/>
            </w:rPr>
            <w:instrText xml:space="preserve"> CITATION HuZ21 \l 1033 </w:instrText>
          </w:r>
          <w:r w:rsidR="00B17587">
            <w:rPr>
              <w:rFonts w:ascii="Arial" w:hAnsi="Arial" w:cs="Arial"/>
              <w:lang w:val="id-ID"/>
            </w:rPr>
            <w:fldChar w:fldCharType="separate"/>
          </w:r>
          <w:r w:rsidR="00B17587" w:rsidRPr="00B17587">
            <w:rPr>
              <w:rFonts w:ascii="Arial" w:hAnsi="Arial" w:cs="Arial"/>
              <w:noProof/>
            </w:rPr>
            <w:t>[5]</w:t>
          </w:r>
          <w:r w:rsidR="00B17587">
            <w:rPr>
              <w:rFonts w:ascii="Arial" w:hAnsi="Arial" w:cs="Arial"/>
              <w:lang w:val="id-ID"/>
            </w:rPr>
            <w:fldChar w:fldCharType="end"/>
          </w:r>
        </w:sdtContent>
      </w:sdt>
      <w:r w:rsidR="00075708" w:rsidRPr="00075708">
        <w:rPr>
          <w:rFonts w:ascii="Arial" w:hAnsi="Arial" w:cs="Arial"/>
          <w:lang w:val="id-ID"/>
        </w:rPr>
        <w:t>.</w:t>
      </w:r>
      <w:r w:rsidR="00741441">
        <w:rPr>
          <w:rFonts w:ascii="Arial" w:hAnsi="Arial" w:cs="Arial"/>
          <w:lang w:val="id-ID"/>
        </w:rPr>
        <w:t xml:space="preserve"> </w:t>
      </w:r>
      <w:r w:rsidR="00741441" w:rsidRPr="00741441">
        <w:rPr>
          <w:rFonts w:ascii="Arial" w:hAnsi="Arial" w:cs="Arial"/>
          <w:lang w:val="id-ID"/>
        </w:rPr>
        <w:t>This convergence of technological innovation and financial analysis underscores the evolving nature of investment practices and the increasing reliance on sophisticated computational tools to navigate the complexities of modern financial markets.</w:t>
      </w:r>
    </w:p>
    <w:p w14:paraId="0C32D642" w14:textId="0566FDC4" w:rsidR="00670313" w:rsidRDefault="00075708" w:rsidP="00670313">
      <w:pPr>
        <w:ind w:firstLine="720"/>
        <w:jc w:val="both"/>
        <w:rPr>
          <w:rFonts w:ascii="Arial" w:hAnsi="Arial" w:cs="Arial"/>
          <w:lang w:val="id-ID"/>
        </w:rPr>
      </w:pPr>
      <w:r w:rsidRPr="00075708">
        <w:rPr>
          <w:rFonts w:ascii="Arial" w:hAnsi="Arial" w:cs="Arial"/>
          <w:lang w:val="id-ID"/>
        </w:rPr>
        <w:t xml:space="preserve">Based on one of the literature, </w:t>
      </w:r>
      <w:r w:rsidR="00741441" w:rsidRPr="00741441">
        <w:rPr>
          <w:rFonts w:ascii="Arial" w:hAnsi="Arial" w:cs="Arial"/>
          <w:lang w:val="id-ID"/>
        </w:rPr>
        <w:t>it's evident that the Long Short-Term Memory (LSTM) model outshines its counterpart, the Recurrent Neural Network (RNN), exhibiting superior performance characterized by smaller Root Mean Square Error (RMSE) and Mean Absolute Error (MAE) metrics</w:t>
      </w:r>
      <w:r w:rsidRPr="00075708">
        <w:rPr>
          <w:rFonts w:ascii="Arial" w:hAnsi="Arial" w:cs="Arial"/>
          <w:lang w:val="id-ID"/>
        </w:rPr>
        <w:t xml:space="preserve"> </w:t>
      </w:r>
      <w:sdt>
        <w:sdtPr>
          <w:rPr>
            <w:rFonts w:ascii="Arial" w:hAnsi="Arial" w:cs="Arial"/>
            <w:lang w:val="id-ID"/>
          </w:rPr>
          <w:id w:val="610019067"/>
          <w:citation/>
        </w:sdtPr>
        <w:sdtEndPr/>
        <w:sdtContent>
          <w:r w:rsidR="00B17587">
            <w:rPr>
              <w:rFonts w:ascii="Arial" w:hAnsi="Arial" w:cs="Arial"/>
              <w:lang w:val="id-ID"/>
            </w:rPr>
            <w:fldChar w:fldCharType="begin"/>
          </w:r>
          <w:r w:rsidR="00B17587">
            <w:rPr>
              <w:rFonts w:ascii="Arial" w:hAnsi="Arial" w:cs="Arial"/>
            </w:rPr>
            <w:instrText xml:space="preserve"> CITATION Yax19 \l 1033 </w:instrText>
          </w:r>
          <w:r w:rsidR="00B17587">
            <w:rPr>
              <w:rFonts w:ascii="Arial" w:hAnsi="Arial" w:cs="Arial"/>
              <w:lang w:val="id-ID"/>
            </w:rPr>
            <w:fldChar w:fldCharType="separate"/>
          </w:r>
          <w:r w:rsidR="00B17587" w:rsidRPr="00B17587">
            <w:rPr>
              <w:rFonts w:ascii="Arial" w:hAnsi="Arial" w:cs="Arial"/>
              <w:noProof/>
            </w:rPr>
            <w:t>[6]</w:t>
          </w:r>
          <w:r w:rsidR="00B17587">
            <w:rPr>
              <w:rFonts w:ascii="Arial" w:hAnsi="Arial" w:cs="Arial"/>
              <w:lang w:val="id-ID"/>
            </w:rPr>
            <w:fldChar w:fldCharType="end"/>
          </w:r>
        </w:sdtContent>
      </w:sdt>
      <w:r w:rsidRPr="00075708">
        <w:rPr>
          <w:rFonts w:ascii="Arial" w:hAnsi="Arial" w:cs="Arial"/>
          <w:lang w:val="id-ID"/>
        </w:rPr>
        <w:t xml:space="preserve">. </w:t>
      </w:r>
      <w:r w:rsidR="00670313" w:rsidRPr="00670313">
        <w:rPr>
          <w:rFonts w:ascii="Arial" w:hAnsi="Arial" w:cs="Arial"/>
          <w:lang w:val="id-ID"/>
        </w:rPr>
        <w:t xml:space="preserve">Building upon this foundation, </w:t>
      </w:r>
      <w:r w:rsidR="00670313">
        <w:rPr>
          <w:rFonts w:ascii="Arial" w:hAnsi="Arial" w:cs="Arial"/>
          <w:lang w:val="id-ID"/>
        </w:rPr>
        <w:t>we</w:t>
      </w:r>
      <w:r w:rsidR="00670313" w:rsidRPr="00670313">
        <w:rPr>
          <w:rFonts w:ascii="Arial" w:hAnsi="Arial" w:cs="Arial"/>
          <w:lang w:val="id-ID"/>
        </w:rPr>
        <w:t xml:space="preserve"> endeavors to harness the predictive prowess of the LSTM model to forecast foreign exchange prices over the past five years. By leveraging this advanced neural network architecture, we aim to enhance the accuracy and reliability of our predictions, thereby facilitating more informed decision-making in the volatile realm of foreign exchange markets. Furthermore, to further refine and optimize the LSTM </w:t>
      </w:r>
      <w:r w:rsidR="00670313" w:rsidRPr="00670313">
        <w:rPr>
          <w:rFonts w:ascii="Arial" w:hAnsi="Arial" w:cs="Arial"/>
          <w:lang w:val="id-ID"/>
        </w:rPr>
        <w:lastRenderedPageBreak/>
        <w:t>model, we propose the integration of Genetic Algorithms</w:t>
      </w:r>
      <w:r w:rsidR="00E923A6">
        <w:rPr>
          <w:rFonts w:ascii="Arial" w:hAnsi="Arial" w:cs="Arial"/>
        </w:rPr>
        <w:t xml:space="preserve"> (GA)</w:t>
      </w:r>
      <w:r w:rsidR="00670313" w:rsidRPr="00670313">
        <w:rPr>
          <w:rFonts w:ascii="Arial" w:hAnsi="Arial" w:cs="Arial"/>
          <w:lang w:val="id-ID"/>
        </w:rPr>
        <w:t xml:space="preserve">. By iteratively fine-tuning the model parameters through </w:t>
      </w:r>
      <w:r w:rsidR="00E923A6">
        <w:rPr>
          <w:rFonts w:ascii="Arial" w:hAnsi="Arial" w:cs="Arial"/>
        </w:rPr>
        <w:t>GA</w:t>
      </w:r>
      <w:r w:rsidR="00670313" w:rsidRPr="00670313">
        <w:rPr>
          <w:rFonts w:ascii="Arial" w:hAnsi="Arial" w:cs="Arial"/>
          <w:lang w:val="id-ID"/>
        </w:rPr>
        <w:t>, we anticipate a reduction in errors from the initial model, thus bolstering the predictive capabilities of our approach.</w:t>
      </w:r>
    </w:p>
    <w:p w14:paraId="03C265B2" w14:textId="77777777" w:rsidR="00004D50" w:rsidRDefault="00004D50" w:rsidP="00075708">
      <w:pPr>
        <w:ind w:firstLine="720"/>
        <w:jc w:val="both"/>
        <w:rPr>
          <w:rFonts w:ascii="Arial" w:hAnsi="Arial" w:cs="Arial"/>
          <w:lang w:val="id-ID"/>
        </w:rPr>
      </w:pPr>
    </w:p>
    <w:p w14:paraId="5EE3B6FE" w14:textId="60F0069D" w:rsidR="00B353C0" w:rsidRPr="00B353C0" w:rsidRDefault="00E62D93" w:rsidP="00B353C0">
      <w:pPr>
        <w:rPr>
          <w:rFonts w:ascii="Arial" w:hAnsi="Arial" w:cs="Arial"/>
          <w:b/>
          <w:bCs/>
          <w:lang w:val="id-ID"/>
        </w:rPr>
      </w:pPr>
      <w:r w:rsidRPr="00904D6D">
        <w:rPr>
          <w:rFonts w:ascii="Arial" w:hAnsi="Arial" w:cs="Arial"/>
          <w:b/>
          <w:bCs/>
          <w:lang w:val="id-ID"/>
        </w:rPr>
        <w:t xml:space="preserve">2. </w:t>
      </w:r>
      <w:r>
        <w:rPr>
          <w:rFonts w:ascii="Arial" w:hAnsi="Arial" w:cs="Arial"/>
          <w:b/>
          <w:bCs/>
          <w:lang w:val="id-ID"/>
        </w:rPr>
        <w:t>Research Method</w:t>
      </w:r>
    </w:p>
    <w:p w14:paraId="7A2CCB9D" w14:textId="77777777" w:rsidR="00B353C0" w:rsidRDefault="00B353C0" w:rsidP="00B353C0">
      <w:pPr>
        <w:keepNext/>
        <w:jc w:val="center"/>
      </w:pPr>
      <w:r>
        <w:rPr>
          <w:rFonts w:ascii="Arial" w:hAnsi="Arial" w:cs="Arial"/>
          <w:noProof/>
        </w:rPr>
        <w:drawing>
          <wp:inline distT="0" distB="0" distL="0" distR="0" wp14:anchorId="5B7BE1FE" wp14:editId="269D7BDF">
            <wp:extent cx="4676775" cy="1739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0002" cy="1751927"/>
                    </a:xfrm>
                    <a:prstGeom prst="rect">
                      <a:avLst/>
                    </a:prstGeom>
                    <a:noFill/>
                    <a:ln>
                      <a:noFill/>
                    </a:ln>
                  </pic:spPr>
                </pic:pic>
              </a:graphicData>
            </a:graphic>
          </wp:inline>
        </w:drawing>
      </w:r>
    </w:p>
    <w:p w14:paraId="0DA2AE79" w14:textId="6FDC12F5" w:rsidR="00E62D93" w:rsidRPr="007B1D40" w:rsidRDefault="00B353C0" w:rsidP="00B353C0">
      <w:pPr>
        <w:pStyle w:val="Caption"/>
        <w:rPr>
          <w:rFonts w:ascii="Arial" w:hAnsi="Arial" w:cs="Arial"/>
          <w:i w:val="0"/>
          <w:iCs w:val="0"/>
        </w:rPr>
      </w:pPr>
      <w:r w:rsidRPr="007B1D40">
        <w:rPr>
          <w:rFonts w:ascii="Arial" w:hAnsi="Arial" w:cs="Arial"/>
          <w:i w:val="0"/>
          <w:iCs w:val="0"/>
        </w:rPr>
        <w:t xml:space="preserve">Figure </w:t>
      </w:r>
      <w:r w:rsidRPr="007B1D40">
        <w:rPr>
          <w:rFonts w:ascii="Arial" w:hAnsi="Arial" w:cs="Arial"/>
          <w:i w:val="0"/>
          <w:iCs w:val="0"/>
        </w:rPr>
        <w:fldChar w:fldCharType="begin"/>
      </w:r>
      <w:r w:rsidRPr="007B1D40">
        <w:rPr>
          <w:rFonts w:ascii="Arial" w:hAnsi="Arial" w:cs="Arial"/>
          <w:i w:val="0"/>
          <w:iCs w:val="0"/>
        </w:rPr>
        <w:instrText xml:space="preserve"> SEQ Figure \* ARABIC </w:instrText>
      </w:r>
      <w:r w:rsidRPr="007B1D40">
        <w:rPr>
          <w:rFonts w:ascii="Arial" w:hAnsi="Arial" w:cs="Arial"/>
          <w:i w:val="0"/>
          <w:iCs w:val="0"/>
        </w:rPr>
        <w:fldChar w:fldCharType="separate"/>
      </w:r>
      <w:r w:rsidR="00510332">
        <w:rPr>
          <w:rFonts w:ascii="Arial" w:hAnsi="Arial" w:cs="Arial"/>
          <w:i w:val="0"/>
          <w:iCs w:val="0"/>
          <w:noProof/>
        </w:rPr>
        <w:t>1</w:t>
      </w:r>
      <w:r w:rsidRPr="007B1D40">
        <w:rPr>
          <w:rFonts w:ascii="Arial" w:hAnsi="Arial" w:cs="Arial"/>
          <w:i w:val="0"/>
          <w:iCs w:val="0"/>
        </w:rPr>
        <w:fldChar w:fldCharType="end"/>
      </w:r>
      <w:r w:rsidRPr="007B1D40">
        <w:rPr>
          <w:rFonts w:ascii="Arial" w:hAnsi="Arial" w:cs="Arial"/>
          <w:i w:val="0"/>
          <w:iCs w:val="0"/>
        </w:rPr>
        <w:t xml:space="preserve">. Research </w:t>
      </w:r>
      <w:r w:rsidR="003047DE">
        <w:rPr>
          <w:rFonts w:ascii="Arial" w:hAnsi="Arial" w:cs="Arial"/>
          <w:i w:val="0"/>
          <w:iCs w:val="0"/>
        </w:rPr>
        <w:t>P</w:t>
      </w:r>
      <w:r w:rsidR="003047DE" w:rsidRPr="003047DE">
        <w:rPr>
          <w:rFonts w:ascii="Arial" w:hAnsi="Arial" w:cs="Arial"/>
          <w:i w:val="0"/>
          <w:iCs w:val="0"/>
        </w:rPr>
        <w:t>rocedure</w:t>
      </w:r>
    </w:p>
    <w:p w14:paraId="3A141483" w14:textId="1776BE0F" w:rsidR="007B1D40" w:rsidRPr="0067514D" w:rsidRDefault="007B1D40" w:rsidP="0067514D">
      <w:pPr>
        <w:ind w:firstLine="720"/>
        <w:jc w:val="both"/>
        <w:rPr>
          <w:rFonts w:ascii="Arial" w:hAnsi="Arial" w:cs="Arial"/>
        </w:rPr>
      </w:pPr>
      <w:r w:rsidRPr="0067514D">
        <w:rPr>
          <w:rFonts w:ascii="Arial" w:hAnsi="Arial" w:cs="Arial"/>
        </w:rPr>
        <w:t xml:space="preserve">The research </w:t>
      </w:r>
      <w:r w:rsidR="009854DC" w:rsidRPr="009854DC">
        <w:rPr>
          <w:rFonts w:ascii="Arial" w:hAnsi="Arial" w:cs="Arial"/>
        </w:rPr>
        <w:t xml:space="preserve">procedure </w:t>
      </w:r>
      <w:r w:rsidRPr="0067514D">
        <w:rPr>
          <w:rFonts w:ascii="Arial" w:hAnsi="Arial" w:cs="Arial"/>
        </w:rPr>
        <w:t>consists of the following steps (Fig. 1):</w:t>
      </w:r>
    </w:p>
    <w:p w14:paraId="199184C6" w14:textId="3EF8CDA8" w:rsidR="0067514D" w:rsidRPr="0067514D" w:rsidRDefault="007B1D40" w:rsidP="0067514D">
      <w:pPr>
        <w:pStyle w:val="ListParagraph"/>
        <w:numPr>
          <w:ilvl w:val="0"/>
          <w:numId w:val="19"/>
        </w:numPr>
        <w:spacing w:line="240" w:lineRule="auto"/>
        <w:jc w:val="both"/>
        <w:rPr>
          <w:rFonts w:ascii="Arial" w:hAnsi="Arial" w:cs="Arial"/>
          <w:sz w:val="20"/>
          <w:szCs w:val="20"/>
        </w:rPr>
      </w:pPr>
      <w:r w:rsidRPr="0067514D">
        <w:rPr>
          <w:rFonts w:ascii="Arial" w:hAnsi="Arial" w:cs="Arial"/>
          <w:sz w:val="20"/>
          <w:szCs w:val="20"/>
        </w:rPr>
        <w:t xml:space="preserve">Data </w:t>
      </w:r>
      <w:r w:rsidR="00861349" w:rsidRPr="0067514D">
        <w:rPr>
          <w:rFonts w:ascii="Arial" w:hAnsi="Arial" w:cs="Arial"/>
          <w:sz w:val="20"/>
          <w:szCs w:val="20"/>
        </w:rPr>
        <w:t>acquisition</w:t>
      </w:r>
      <w:r w:rsidRPr="0067514D">
        <w:rPr>
          <w:rFonts w:ascii="Arial" w:hAnsi="Arial" w:cs="Arial"/>
          <w:sz w:val="20"/>
          <w:szCs w:val="20"/>
        </w:rPr>
        <w:t xml:space="preserve">, </w:t>
      </w:r>
      <w:r w:rsidR="0067514D" w:rsidRPr="0067514D">
        <w:rPr>
          <w:rFonts w:ascii="Arial" w:hAnsi="Arial" w:cs="Arial"/>
          <w:sz w:val="20"/>
          <w:szCs w:val="20"/>
        </w:rPr>
        <w:t>data for this research acquired from Google Finance and consist of daily closing purchase prices for the USD, EUR, and SGD foreign currencies. The dataset covers a timeframe of about five years, from January 1, 2018, to May 31, 2023, encompassing a total of 1977 data points for the USD and EUR currencies, and 1956 data points for the SGD currency.</w:t>
      </w:r>
    </w:p>
    <w:p w14:paraId="50913490" w14:textId="5A861303" w:rsidR="00861349" w:rsidRDefault="00B80BB9" w:rsidP="0067514D">
      <w:pPr>
        <w:pStyle w:val="ListParagraph"/>
        <w:numPr>
          <w:ilvl w:val="0"/>
          <w:numId w:val="19"/>
        </w:numPr>
        <w:spacing w:line="240" w:lineRule="auto"/>
        <w:jc w:val="both"/>
        <w:rPr>
          <w:rFonts w:ascii="Arial" w:hAnsi="Arial" w:cs="Arial"/>
          <w:sz w:val="20"/>
          <w:szCs w:val="20"/>
        </w:rPr>
      </w:pPr>
      <w:r w:rsidRPr="0067514D">
        <w:rPr>
          <w:rFonts w:ascii="Arial" w:hAnsi="Arial" w:cs="Arial"/>
          <w:sz w:val="20"/>
          <w:szCs w:val="20"/>
        </w:rPr>
        <w:t xml:space="preserve">Data </w:t>
      </w:r>
      <w:proofErr w:type="spellStart"/>
      <w:r w:rsidRPr="0067514D">
        <w:rPr>
          <w:rFonts w:ascii="Arial" w:hAnsi="Arial" w:cs="Arial"/>
          <w:sz w:val="20"/>
          <w:szCs w:val="20"/>
        </w:rPr>
        <w:t>preprocessing</w:t>
      </w:r>
      <w:proofErr w:type="spellEnd"/>
      <w:r w:rsidRPr="0067514D">
        <w:rPr>
          <w:rFonts w:ascii="Arial" w:hAnsi="Arial" w:cs="Arial"/>
          <w:sz w:val="20"/>
          <w:szCs w:val="20"/>
        </w:rPr>
        <w:t xml:space="preserve">, </w:t>
      </w:r>
      <w:r w:rsidR="00744069" w:rsidRPr="00744069">
        <w:rPr>
          <w:rFonts w:ascii="Arial" w:hAnsi="Arial" w:cs="Arial"/>
          <w:sz w:val="20"/>
          <w:szCs w:val="20"/>
        </w:rPr>
        <w:t xml:space="preserve">involves transforming the initially unrefined data into a clean format suitable for model training. This entails several steps such as identifying and handling outliers, normalizing the data, implementing sliding window techniques, and partitioning the dataset </w:t>
      </w:r>
      <w:r w:rsidR="00744069">
        <w:rPr>
          <w:rFonts w:ascii="Arial" w:hAnsi="Arial" w:cs="Arial"/>
          <w:sz w:val="20"/>
          <w:szCs w:val="20"/>
        </w:rPr>
        <w:t>using</w:t>
      </w:r>
      <w:r w:rsidR="00744069" w:rsidRPr="00744069">
        <w:rPr>
          <w:rFonts w:ascii="Arial" w:hAnsi="Arial" w:cs="Arial"/>
          <w:sz w:val="20"/>
          <w:szCs w:val="20"/>
        </w:rPr>
        <w:t xml:space="preserve"> either splitting or cross-validation</w:t>
      </w:r>
      <w:r w:rsidR="00744069">
        <w:rPr>
          <w:rFonts w:ascii="Arial" w:hAnsi="Arial" w:cs="Arial"/>
          <w:sz w:val="20"/>
          <w:szCs w:val="20"/>
        </w:rPr>
        <w:t xml:space="preserve"> </w:t>
      </w:r>
      <w:r w:rsidR="00744069" w:rsidRPr="00744069">
        <w:rPr>
          <w:rFonts w:ascii="Arial" w:hAnsi="Arial" w:cs="Arial"/>
          <w:sz w:val="20"/>
          <w:szCs w:val="20"/>
        </w:rPr>
        <w:t>techniques.</w:t>
      </w:r>
    </w:p>
    <w:p w14:paraId="6AA7C40C" w14:textId="13EC8670" w:rsidR="00626E85" w:rsidRPr="00626E85" w:rsidRDefault="00E41E7E" w:rsidP="00626E85">
      <w:pPr>
        <w:pStyle w:val="ListParagraph"/>
        <w:numPr>
          <w:ilvl w:val="0"/>
          <w:numId w:val="19"/>
        </w:numPr>
        <w:jc w:val="both"/>
        <w:rPr>
          <w:rFonts w:ascii="Arial" w:hAnsi="Arial" w:cs="Arial"/>
          <w:sz w:val="20"/>
          <w:szCs w:val="20"/>
        </w:rPr>
      </w:pPr>
      <w:r w:rsidRPr="00626E85">
        <w:rPr>
          <w:rFonts w:ascii="Arial" w:hAnsi="Arial" w:cs="Arial"/>
          <w:sz w:val="20"/>
          <w:szCs w:val="20"/>
        </w:rPr>
        <w:t xml:space="preserve">Train LSTM, </w:t>
      </w:r>
      <w:r w:rsidR="001A2DE5" w:rsidRPr="001A2DE5">
        <w:rPr>
          <w:rFonts w:ascii="Arial" w:hAnsi="Arial" w:cs="Arial"/>
          <w:sz w:val="20"/>
          <w:szCs w:val="20"/>
        </w:rPr>
        <w:t xml:space="preserve">Base LSTM has 3 layers with cell numbers of 128, 64, and 32 respectively. The model will be trained using various parameters including, number of layers, sliding window size, </w:t>
      </w:r>
      <w:r w:rsidR="001A2DE5">
        <w:rPr>
          <w:rFonts w:ascii="Arial" w:hAnsi="Arial" w:cs="Arial"/>
          <w:sz w:val="20"/>
          <w:szCs w:val="20"/>
        </w:rPr>
        <w:t xml:space="preserve">train-test </w:t>
      </w:r>
      <w:r w:rsidR="001A2DE5" w:rsidRPr="001A2DE5">
        <w:rPr>
          <w:rFonts w:ascii="Arial" w:hAnsi="Arial" w:cs="Arial"/>
          <w:sz w:val="20"/>
          <w:szCs w:val="20"/>
        </w:rPr>
        <w:t>split or fold size from cross-validation</w:t>
      </w:r>
      <w:r w:rsidR="001A2DE5">
        <w:rPr>
          <w:rFonts w:ascii="Arial" w:hAnsi="Arial" w:cs="Arial"/>
          <w:sz w:val="20"/>
          <w:szCs w:val="20"/>
        </w:rPr>
        <w:t xml:space="preserve">. </w:t>
      </w:r>
      <w:r w:rsidR="00626E85" w:rsidRPr="00626E85">
        <w:rPr>
          <w:rFonts w:ascii="Arial" w:hAnsi="Arial" w:cs="Arial"/>
          <w:sz w:val="20"/>
          <w:szCs w:val="20"/>
        </w:rPr>
        <w:t xml:space="preserve">Details of the model </w:t>
      </w:r>
      <w:r w:rsidR="00BF25C8">
        <w:rPr>
          <w:rFonts w:ascii="Arial" w:hAnsi="Arial" w:cs="Arial"/>
          <w:sz w:val="20"/>
          <w:szCs w:val="20"/>
        </w:rPr>
        <w:t xml:space="preserve">and tested parameters </w:t>
      </w:r>
      <w:r w:rsidR="00626E85" w:rsidRPr="00626E85">
        <w:rPr>
          <w:rFonts w:ascii="Arial" w:hAnsi="Arial" w:cs="Arial"/>
          <w:sz w:val="20"/>
          <w:szCs w:val="20"/>
        </w:rPr>
        <w:t>can be seen in Fig. 2 and Table 1.</w:t>
      </w:r>
    </w:p>
    <w:p w14:paraId="26F4F03B" w14:textId="451946FC" w:rsidR="00E923A6" w:rsidRPr="00E923A6" w:rsidRDefault="00E41E7E" w:rsidP="00E923A6">
      <w:pPr>
        <w:pStyle w:val="ListParagraph"/>
        <w:numPr>
          <w:ilvl w:val="0"/>
          <w:numId w:val="19"/>
        </w:numPr>
        <w:jc w:val="both"/>
        <w:rPr>
          <w:rFonts w:ascii="Arial" w:hAnsi="Arial" w:cs="Arial"/>
          <w:sz w:val="20"/>
          <w:szCs w:val="20"/>
        </w:rPr>
      </w:pPr>
      <w:r w:rsidRPr="00626E85">
        <w:rPr>
          <w:rFonts w:ascii="Arial" w:hAnsi="Arial" w:cs="Arial"/>
          <w:sz w:val="20"/>
          <w:szCs w:val="20"/>
        </w:rPr>
        <w:t xml:space="preserve">LSTM evaluation, </w:t>
      </w:r>
      <w:r w:rsidR="00E923A6" w:rsidRPr="00E923A6">
        <w:rPr>
          <w:rFonts w:ascii="Arial" w:hAnsi="Arial" w:cs="Arial"/>
          <w:sz w:val="20"/>
          <w:szCs w:val="20"/>
        </w:rPr>
        <w:t>the</w:t>
      </w:r>
      <w:r w:rsidR="00E923A6" w:rsidRPr="00E923A6">
        <w:rPr>
          <w:rFonts w:ascii="Arial" w:hAnsi="Arial" w:cs="Arial"/>
          <w:sz w:val="20"/>
          <w:szCs w:val="20"/>
        </w:rPr>
        <w:t xml:space="preserve"> model that has been trained will be tested using previously split data to get the error value. The matrix used to get it is MAE.</w:t>
      </w:r>
    </w:p>
    <w:p w14:paraId="2BDD83BE" w14:textId="3D1695FD" w:rsidR="00E41E7E" w:rsidRPr="00E923A6" w:rsidRDefault="00E41E7E" w:rsidP="00E923A6">
      <w:pPr>
        <w:pStyle w:val="ListParagraph"/>
        <w:numPr>
          <w:ilvl w:val="0"/>
          <w:numId w:val="19"/>
        </w:numPr>
        <w:spacing w:line="240" w:lineRule="auto"/>
        <w:jc w:val="both"/>
        <w:rPr>
          <w:rFonts w:ascii="Arial" w:hAnsi="Arial" w:cs="Arial"/>
          <w:sz w:val="20"/>
          <w:szCs w:val="20"/>
        </w:rPr>
      </w:pPr>
      <w:r>
        <w:rPr>
          <w:rFonts w:ascii="Arial" w:hAnsi="Arial" w:cs="Arial"/>
          <w:sz w:val="20"/>
          <w:szCs w:val="20"/>
        </w:rPr>
        <w:t xml:space="preserve">Train GA-LSTM, </w:t>
      </w:r>
      <w:r w:rsidR="00E923A6" w:rsidRPr="00E923A6">
        <w:rPr>
          <w:rFonts w:ascii="Arial" w:hAnsi="Arial" w:cs="Arial"/>
          <w:sz w:val="20"/>
          <w:szCs w:val="20"/>
        </w:rPr>
        <w:t>choose parameters</w:t>
      </w:r>
      <w:r w:rsidR="00E923A6">
        <w:rPr>
          <w:rFonts w:ascii="Arial" w:hAnsi="Arial" w:cs="Arial"/>
          <w:sz w:val="20"/>
          <w:szCs w:val="20"/>
        </w:rPr>
        <w:t xml:space="preserve"> from Base LSTM</w:t>
      </w:r>
      <w:r w:rsidR="00E923A6" w:rsidRPr="00E923A6">
        <w:rPr>
          <w:rFonts w:ascii="Arial" w:hAnsi="Arial" w:cs="Arial"/>
          <w:sz w:val="20"/>
          <w:szCs w:val="20"/>
        </w:rPr>
        <w:t xml:space="preserve"> that produce a model with minimum MAE in each sliding window</w:t>
      </w:r>
      <w:r w:rsidR="00E923A6">
        <w:rPr>
          <w:rFonts w:ascii="Arial" w:hAnsi="Arial" w:cs="Arial"/>
          <w:sz w:val="20"/>
          <w:szCs w:val="20"/>
        </w:rPr>
        <w:t xml:space="preserve">, </w:t>
      </w:r>
      <w:r w:rsidR="00E923A6" w:rsidRPr="00E923A6">
        <w:rPr>
          <w:rFonts w:ascii="Arial" w:hAnsi="Arial" w:cs="Arial"/>
          <w:sz w:val="20"/>
          <w:szCs w:val="20"/>
        </w:rPr>
        <w:t>where the number of cells</w:t>
      </w:r>
      <w:r w:rsidR="00E923A6">
        <w:rPr>
          <w:rFonts w:ascii="Arial" w:hAnsi="Arial" w:cs="Arial"/>
          <w:sz w:val="20"/>
          <w:szCs w:val="20"/>
        </w:rPr>
        <w:t xml:space="preserve"> in LSTM</w:t>
      </w:r>
      <w:r w:rsidR="00E923A6" w:rsidRPr="00E923A6">
        <w:rPr>
          <w:rFonts w:ascii="Arial" w:hAnsi="Arial" w:cs="Arial"/>
          <w:sz w:val="20"/>
          <w:szCs w:val="20"/>
        </w:rPr>
        <w:t xml:space="preserve"> will then be optimized using G</w:t>
      </w:r>
      <w:r w:rsidR="00E923A6">
        <w:rPr>
          <w:rFonts w:ascii="Arial" w:hAnsi="Arial" w:cs="Arial"/>
          <w:sz w:val="20"/>
          <w:szCs w:val="20"/>
        </w:rPr>
        <w:t>A</w:t>
      </w:r>
      <w:r w:rsidR="00E923A6" w:rsidRPr="00E923A6">
        <w:rPr>
          <w:rFonts w:ascii="Arial" w:hAnsi="Arial" w:cs="Arial"/>
          <w:sz w:val="20"/>
          <w:szCs w:val="20"/>
        </w:rPr>
        <w:t>.</w:t>
      </w:r>
      <w:r w:rsidR="00E923A6">
        <w:rPr>
          <w:rFonts w:ascii="Arial" w:hAnsi="Arial" w:cs="Arial"/>
          <w:sz w:val="20"/>
          <w:szCs w:val="20"/>
        </w:rPr>
        <w:t xml:space="preserve"> </w:t>
      </w:r>
      <w:r w:rsidR="00E923A6" w:rsidRPr="00E923A6">
        <w:rPr>
          <w:rFonts w:ascii="Arial" w:hAnsi="Arial" w:cs="Arial"/>
          <w:sz w:val="20"/>
          <w:szCs w:val="20"/>
        </w:rPr>
        <w:t>The number of generations used for GA is 50, where mutations will occur every generation in multiples of 5.</w:t>
      </w:r>
      <w:r w:rsidR="00E923A6">
        <w:rPr>
          <w:rFonts w:ascii="Arial" w:hAnsi="Arial" w:cs="Arial"/>
          <w:sz w:val="20"/>
          <w:szCs w:val="20"/>
        </w:rPr>
        <w:t xml:space="preserve"> </w:t>
      </w:r>
      <w:r w:rsidR="00BB17BF" w:rsidRPr="00BB17BF">
        <w:rPr>
          <w:rFonts w:ascii="Arial" w:hAnsi="Arial" w:cs="Arial"/>
          <w:sz w:val="20"/>
          <w:szCs w:val="20"/>
        </w:rPr>
        <w:t>After getting the optimal number of cells for each LSTM layer, the model will be retrained using the optimal results obtained</w:t>
      </w:r>
      <w:r w:rsidR="00BB17BF">
        <w:rPr>
          <w:rFonts w:ascii="Arial" w:hAnsi="Arial" w:cs="Arial"/>
          <w:sz w:val="20"/>
          <w:szCs w:val="20"/>
        </w:rPr>
        <w:t xml:space="preserve"> through GA.</w:t>
      </w:r>
    </w:p>
    <w:p w14:paraId="2B5056F1" w14:textId="57923E5D" w:rsidR="00E41E7E" w:rsidRDefault="00E41E7E" w:rsidP="0067514D">
      <w:pPr>
        <w:pStyle w:val="ListParagraph"/>
        <w:numPr>
          <w:ilvl w:val="0"/>
          <w:numId w:val="19"/>
        </w:numPr>
        <w:spacing w:line="240" w:lineRule="auto"/>
        <w:jc w:val="both"/>
        <w:rPr>
          <w:rFonts w:ascii="Arial" w:hAnsi="Arial" w:cs="Arial"/>
          <w:sz w:val="20"/>
          <w:szCs w:val="20"/>
        </w:rPr>
      </w:pPr>
      <w:r>
        <w:rPr>
          <w:rFonts w:ascii="Arial" w:hAnsi="Arial" w:cs="Arial"/>
          <w:sz w:val="20"/>
          <w:szCs w:val="20"/>
        </w:rPr>
        <w:t xml:space="preserve">GA-LSTM evaluation, </w:t>
      </w:r>
      <w:r w:rsidR="00BB17BF">
        <w:rPr>
          <w:rFonts w:ascii="Arial" w:hAnsi="Arial" w:cs="Arial"/>
          <w:sz w:val="20"/>
          <w:szCs w:val="20"/>
        </w:rPr>
        <w:t xml:space="preserve">the retrained model will be tested using </w:t>
      </w:r>
      <w:r w:rsidR="00BB17BF" w:rsidRPr="00E923A6">
        <w:rPr>
          <w:rFonts w:ascii="Arial" w:hAnsi="Arial" w:cs="Arial"/>
          <w:sz w:val="20"/>
          <w:szCs w:val="20"/>
        </w:rPr>
        <w:t xml:space="preserve">previously split data to get the </w:t>
      </w:r>
      <w:r w:rsidR="00BB17BF">
        <w:rPr>
          <w:rFonts w:ascii="Arial" w:hAnsi="Arial" w:cs="Arial"/>
          <w:sz w:val="20"/>
          <w:szCs w:val="20"/>
        </w:rPr>
        <w:t>MAE.</w:t>
      </w:r>
    </w:p>
    <w:p w14:paraId="63B82ABF" w14:textId="55E0DB07" w:rsidR="00510332" w:rsidRDefault="00510332" w:rsidP="00510332">
      <w:pPr>
        <w:pStyle w:val="ListParagraph"/>
        <w:keepNext/>
        <w:spacing w:line="240" w:lineRule="auto"/>
        <w:ind w:left="0"/>
        <w:jc w:val="center"/>
      </w:pPr>
      <w:r w:rsidRPr="00D46171">
        <w:rPr>
          <w:noProof/>
          <w:lang w:val="id-ID"/>
        </w:rPr>
        <w:lastRenderedPageBreak/>
        <w:drawing>
          <wp:inline distT="0" distB="0" distL="0" distR="0" wp14:anchorId="3373BBA0" wp14:editId="05ECBF31">
            <wp:extent cx="1619937" cy="2286000"/>
            <wp:effectExtent l="0" t="0" r="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937" cy="2286000"/>
                    </a:xfrm>
                    <a:prstGeom prst="rect">
                      <a:avLst/>
                    </a:prstGeom>
                    <a:noFill/>
                    <a:ln>
                      <a:noFill/>
                    </a:ln>
                  </pic:spPr>
                </pic:pic>
              </a:graphicData>
            </a:graphic>
          </wp:inline>
        </w:drawing>
      </w:r>
    </w:p>
    <w:p w14:paraId="07043AF8" w14:textId="66DCC97B" w:rsidR="00E62D93" w:rsidRPr="00510332" w:rsidRDefault="00510332" w:rsidP="00510332">
      <w:pPr>
        <w:pStyle w:val="Caption"/>
        <w:rPr>
          <w:rFonts w:ascii="Arial" w:hAnsi="Arial" w:cs="Arial"/>
          <w:i w:val="0"/>
          <w:iCs w:val="0"/>
        </w:rPr>
      </w:pPr>
      <w:r w:rsidRPr="00510332">
        <w:rPr>
          <w:rFonts w:ascii="Arial" w:hAnsi="Arial" w:cs="Arial"/>
          <w:i w:val="0"/>
          <w:iCs w:val="0"/>
        </w:rPr>
        <w:t xml:space="preserve">Figure </w:t>
      </w:r>
      <w:r w:rsidRPr="00510332">
        <w:rPr>
          <w:rFonts w:ascii="Arial" w:hAnsi="Arial" w:cs="Arial"/>
          <w:i w:val="0"/>
          <w:iCs w:val="0"/>
        </w:rPr>
        <w:fldChar w:fldCharType="begin"/>
      </w:r>
      <w:r w:rsidRPr="00510332">
        <w:rPr>
          <w:rFonts w:ascii="Arial" w:hAnsi="Arial" w:cs="Arial"/>
          <w:i w:val="0"/>
          <w:iCs w:val="0"/>
        </w:rPr>
        <w:instrText xml:space="preserve"> SEQ Figure \* ARABIC </w:instrText>
      </w:r>
      <w:r w:rsidRPr="00510332">
        <w:rPr>
          <w:rFonts w:ascii="Arial" w:hAnsi="Arial" w:cs="Arial"/>
          <w:i w:val="0"/>
          <w:iCs w:val="0"/>
        </w:rPr>
        <w:fldChar w:fldCharType="separate"/>
      </w:r>
      <w:r w:rsidRPr="00510332">
        <w:rPr>
          <w:rFonts w:ascii="Arial" w:hAnsi="Arial" w:cs="Arial"/>
          <w:i w:val="0"/>
          <w:iCs w:val="0"/>
          <w:noProof/>
        </w:rPr>
        <w:t>2</w:t>
      </w:r>
      <w:r w:rsidRPr="00510332">
        <w:rPr>
          <w:rFonts w:ascii="Arial" w:hAnsi="Arial" w:cs="Arial"/>
          <w:i w:val="0"/>
          <w:iCs w:val="0"/>
        </w:rPr>
        <w:fldChar w:fldCharType="end"/>
      </w:r>
      <w:r>
        <w:rPr>
          <w:rFonts w:ascii="Arial" w:hAnsi="Arial" w:cs="Arial"/>
          <w:i w:val="0"/>
          <w:iCs w:val="0"/>
        </w:rPr>
        <w:t>.</w:t>
      </w:r>
      <w:r w:rsidRPr="00510332">
        <w:rPr>
          <w:rFonts w:ascii="Arial" w:hAnsi="Arial" w:cs="Arial"/>
          <w:i w:val="0"/>
          <w:iCs w:val="0"/>
        </w:rPr>
        <w:t xml:space="preserve"> Base LSTM Architecture</w:t>
      </w:r>
    </w:p>
    <w:p w14:paraId="117C1FE7" w14:textId="7126C2CE" w:rsidR="00E41E7E" w:rsidRPr="00E41E7E" w:rsidRDefault="00E41E7E" w:rsidP="00E41E7E">
      <w:pPr>
        <w:pStyle w:val="Caption"/>
        <w:keepNext/>
        <w:spacing w:line="240" w:lineRule="auto"/>
        <w:rPr>
          <w:rFonts w:ascii="Arial" w:hAnsi="Arial" w:cs="Arial"/>
          <w:i w:val="0"/>
          <w:iCs w:val="0"/>
        </w:rPr>
      </w:pPr>
      <w:r w:rsidRPr="00E41E7E">
        <w:rPr>
          <w:rFonts w:ascii="Arial" w:hAnsi="Arial" w:cs="Arial"/>
          <w:i w:val="0"/>
          <w:iCs w:val="0"/>
        </w:rPr>
        <w:t xml:space="preserve">Table </w:t>
      </w:r>
      <w:r w:rsidRPr="00E41E7E">
        <w:rPr>
          <w:rFonts w:ascii="Arial" w:hAnsi="Arial" w:cs="Arial"/>
          <w:i w:val="0"/>
          <w:iCs w:val="0"/>
        </w:rPr>
        <w:fldChar w:fldCharType="begin"/>
      </w:r>
      <w:r w:rsidRPr="00E41E7E">
        <w:rPr>
          <w:rFonts w:ascii="Arial" w:hAnsi="Arial" w:cs="Arial"/>
          <w:i w:val="0"/>
          <w:iCs w:val="0"/>
        </w:rPr>
        <w:instrText xml:space="preserve"> SEQ Table \* ARABIC </w:instrText>
      </w:r>
      <w:r w:rsidRPr="00E41E7E">
        <w:rPr>
          <w:rFonts w:ascii="Arial" w:hAnsi="Arial" w:cs="Arial"/>
          <w:i w:val="0"/>
          <w:iCs w:val="0"/>
        </w:rPr>
        <w:fldChar w:fldCharType="separate"/>
      </w:r>
      <w:r w:rsidRPr="00E41E7E">
        <w:rPr>
          <w:rFonts w:ascii="Arial" w:hAnsi="Arial" w:cs="Arial"/>
          <w:i w:val="0"/>
          <w:iCs w:val="0"/>
          <w:noProof/>
        </w:rPr>
        <w:t>1</w:t>
      </w:r>
      <w:r w:rsidRPr="00E41E7E">
        <w:rPr>
          <w:rFonts w:ascii="Arial" w:hAnsi="Arial" w:cs="Arial"/>
          <w:i w:val="0"/>
          <w:iCs w:val="0"/>
        </w:rPr>
        <w:fldChar w:fldCharType="end"/>
      </w:r>
      <w:r w:rsidRPr="00E41E7E">
        <w:rPr>
          <w:rFonts w:ascii="Arial" w:hAnsi="Arial" w:cs="Arial"/>
          <w:i w:val="0"/>
          <w:iCs w:val="0"/>
        </w:rPr>
        <w:t>. Tested Parameter</w:t>
      </w:r>
    </w:p>
    <w:tbl>
      <w:tblPr>
        <w:tblW w:w="0" w:type="auto"/>
        <w:jc w:val="center"/>
        <w:tblBorders>
          <w:bottom w:val="single" w:sz="4" w:space="0" w:color="auto"/>
        </w:tblBorders>
        <w:tblLook w:val="01E0" w:firstRow="1" w:lastRow="1" w:firstColumn="1" w:lastColumn="1" w:noHBand="0" w:noVBand="0"/>
      </w:tblPr>
      <w:tblGrid>
        <w:gridCol w:w="1172"/>
        <w:gridCol w:w="1358"/>
        <w:gridCol w:w="1350"/>
      </w:tblGrid>
      <w:tr w:rsidR="00510332" w14:paraId="30FDF4CF" w14:textId="1632AC6D" w:rsidTr="004D6718">
        <w:trPr>
          <w:jc w:val="center"/>
        </w:trPr>
        <w:tc>
          <w:tcPr>
            <w:tcW w:w="1172" w:type="dxa"/>
            <w:tcBorders>
              <w:top w:val="single" w:sz="12" w:space="0" w:color="auto"/>
              <w:left w:val="nil"/>
              <w:bottom w:val="single" w:sz="12" w:space="0" w:color="auto"/>
              <w:right w:val="nil"/>
            </w:tcBorders>
            <w:hideMark/>
          </w:tcPr>
          <w:p w14:paraId="1A0DF5C8" w14:textId="726EE6B7" w:rsidR="00E41E7E" w:rsidRPr="00E41E7E" w:rsidRDefault="00E41E7E" w:rsidP="004D6718">
            <w:pPr>
              <w:ind w:left="-12" w:firstLine="12"/>
              <w:jc w:val="center"/>
              <w:rPr>
                <w:rFonts w:ascii="Arial" w:hAnsi="Arial" w:cs="Arial"/>
                <w:sz w:val="16"/>
                <w:szCs w:val="16"/>
              </w:rPr>
            </w:pPr>
            <w:r>
              <w:rPr>
                <w:rFonts w:ascii="Arial" w:hAnsi="Arial" w:cs="Arial"/>
                <w:sz w:val="16"/>
                <w:szCs w:val="16"/>
              </w:rPr>
              <w:t>LSTM Layers</w:t>
            </w:r>
          </w:p>
        </w:tc>
        <w:tc>
          <w:tcPr>
            <w:tcW w:w="1358" w:type="dxa"/>
            <w:tcBorders>
              <w:top w:val="single" w:sz="12" w:space="0" w:color="auto"/>
              <w:left w:val="nil"/>
              <w:bottom w:val="single" w:sz="12" w:space="0" w:color="auto"/>
              <w:right w:val="nil"/>
            </w:tcBorders>
            <w:hideMark/>
          </w:tcPr>
          <w:p w14:paraId="249AB274" w14:textId="082156A3" w:rsidR="00E41E7E" w:rsidRPr="00E41E7E" w:rsidRDefault="00E41E7E" w:rsidP="00E41E7E">
            <w:pPr>
              <w:jc w:val="center"/>
              <w:rPr>
                <w:rFonts w:ascii="Arial" w:hAnsi="Arial" w:cs="Arial"/>
                <w:sz w:val="16"/>
                <w:szCs w:val="16"/>
              </w:rPr>
            </w:pPr>
            <w:r>
              <w:rPr>
                <w:rFonts w:ascii="Arial" w:hAnsi="Arial" w:cs="Arial"/>
                <w:sz w:val="16"/>
                <w:szCs w:val="16"/>
              </w:rPr>
              <w:t>Sliding Window</w:t>
            </w:r>
          </w:p>
        </w:tc>
        <w:tc>
          <w:tcPr>
            <w:tcW w:w="1350" w:type="dxa"/>
            <w:tcBorders>
              <w:top w:val="single" w:sz="12" w:space="0" w:color="auto"/>
              <w:left w:val="nil"/>
              <w:bottom w:val="single" w:sz="12" w:space="0" w:color="auto"/>
              <w:right w:val="nil"/>
            </w:tcBorders>
            <w:hideMark/>
          </w:tcPr>
          <w:p w14:paraId="5DBCD9D7" w14:textId="5EE5441E" w:rsidR="00E41E7E" w:rsidRPr="00E41E7E" w:rsidRDefault="00E41E7E" w:rsidP="00E41E7E">
            <w:pPr>
              <w:jc w:val="center"/>
              <w:rPr>
                <w:rFonts w:ascii="Arial" w:hAnsi="Arial" w:cs="Arial"/>
                <w:sz w:val="16"/>
                <w:szCs w:val="16"/>
              </w:rPr>
            </w:pPr>
            <w:r>
              <w:rPr>
                <w:rFonts w:ascii="Arial" w:hAnsi="Arial" w:cs="Arial"/>
                <w:sz w:val="16"/>
                <w:szCs w:val="16"/>
              </w:rPr>
              <w:t>Split or Fold</w:t>
            </w:r>
          </w:p>
        </w:tc>
      </w:tr>
      <w:tr w:rsidR="00510332" w14:paraId="1904DB9C" w14:textId="70E7825A" w:rsidTr="004D6718">
        <w:trPr>
          <w:jc w:val="center"/>
        </w:trPr>
        <w:tc>
          <w:tcPr>
            <w:tcW w:w="1172" w:type="dxa"/>
            <w:tcBorders>
              <w:top w:val="single" w:sz="12" w:space="0" w:color="auto"/>
              <w:left w:val="nil"/>
              <w:bottom w:val="nil"/>
              <w:right w:val="nil"/>
            </w:tcBorders>
            <w:hideMark/>
          </w:tcPr>
          <w:p w14:paraId="19A56BAA" w14:textId="4B1DE490" w:rsidR="00E41E7E" w:rsidRDefault="00E41E7E" w:rsidP="00E41E7E">
            <w:pPr>
              <w:jc w:val="center"/>
              <w:rPr>
                <w:rFonts w:ascii="Arial" w:hAnsi="Arial" w:cs="Arial"/>
                <w:sz w:val="16"/>
                <w:szCs w:val="16"/>
              </w:rPr>
            </w:pPr>
            <w:r>
              <w:rPr>
                <w:rFonts w:ascii="Arial" w:hAnsi="Arial" w:cs="Arial"/>
                <w:sz w:val="16"/>
                <w:szCs w:val="16"/>
              </w:rPr>
              <w:t>1</w:t>
            </w:r>
          </w:p>
        </w:tc>
        <w:tc>
          <w:tcPr>
            <w:tcW w:w="1358" w:type="dxa"/>
            <w:tcBorders>
              <w:top w:val="single" w:sz="12" w:space="0" w:color="auto"/>
              <w:left w:val="nil"/>
              <w:bottom w:val="nil"/>
              <w:right w:val="nil"/>
            </w:tcBorders>
            <w:hideMark/>
          </w:tcPr>
          <w:p w14:paraId="7A2010A7" w14:textId="52DE826B" w:rsidR="00E41E7E" w:rsidRDefault="00E41E7E" w:rsidP="00E41E7E">
            <w:pPr>
              <w:jc w:val="center"/>
              <w:rPr>
                <w:rFonts w:ascii="Arial" w:hAnsi="Arial" w:cs="Arial"/>
                <w:sz w:val="16"/>
                <w:szCs w:val="16"/>
              </w:rPr>
            </w:pPr>
            <w:r>
              <w:rPr>
                <w:rFonts w:ascii="Arial" w:hAnsi="Arial" w:cs="Arial"/>
                <w:sz w:val="16"/>
                <w:szCs w:val="16"/>
              </w:rPr>
              <w:t>5</w:t>
            </w:r>
          </w:p>
        </w:tc>
        <w:tc>
          <w:tcPr>
            <w:tcW w:w="1350" w:type="dxa"/>
            <w:tcBorders>
              <w:top w:val="single" w:sz="12" w:space="0" w:color="auto"/>
              <w:left w:val="nil"/>
              <w:bottom w:val="nil"/>
              <w:right w:val="nil"/>
            </w:tcBorders>
            <w:hideMark/>
          </w:tcPr>
          <w:p w14:paraId="3B2BC3D7" w14:textId="63D15DC8" w:rsidR="00E41E7E" w:rsidRDefault="00E41E7E" w:rsidP="00E41E7E">
            <w:pPr>
              <w:jc w:val="center"/>
              <w:rPr>
                <w:rFonts w:ascii="Arial" w:hAnsi="Arial" w:cs="Arial"/>
                <w:sz w:val="16"/>
                <w:szCs w:val="16"/>
              </w:rPr>
            </w:pPr>
            <w:r>
              <w:rPr>
                <w:rFonts w:ascii="Arial" w:hAnsi="Arial" w:cs="Arial"/>
                <w:sz w:val="16"/>
                <w:szCs w:val="16"/>
              </w:rPr>
              <w:t>0.8 / 5</w:t>
            </w:r>
          </w:p>
        </w:tc>
      </w:tr>
      <w:tr w:rsidR="00510332" w14:paraId="327A1ABD" w14:textId="7131C482" w:rsidTr="004D6718">
        <w:trPr>
          <w:jc w:val="center"/>
        </w:trPr>
        <w:tc>
          <w:tcPr>
            <w:tcW w:w="1172" w:type="dxa"/>
            <w:tcBorders>
              <w:top w:val="nil"/>
              <w:left w:val="nil"/>
              <w:bottom w:val="nil"/>
              <w:right w:val="nil"/>
            </w:tcBorders>
            <w:hideMark/>
          </w:tcPr>
          <w:p w14:paraId="6A69B49B" w14:textId="3BC5B78E" w:rsidR="00E41E7E" w:rsidRDefault="00E41E7E" w:rsidP="00E41E7E">
            <w:pPr>
              <w:jc w:val="center"/>
              <w:rPr>
                <w:rFonts w:ascii="Arial" w:hAnsi="Arial" w:cs="Arial"/>
                <w:sz w:val="16"/>
                <w:szCs w:val="16"/>
              </w:rPr>
            </w:pPr>
            <w:r>
              <w:rPr>
                <w:rFonts w:ascii="Arial" w:hAnsi="Arial" w:cs="Arial"/>
                <w:sz w:val="16"/>
                <w:szCs w:val="16"/>
              </w:rPr>
              <w:t>2</w:t>
            </w:r>
          </w:p>
        </w:tc>
        <w:tc>
          <w:tcPr>
            <w:tcW w:w="1358" w:type="dxa"/>
            <w:tcBorders>
              <w:top w:val="nil"/>
              <w:left w:val="nil"/>
              <w:bottom w:val="nil"/>
              <w:right w:val="nil"/>
            </w:tcBorders>
            <w:hideMark/>
          </w:tcPr>
          <w:p w14:paraId="74427C57" w14:textId="5EE71919" w:rsidR="00E41E7E" w:rsidRDefault="00E41E7E" w:rsidP="00E41E7E">
            <w:pPr>
              <w:jc w:val="center"/>
              <w:rPr>
                <w:rFonts w:ascii="Arial" w:hAnsi="Arial" w:cs="Arial"/>
                <w:sz w:val="16"/>
                <w:szCs w:val="16"/>
              </w:rPr>
            </w:pPr>
            <w:r>
              <w:rPr>
                <w:rFonts w:ascii="Arial" w:hAnsi="Arial" w:cs="Arial"/>
                <w:sz w:val="16"/>
                <w:szCs w:val="16"/>
              </w:rPr>
              <w:t>10</w:t>
            </w:r>
          </w:p>
        </w:tc>
        <w:tc>
          <w:tcPr>
            <w:tcW w:w="1350" w:type="dxa"/>
            <w:tcBorders>
              <w:top w:val="nil"/>
              <w:left w:val="nil"/>
              <w:bottom w:val="nil"/>
              <w:right w:val="nil"/>
            </w:tcBorders>
            <w:hideMark/>
          </w:tcPr>
          <w:p w14:paraId="35A9143C" w14:textId="2C68A534" w:rsidR="00E41E7E" w:rsidRDefault="00E41E7E" w:rsidP="00E41E7E">
            <w:pPr>
              <w:jc w:val="center"/>
              <w:rPr>
                <w:rFonts w:ascii="Arial" w:hAnsi="Arial" w:cs="Arial"/>
                <w:sz w:val="16"/>
                <w:szCs w:val="16"/>
              </w:rPr>
            </w:pPr>
            <w:r>
              <w:rPr>
                <w:rFonts w:ascii="Arial" w:hAnsi="Arial" w:cs="Arial"/>
                <w:sz w:val="16"/>
                <w:szCs w:val="16"/>
              </w:rPr>
              <w:t>0.9 / 10</w:t>
            </w:r>
          </w:p>
        </w:tc>
      </w:tr>
      <w:tr w:rsidR="00510332" w14:paraId="35795B58" w14:textId="206BF24C" w:rsidTr="004D6718">
        <w:trPr>
          <w:jc w:val="center"/>
        </w:trPr>
        <w:tc>
          <w:tcPr>
            <w:tcW w:w="1172" w:type="dxa"/>
            <w:tcBorders>
              <w:top w:val="nil"/>
              <w:left w:val="nil"/>
              <w:bottom w:val="single" w:sz="12" w:space="0" w:color="auto"/>
              <w:right w:val="nil"/>
            </w:tcBorders>
            <w:hideMark/>
          </w:tcPr>
          <w:p w14:paraId="11608F71" w14:textId="7581C19F" w:rsidR="00E41E7E" w:rsidRDefault="00E41E7E" w:rsidP="00E41E7E">
            <w:pPr>
              <w:jc w:val="center"/>
              <w:rPr>
                <w:rFonts w:ascii="Arial" w:hAnsi="Arial" w:cs="Arial"/>
                <w:sz w:val="16"/>
                <w:szCs w:val="16"/>
              </w:rPr>
            </w:pPr>
            <w:r>
              <w:rPr>
                <w:rFonts w:ascii="Arial" w:hAnsi="Arial" w:cs="Arial"/>
                <w:sz w:val="16"/>
                <w:szCs w:val="16"/>
              </w:rPr>
              <w:t>3</w:t>
            </w:r>
          </w:p>
        </w:tc>
        <w:tc>
          <w:tcPr>
            <w:tcW w:w="1358" w:type="dxa"/>
            <w:tcBorders>
              <w:top w:val="nil"/>
              <w:left w:val="nil"/>
              <w:bottom w:val="single" w:sz="12" w:space="0" w:color="auto"/>
              <w:right w:val="nil"/>
            </w:tcBorders>
            <w:hideMark/>
          </w:tcPr>
          <w:p w14:paraId="406BA02B" w14:textId="35440BC6" w:rsidR="00E41E7E" w:rsidRDefault="00E41E7E" w:rsidP="00E41E7E">
            <w:pPr>
              <w:jc w:val="center"/>
              <w:rPr>
                <w:rFonts w:ascii="Arial" w:hAnsi="Arial" w:cs="Arial"/>
                <w:sz w:val="16"/>
                <w:szCs w:val="16"/>
              </w:rPr>
            </w:pPr>
            <w:r>
              <w:rPr>
                <w:rFonts w:ascii="Arial" w:hAnsi="Arial" w:cs="Arial"/>
                <w:sz w:val="16"/>
                <w:szCs w:val="16"/>
              </w:rPr>
              <w:t>20</w:t>
            </w:r>
          </w:p>
        </w:tc>
        <w:tc>
          <w:tcPr>
            <w:tcW w:w="1350" w:type="dxa"/>
            <w:tcBorders>
              <w:top w:val="nil"/>
              <w:left w:val="nil"/>
              <w:bottom w:val="single" w:sz="12" w:space="0" w:color="auto"/>
              <w:right w:val="nil"/>
            </w:tcBorders>
            <w:hideMark/>
          </w:tcPr>
          <w:p w14:paraId="7BEC5B59" w14:textId="3006F331" w:rsidR="00E41E7E" w:rsidRDefault="00E41E7E" w:rsidP="00E41E7E">
            <w:pPr>
              <w:jc w:val="center"/>
              <w:rPr>
                <w:rFonts w:ascii="Arial" w:hAnsi="Arial" w:cs="Arial"/>
                <w:sz w:val="16"/>
                <w:szCs w:val="16"/>
              </w:rPr>
            </w:pPr>
          </w:p>
        </w:tc>
      </w:tr>
    </w:tbl>
    <w:p w14:paraId="4856E95A" w14:textId="77777777" w:rsidR="00E62D93" w:rsidRPr="008168B9" w:rsidRDefault="00E62D93" w:rsidP="00E62D93">
      <w:pPr>
        <w:rPr>
          <w:rFonts w:ascii="Arial" w:hAnsi="Arial" w:cs="Arial"/>
          <w:b/>
          <w:bCs/>
        </w:rPr>
      </w:pPr>
    </w:p>
    <w:p w14:paraId="4942F072" w14:textId="77777777" w:rsidR="00E62D93" w:rsidRPr="00904D6D" w:rsidRDefault="00E62D93" w:rsidP="00E62D93">
      <w:pPr>
        <w:rPr>
          <w:rFonts w:ascii="Arial" w:hAnsi="Arial" w:cs="Arial"/>
          <w:b/>
          <w:bCs/>
          <w:lang w:val="id-ID"/>
        </w:rPr>
      </w:pPr>
      <w:r w:rsidRPr="00904D6D">
        <w:rPr>
          <w:rFonts w:ascii="Arial" w:hAnsi="Arial" w:cs="Arial"/>
          <w:b/>
          <w:bCs/>
          <w:lang w:val="id-ID"/>
        </w:rPr>
        <w:t xml:space="preserve">3. </w:t>
      </w:r>
      <w:r>
        <w:rPr>
          <w:rFonts w:ascii="Arial" w:hAnsi="Arial" w:cs="Arial"/>
          <w:b/>
          <w:bCs/>
          <w:lang w:val="id-ID"/>
        </w:rPr>
        <w:t xml:space="preserve">Results </w:t>
      </w:r>
      <w:r>
        <w:rPr>
          <w:rFonts w:ascii="Arial" w:hAnsi="Arial" w:cs="Arial"/>
          <w:b/>
          <w:bCs/>
        </w:rPr>
        <w:t>a</w:t>
      </w:r>
      <w:r>
        <w:rPr>
          <w:rFonts w:ascii="Arial" w:hAnsi="Arial" w:cs="Arial"/>
          <w:b/>
          <w:bCs/>
          <w:lang w:val="id-ID"/>
        </w:rPr>
        <w:t>nd Analysis</w:t>
      </w:r>
    </w:p>
    <w:p w14:paraId="280F1B95" w14:textId="77777777" w:rsidR="00E62D93" w:rsidRPr="00EE4290" w:rsidRDefault="00E62D93" w:rsidP="00E62D93">
      <w:pPr>
        <w:ind w:firstLine="720"/>
        <w:jc w:val="both"/>
        <w:rPr>
          <w:rFonts w:ascii="Arial" w:hAnsi="Arial" w:cs="Arial"/>
          <w:lang w:val="id-ID"/>
        </w:rPr>
      </w:pPr>
      <w:r w:rsidRPr="00EE4290">
        <w:rPr>
          <w:rFonts w:ascii="Arial" w:hAnsi="Arial" w:cs="Arial"/>
          <w:lang w:val="id-ID"/>
        </w:rPr>
        <w:t>In this section, it is explained the results of research and at the same time is given the comprehensive discussion. Results can be presented in figures, graphs, tables and others that make the reader understand easily</w:t>
      </w:r>
      <w:r>
        <w:rPr>
          <w:rFonts w:ascii="Arial" w:hAnsi="Arial" w:cs="Arial"/>
        </w:rPr>
        <w:t xml:space="preserve"> [2], [5]</w:t>
      </w:r>
      <w:r w:rsidRPr="00EE4290">
        <w:rPr>
          <w:rFonts w:ascii="Arial" w:hAnsi="Arial" w:cs="Arial"/>
          <w:lang w:val="id-ID"/>
        </w:rPr>
        <w:t>. The discussion can be made in several sub-chapters.</w:t>
      </w:r>
    </w:p>
    <w:p w14:paraId="66A1F89F" w14:textId="77777777" w:rsidR="00E62D93" w:rsidRDefault="00E62D93" w:rsidP="00E62D93">
      <w:pPr>
        <w:rPr>
          <w:rFonts w:ascii="Arial" w:hAnsi="Arial" w:cs="Arial"/>
          <w:b/>
          <w:bCs/>
          <w:lang w:val="id-ID"/>
        </w:rPr>
      </w:pPr>
    </w:p>
    <w:p w14:paraId="6ECBCF44" w14:textId="77777777" w:rsidR="00E62D93" w:rsidRDefault="00E62D93" w:rsidP="00E62D93">
      <w:pPr>
        <w:rPr>
          <w:rFonts w:ascii="Arial" w:hAnsi="Arial" w:cs="Arial"/>
          <w:b/>
          <w:bCs/>
          <w:lang w:val="id-ID"/>
        </w:rPr>
      </w:pPr>
      <w:r w:rsidRPr="00904D6D">
        <w:rPr>
          <w:rFonts w:ascii="Arial" w:hAnsi="Arial" w:cs="Arial"/>
          <w:b/>
          <w:bCs/>
          <w:lang w:val="id-ID"/>
        </w:rPr>
        <w:t xml:space="preserve">3.1. </w:t>
      </w:r>
      <w:r>
        <w:rPr>
          <w:rFonts w:ascii="Arial" w:hAnsi="Arial" w:cs="Arial"/>
          <w:b/>
          <w:bCs/>
          <w:lang w:val="id-ID"/>
        </w:rPr>
        <w:t>Sub Bab 1</w:t>
      </w:r>
    </w:p>
    <w:p w14:paraId="1BDB45F0" w14:textId="77777777" w:rsidR="00E62D93" w:rsidRPr="000F279B" w:rsidRDefault="00E62D93" w:rsidP="00E62D93">
      <w:pPr>
        <w:ind w:firstLine="720"/>
        <w:jc w:val="both"/>
        <w:rPr>
          <w:rFonts w:ascii="Arial" w:hAnsi="Arial" w:cs="Arial"/>
          <w:bCs/>
          <w:lang w:val="id-ID"/>
        </w:rPr>
      </w:pPr>
      <w:r>
        <w:rPr>
          <w:rFonts w:ascii="Arial" w:hAnsi="Arial" w:cs="Arial"/>
          <w:bCs/>
          <w:lang w:val="id-ID"/>
        </w:rPr>
        <w:t>xx</w:t>
      </w:r>
    </w:p>
    <w:p w14:paraId="4616C0C2" w14:textId="77777777" w:rsidR="00E62D93" w:rsidRPr="00904D6D" w:rsidRDefault="00E62D93" w:rsidP="00E62D93">
      <w:pPr>
        <w:rPr>
          <w:rFonts w:ascii="Arial" w:hAnsi="Arial" w:cs="Arial"/>
          <w:b/>
          <w:bCs/>
          <w:lang w:val="id-ID"/>
        </w:rPr>
      </w:pPr>
    </w:p>
    <w:p w14:paraId="71EDB1A2" w14:textId="77777777" w:rsidR="00E62D93" w:rsidRPr="00904D6D" w:rsidRDefault="00E62D93" w:rsidP="00E62D93">
      <w:pPr>
        <w:rPr>
          <w:rFonts w:ascii="Arial" w:hAnsi="Arial" w:cs="Arial"/>
          <w:b/>
          <w:bCs/>
          <w:lang w:val="id-ID"/>
        </w:rPr>
      </w:pPr>
      <w:r w:rsidRPr="00904D6D">
        <w:rPr>
          <w:rFonts w:ascii="Arial" w:hAnsi="Arial" w:cs="Arial"/>
          <w:b/>
          <w:bCs/>
          <w:lang w:val="id-ID"/>
        </w:rPr>
        <w:t xml:space="preserve">3.2. </w:t>
      </w:r>
      <w:r>
        <w:rPr>
          <w:rFonts w:ascii="Arial" w:hAnsi="Arial" w:cs="Arial"/>
          <w:b/>
          <w:bCs/>
          <w:lang w:val="id-ID"/>
        </w:rPr>
        <w:t>Sub Bab 2</w:t>
      </w:r>
    </w:p>
    <w:p w14:paraId="46C487EA" w14:textId="77777777" w:rsidR="00E62D93" w:rsidRDefault="00E62D93" w:rsidP="00E62D93">
      <w:pPr>
        <w:ind w:firstLine="720"/>
        <w:jc w:val="both"/>
        <w:rPr>
          <w:rFonts w:ascii="Arial" w:hAnsi="Arial" w:cs="Arial"/>
          <w:bCs/>
          <w:lang w:val="id-ID"/>
        </w:rPr>
      </w:pPr>
      <w:r w:rsidRPr="00904D6D">
        <w:rPr>
          <w:rFonts w:ascii="Arial" w:hAnsi="Arial" w:cs="Arial"/>
          <w:b/>
          <w:bCs/>
          <w:lang w:val="id-ID"/>
        </w:rPr>
        <w:t xml:space="preserve"> </w:t>
      </w:r>
      <w:r>
        <w:rPr>
          <w:rFonts w:ascii="Arial" w:hAnsi="Arial" w:cs="Arial"/>
          <w:bCs/>
          <w:lang w:val="id-ID"/>
        </w:rPr>
        <w:t>yy</w:t>
      </w:r>
    </w:p>
    <w:p w14:paraId="7C9F03C8" w14:textId="77777777" w:rsidR="00E62D93" w:rsidRPr="000F279B" w:rsidRDefault="00E62D93" w:rsidP="00E62D93">
      <w:pPr>
        <w:ind w:firstLine="720"/>
        <w:jc w:val="both"/>
        <w:rPr>
          <w:rFonts w:ascii="Arial" w:hAnsi="Arial" w:cs="Arial"/>
          <w:bCs/>
          <w:lang w:val="id-ID"/>
        </w:rPr>
      </w:pPr>
    </w:p>
    <w:p w14:paraId="7B60FF72" w14:textId="77777777" w:rsidR="00E62D93" w:rsidRPr="00904D6D" w:rsidRDefault="00E62D93" w:rsidP="00E62D93">
      <w:pPr>
        <w:rPr>
          <w:rFonts w:ascii="Arial" w:hAnsi="Arial" w:cs="Arial"/>
          <w:b/>
          <w:bCs/>
          <w:lang w:val="id-ID"/>
        </w:rPr>
      </w:pPr>
    </w:p>
    <w:p w14:paraId="5334B8EA" w14:textId="77777777" w:rsidR="00E62D93" w:rsidRPr="00904D6D" w:rsidRDefault="00E62D93" w:rsidP="00E62D93">
      <w:pPr>
        <w:rPr>
          <w:rFonts w:ascii="Arial" w:hAnsi="Arial" w:cs="Arial"/>
          <w:b/>
          <w:bCs/>
          <w:lang w:val="id-ID"/>
        </w:rPr>
      </w:pPr>
      <w:r w:rsidRPr="00904D6D">
        <w:rPr>
          <w:rFonts w:ascii="Arial" w:hAnsi="Arial" w:cs="Arial"/>
          <w:b/>
          <w:bCs/>
          <w:lang w:val="id-ID"/>
        </w:rPr>
        <w:t xml:space="preserve">4. </w:t>
      </w:r>
      <w:r>
        <w:rPr>
          <w:rFonts w:ascii="Arial" w:hAnsi="Arial" w:cs="Arial"/>
          <w:b/>
          <w:bCs/>
          <w:lang w:val="id-ID"/>
        </w:rPr>
        <w:t>Conclusion</w:t>
      </w:r>
    </w:p>
    <w:p w14:paraId="28A6D6A1" w14:textId="77777777" w:rsidR="00E62D93" w:rsidRPr="007027BB" w:rsidRDefault="00E62D93" w:rsidP="00E62D93">
      <w:pPr>
        <w:ind w:firstLine="720"/>
        <w:jc w:val="both"/>
        <w:rPr>
          <w:rFonts w:ascii="Arial" w:hAnsi="Arial" w:cs="Arial"/>
          <w:lang w:val="id-ID"/>
        </w:rPr>
      </w:pPr>
      <w:r w:rsidRPr="007027BB">
        <w:rPr>
          <w:rFonts w:ascii="Arial" w:hAnsi="Arial" w:cs="Arial"/>
          <w:lang w:val="id-ID"/>
        </w:rPr>
        <w:t>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14:paraId="2384AE5D" w14:textId="77777777" w:rsidR="00E62D93" w:rsidRDefault="00E62D93" w:rsidP="00E62D93">
      <w:pPr>
        <w:rPr>
          <w:rFonts w:ascii="Arial" w:hAnsi="Arial" w:cs="Arial"/>
          <w:b/>
          <w:bCs/>
          <w:lang w:val="id-ID"/>
        </w:rPr>
      </w:pPr>
    </w:p>
    <w:sdt>
      <w:sdtPr>
        <w:id w:val="1739823351"/>
        <w:docPartObj>
          <w:docPartGallery w:val="Bibliographies"/>
          <w:docPartUnique/>
        </w:docPartObj>
      </w:sdtPr>
      <w:sdtEndPr/>
      <w:sdtContent>
        <w:sdt>
          <w:sdtPr>
            <w:id w:val="-573587230"/>
            <w:bibliography/>
          </w:sdtPr>
          <w:sdtEndPr/>
          <w:sdtContent>
            <w:p w14:paraId="0B279CD2" w14:textId="7F85364A" w:rsidR="00B17587" w:rsidRPr="00B17587" w:rsidRDefault="00B17587" w:rsidP="00B17587">
              <w:pPr>
                <w:rPr>
                  <w:rFonts w:ascii="Arial" w:hAnsi="Arial" w:cs="Arial"/>
                  <w:noProof/>
                </w:rPr>
              </w:pPr>
              <w:r w:rsidRPr="00B17587">
                <w:rPr>
                  <w:rFonts w:ascii="Arial" w:hAnsi="Arial" w:cs="Arial"/>
                  <w:b/>
                  <w:bCs/>
                </w:rPr>
                <w:t>References</w:t>
              </w:r>
              <w:r w:rsidRPr="00B17587">
                <w:rPr>
                  <w:rFonts w:ascii="Arial" w:hAnsi="Arial" w:cs="Arial"/>
                </w:rPr>
                <w:fldChar w:fldCharType="begin"/>
              </w:r>
              <w:r w:rsidRPr="00B17587">
                <w:rPr>
                  <w:rFonts w:ascii="Arial" w:hAnsi="Arial" w:cs="Arial"/>
                </w:rPr>
                <w:instrText xml:space="preserve"> BIBLIOGRAPHY </w:instrText>
              </w:r>
              <w:r w:rsidRPr="00B17587">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301"/>
              </w:tblGrid>
              <w:tr w:rsidR="00B17587" w:rsidRPr="00B17587" w14:paraId="2812C54A" w14:textId="77777777">
                <w:trPr>
                  <w:divId w:val="2031491471"/>
                  <w:tblCellSpacing w:w="15" w:type="dxa"/>
                </w:trPr>
                <w:tc>
                  <w:tcPr>
                    <w:tcW w:w="50" w:type="pct"/>
                    <w:hideMark/>
                  </w:tcPr>
                  <w:p w14:paraId="142DF49D" w14:textId="33742E79" w:rsidR="00B17587" w:rsidRPr="00B17587" w:rsidRDefault="00B17587">
                    <w:pPr>
                      <w:pStyle w:val="Bibliography"/>
                      <w:rPr>
                        <w:rFonts w:ascii="Arial" w:hAnsi="Arial" w:cs="Arial"/>
                        <w:noProof/>
                        <w:sz w:val="24"/>
                        <w:szCs w:val="24"/>
                      </w:rPr>
                    </w:pPr>
                    <w:r w:rsidRPr="00B17587">
                      <w:rPr>
                        <w:rFonts w:ascii="Arial" w:hAnsi="Arial" w:cs="Arial"/>
                        <w:noProof/>
                      </w:rPr>
                      <w:t xml:space="preserve">[1] </w:t>
                    </w:r>
                  </w:p>
                </w:tc>
                <w:tc>
                  <w:tcPr>
                    <w:tcW w:w="0" w:type="auto"/>
                    <w:hideMark/>
                  </w:tcPr>
                  <w:p w14:paraId="420DD78B" w14:textId="77777777" w:rsidR="00B17587" w:rsidRPr="00B17587" w:rsidRDefault="00B17587">
                    <w:pPr>
                      <w:pStyle w:val="Bibliography"/>
                      <w:rPr>
                        <w:rFonts w:ascii="Arial" w:hAnsi="Arial" w:cs="Arial"/>
                        <w:noProof/>
                      </w:rPr>
                    </w:pPr>
                    <w:r w:rsidRPr="00B17587">
                      <w:rPr>
                        <w:rFonts w:ascii="Arial" w:hAnsi="Arial" w:cs="Arial"/>
                        <w:noProof/>
                      </w:rPr>
                      <w:t xml:space="preserve">M. S. Islam and E. Hossain, "Foreign exchange currency rate prediction using a GRU-LSTM hybrid network," </w:t>
                    </w:r>
                    <w:r w:rsidRPr="00B17587">
                      <w:rPr>
                        <w:rFonts w:ascii="Arial" w:hAnsi="Arial" w:cs="Arial"/>
                        <w:i/>
                        <w:iCs/>
                        <w:noProof/>
                      </w:rPr>
                      <w:t xml:space="preserve">ELSEVIER, </w:t>
                    </w:r>
                    <w:r w:rsidRPr="00B17587">
                      <w:rPr>
                        <w:rFonts w:ascii="Arial" w:hAnsi="Arial" w:cs="Arial"/>
                        <w:noProof/>
                      </w:rPr>
                      <w:t xml:space="preserve">no. 3, 2021. </w:t>
                    </w:r>
                  </w:p>
                </w:tc>
              </w:tr>
              <w:tr w:rsidR="00B17587" w:rsidRPr="00B17587" w14:paraId="139F6F69" w14:textId="77777777">
                <w:trPr>
                  <w:divId w:val="2031491471"/>
                  <w:tblCellSpacing w:w="15" w:type="dxa"/>
                </w:trPr>
                <w:tc>
                  <w:tcPr>
                    <w:tcW w:w="50" w:type="pct"/>
                    <w:hideMark/>
                  </w:tcPr>
                  <w:p w14:paraId="732780E5" w14:textId="77777777" w:rsidR="00B17587" w:rsidRPr="00B17587" w:rsidRDefault="00B17587">
                    <w:pPr>
                      <w:pStyle w:val="Bibliography"/>
                      <w:rPr>
                        <w:rFonts w:ascii="Arial" w:hAnsi="Arial" w:cs="Arial"/>
                        <w:noProof/>
                      </w:rPr>
                    </w:pPr>
                    <w:r w:rsidRPr="00B17587">
                      <w:rPr>
                        <w:rFonts w:ascii="Arial" w:hAnsi="Arial" w:cs="Arial"/>
                        <w:noProof/>
                      </w:rPr>
                      <w:t xml:space="preserve">[2] </w:t>
                    </w:r>
                  </w:p>
                </w:tc>
                <w:tc>
                  <w:tcPr>
                    <w:tcW w:w="0" w:type="auto"/>
                    <w:hideMark/>
                  </w:tcPr>
                  <w:p w14:paraId="4D88C94D" w14:textId="77777777" w:rsidR="00B17587" w:rsidRPr="00B17587" w:rsidRDefault="00B17587">
                    <w:pPr>
                      <w:pStyle w:val="Bibliography"/>
                      <w:rPr>
                        <w:rFonts w:ascii="Arial" w:hAnsi="Arial" w:cs="Arial"/>
                        <w:noProof/>
                      </w:rPr>
                    </w:pPr>
                    <w:r w:rsidRPr="00B17587">
                      <w:rPr>
                        <w:rFonts w:ascii="Arial" w:hAnsi="Arial" w:cs="Arial"/>
                        <w:noProof/>
                      </w:rPr>
                      <w:t xml:space="preserve">A. Kartikadewi, L. A. A. Rosyid and A. E. Putri, "Prediction of Foreign Currency Exchange (IDR and USD) Using Multiple Linear Regression," </w:t>
                    </w:r>
                    <w:r w:rsidRPr="00B17587">
                      <w:rPr>
                        <w:rFonts w:ascii="Arial" w:hAnsi="Arial" w:cs="Arial"/>
                        <w:i/>
                        <w:iCs/>
                        <w:noProof/>
                      </w:rPr>
                      <w:t xml:space="preserve">International Journal of Engineering and Techniques, </w:t>
                    </w:r>
                    <w:r w:rsidRPr="00B17587">
                      <w:rPr>
                        <w:rFonts w:ascii="Arial" w:hAnsi="Arial" w:cs="Arial"/>
                        <w:noProof/>
                      </w:rPr>
                      <w:t xml:space="preserve">vol. VI, no. 2, 2020. </w:t>
                    </w:r>
                  </w:p>
                </w:tc>
              </w:tr>
              <w:tr w:rsidR="00B17587" w:rsidRPr="00B17587" w14:paraId="07D85983" w14:textId="77777777">
                <w:trPr>
                  <w:divId w:val="2031491471"/>
                  <w:tblCellSpacing w:w="15" w:type="dxa"/>
                </w:trPr>
                <w:tc>
                  <w:tcPr>
                    <w:tcW w:w="50" w:type="pct"/>
                    <w:hideMark/>
                  </w:tcPr>
                  <w:p w14:paraId="6681B9DA" w14:textId="77777777" w:rsidR="00B17587" w:rsidRPr="00B17587" w:rsidRDefault="00B17587">
                    <w:pPr>
                      <w:pStyle w:val="Bibliography"/>
                      <w:rPr>
                        <w:rFonts w:ascii="Arial" w:hAnsi="Arial" w:cs="Arial"/>
                        <w:noProof/>
                      </w:rPr>
                    </w:pPr>
                    <w:r w:rsidRPr="00B17587">
                      <w:rPr>
                        <w:rFonts w:ascii="Arial" w:hAnsi="Arial" w:cs="Arial"/>
                        <w:noProof/>
                      </w:rPr>
                      <w:t xml:space="preserve">[3] </w:t>
                    </w:r>
                  </w:p>
                </w:tc>
                <w:tc>
                  <w:tcPr>
                    <w:tcW w:w="0" w:type="auto"/>
                    <w:hideMark/>
                  </w:tcPr>
                  <w:p w14:paraId="19C3CE91" w14:textId="77777777" w:rsidR="00B17587" w:rsidRPr="00B17587" w:rsidRDefault="00B17587">
                    <w:pPr>
                      <w:pStyle w:val="Bibliography"/>
                      <w:rPr>
                        <w:rFonts w:ascii="Arial" w:hAnsi="Arial" w:cs="Arial"/>
                        <w:noProof/>
                      </w:rPr>
                    </w:pPr>
                    <w:r w:rsidRPr="00B17587">
                      <w:rPr>
                        <w:rFonts w:ascii="Arial" w:hAnsi="Arial" w:cs="Arial"/>
                        <w:noProof/>
                      </w:rPr>
                      <w:t xml:space="preserve">N. Lina, L. Yujie, W. Xiao, Z. Jinquan, Y. Jiguo and Q. Chengming, "Forecasting of Forex Time Series Data Based on Deep Learning," </w:t>
                    </w:r>
                    <w:r w:rsidRPr="00B17587">
                      <w:rPr>
                        <w:rFonts w:ascii="Arial" w:hAnsi="Arial" w:cs="Arial"/>
                        <w:i/>
                        <w:iCs/>
                        <w:noProof/>
                      </w:rPr>
                      <w:t xml:space="preserve">ELSEVIER, </w:t>
                    </w:r>
                    <w:r w:rsidRPr="00B17587">
                      <w:rPr>
                        <w:rFonts w:ascii="Arial" w:hAnsi="Arial" w:cs="Arial"/>
                        <w:noProof/>
                      </w:rPr>
                      <w:t xml:space="preserve">no. 147, pp. 647-652, 2019. </w:t>
                    </w:r>
                  </w:p>
                </w:tc>
              </w:tr>
              <w:tr w:rsidR="00B17587" w:rsidRPr="00B17587" w14:paraId="1EBF5227" w14:textId="77777777">
                <w:trPr>
                  <w:divId w:val="2031491471"/>
                  <w:tblCellSpacing w:w="15" w:type="dxa"/>
                </w:trPr>
                <w:tc>
                  <w:tcPr>
                    <w:tcW w:w="50" w:type="pct"/>
                    <w:hideMark/>
                  </w:tcPr>
                  <w:p w14:paraId="11EE98FC" w14:textId="77777777" w:rsidR="00B17587" w:rsidRPr="00B17587" w:rsidRDefault="00B17587">
                    <w:pPr>
                      <w:pStyle w:val="Bibliography"/>
                      <w:rPr>
                        <w:rFonts w:ascii="Arial" w:hAnsi="Arial" w:cs="Arial"/>
                        <w:noProof/>
                      </w:rPr>
                    </w:pPr>
                    <w:r w:rsidRPr="00B17587">
                      <w:rPr>
                        <w:rFonts w:ascii="Arial" w:hAnsi="Arial" w:cs="Arial"/>
                        <w:noProof/>
                      </w:rPr>
                      <w:t xml:space="preserve">[4] </w:t>
                    </w:r>
                  </w:p>
                </w:tc>
                <w:tc>
                  <w:tcPr>
                    <w:tcW w:w="0" w:type="auto"/>
                    <w:hideMark/>
                  </w:tcPr>
                  <w:p w14:paraId="096FBD56" w14:textId="77777777" w:rsidR="00B17587" w:rsidRPr="00B17587" w:rsidRDefault="00B17587">
                    <w:pPr>
                      <w:pStyle w:val="Bibliography"/>
                      <w:rPr>
                        <w:rFonts w:ascii="Arial" w:hAnsi="Arial" w:cs="Arial"/>
                        <w:noProof/>
                      </w:rPr>
                    </w:pPr>
                    <w:r w:rsidRPr="00B17587">
                      <w:rPr>
                        <w:rFonts w:ascii="Arial" w:hAnsi="Arial" w:cs="Arial"/>
                        <w:noProof/>
                      </w:rPr>
                      <w:t xml:space="preserve">M. Yasir, M. Y. Durrani, S. Afzal, M. Maqsood, F. Aadil, I. Mehmood and S. Rho, "An Intelligent Event-Sentiment-Based Daily Foreign Exchange Rate Forecasting System," </w:t>
                    </w:r>
                    <w:r w:rsidRPr="00B17587">
                      <w:rPr>
                        <w:rFonts w:ascii="Arial" w:hAnsi="Arial" w:cs="Arial"/>
                        <w:i/>
                        <w:iCs/>
                        <w:noProof/>
                      </w:rPr>
                      <w:t xml:space="preserve">Applied Science, </w:t>
                    </w:r>
                    <w:r w:rsidRPr="00B17587">
                      <w:rPr>
                        <w:rFonts w:ascii="Arial" w:hAnsi="Arial" w:cs="Arial"/>
                        <w:noProof/>
                      </w:rPr>
                      <w:t xml:space="preserve">vol. IX, no. 15, p. 2980, 2019. </w:t>
                    </w:r>
                  </w:p>
                </w:tc>
              </w:tr>
              <w:tr w:rsidR="00B17587" w:rsidRPr="00B17587" w14:paraId="29AE4C13" w14:textId="77777777">
                <w:trPr>
                  <w:divId w:val="2031491471"/>
                  <w:tblCellSpacing w:w="15" w:type="dxa"/>
                </w:trPr>
                <w:tc>
                  <w:tcPr>
                    <w:tcW w:w="50" w:type="pct"/>
                    <w:hideMark/>
                  </w:tcPr>
                  <w:p w14:paraId="2CBF67B4" w14:textId="77777777" w:rsidR="00B17587" w:rsidRPr="00B17587" w:rsidRDefault="00B17587">
                    <w:pPr>
                      <w:pStyle w:val="Bibliography"/>
                      <w:rPr>
                        <w:rFonts w:ascii="Arial" w:hAnsi="Arial" w:cs="Arial"/>
                        <w:noProof/>
                      </w:rPr>
                    </w:pPr>
                    <w:r w:rsidRPr="00B17587">
                      <w:rPr>
                        <w:rFonts w:ascii="Arial" w:hAnsi="Arial" w:cs="Arial"/>
                        <w:noProof/>
                      </w:rPr>
                      <w:t xml:space="preserve">[5] </w:t>
                    </w:r>
                  </w:p>
                </w:tc>
                <w:tc>
                  <w:tcPr>
                    <w:tcW w:w="0" w:type="auto"/>
                    <w:hideMark/>
                  </w:tcPr>
                  <w:p w14:paraId="45FA2D72" w14:textId="77777777" w:rsidR="00B17587" w:rsidRPr="00B17587" w:rsidRDefault="00B17587">
                    <w:pPr>
                      <w:pStyle w:val="Bibliography"/>
                      <w:rPr>
                        <w:rFonts w:ascii="Arial" w:hAnsi="Arial" w:cs="Arial"/>
                        <w:noProof/>
                      </w:rPr>
                    </w:pPr>
                    <w:r w:rsidRPr="00B17587">
                      <w:rPr>
                        <w:rFonts w:ascii="Arial" w:hAnsi="Arial" w:cs="Arial"/>
                        <w:noProof/>
                      </w:rPr>
                      <w:t xml:space="preserve">Z. Hu, Y. Zhao and M. Khushi, "A Survey of Forex and Stock Price Prediction Using Deep Learning," </w:t>
                    </w:r>
                    <w:r w:rsidRPr="00B17587">
                      <w:rPr>
                        <w:rFonts w:ascii="Arial" w:hAnsi="Arial" w:cs="Arial"/>
                        <w:i/>
                        <w:iCs/>
                        <w:noProof/>
                      </w:rPr>
                      <w:t xml:space="preserve">Appl. Syst. Innov., </w:t>
                    </w:r>
                    <w:r w:rsidRPr="00B17587">
                      <w:rPr>
                        <w:rFonts w:ascii="Arial" w:hAnsi="Arial" w:cs="Arial"/>
                        <w:noProof/>
                      </w:rPr>
                      <w:t xml:space="preserve">vol. IV, no. 9, 2021. </w:t>
                    </w:r>
                  </w:p>
                </w:tc>
              </w:tr>
              <w:tr w:rsidR="00B17587" w:rsidRPr="00B17587" w14:paraId="10CE6737" w14:textId="77777777">
                <w:trPr>
                  <w:divId w:val="2031491471"/>
                  <w:tblCellSpacing w:w="15" w:type="dxa"/>
                </w:trPr>
                <w:tc>
                  <w:tcPr>
                    <w:tcW w:w="50" w:type="pct"/>
                    <w:hideMark/>
                  </w:tcPr>
                  <w:p w14:paraId="1EA950B1" w14:textId="77777777" w:rsidR="00B17587" w:rsidRPr="00B17587" w:rsidRDefault="00B17587">
                    <w:pPr>
                      <w:pStyle w:val="Bibliography"/>
                      <w:rPr>
                        <w:rFonts w:ascii="Arial" w:hAnsi="Arial" w:cs="Arial"/>
                        <w:noProof/>
                      </w:rPr>
                    </w:pPr>
                    <w:r w:rsidRPr="00B17587">
                      <w:rPr>
                        <w:rFonts w:ascii="Arial" w:hAnsi="Arial" w:cs="Arial"/>
                        <w:noProof/>
                      </w:rPr>
                      <w:lastRenderedPageBreak/>
                      <w:t xml:space="preserve">[6] </w:t>
                    </w:r>
                  </w:p>
                </w:tc>
                <w:tc>
                  <w:tcPr>
                    <w:tcW w:w="0" w:type="auto"/>
                    <w:hideMark/>
                  </w:tcPr>
                  <w:p w14:paraId="60895D55" w14:textId="77777777" w:rsidR="00B17587" w:rsidRPr="00B17587" w:rsidRDefault="00B17587">
                    <w:pPr>
                      <w:pStyle w:val="Bibliography"/>
                      <w:rPr>
                        <w:rFonts w:ascii="Arial" w:hAnsi="Arial" w:cs="Arial"/>
                        <w:noProof/>
                      </w:rPr>
                    </w:pPr>
                    <w:r w:rsidRPr="00B17587">
                      <w:rPr>
                        <w:rFonts w:ascii="Arial" w:hAnsi="Arial" w:cs="Arial"/>
                        <w:noProof/>
                      </w:rPr>
                      <w:t xml:space="preserve">Q. Yaxin and Z. Xue, "Application of LSTM Neural Network in Forecasting Foreign Exchange Price," </w:t>
                    </w:r>
                    <w:r w:rsidRPr="00B17587">
                      <w:rPr>
                        <w:rFonts w:ascii="Arial" w:hAnsi="Arial" w:cs="Arial"/>
                        <w:i/>
                        <w:iCs/>
                        <w:noProof/>
                      </w:rPr>
                      <w:t xml:space="preserve">Journal of Physics: Conference Series, </w:t>
                    </w:r>
                    <w:r w:rsidRPr="00B17587">
                      <w:rPr>
                        <w:rFonts w:ascii="Arial" w:hAnsi="Arial" w:cs="Arial"/>
                        <w:noProof/>
                      </w:rPr>
                      <w:t xml:space="preserve">vol. 1237, no. 4, 2019. </w:t>
                    </w:r>
                  </w:p>
                </w:tc>
              </w:tr>
            </w:tbl>
            <w:p w14:paraId="595A5A95" w14:textId="77777777" w:rsidR="00B17587" w:rsidRPr="00B17587" w:rsidRDefault="00B17587">
              <w:pPr>
                <w:divId w:val="2031491471"/>
                <w:rPr>
                  <w:rFonts w:ascii="Arial" w:hAnsi="Arial" w:cs="Arial"/>
                  <w:noProof/>
                </w:rPr>
              </w:pPr>
            </w:p>
            <w:p w14:paraId="45C87633" w14:textId="7EF7D548" w:rsidR="00777B6C" w:rsidRPr="003B66BF" w:rsidRDefault="00B17587" w:rsidP="00161FB1">
              <w:pPr>
                <w:rPr>
                  <w:rFonts w:ascii="Arial" w:hAnsi="Arial" w:cs="Arial"/>
                  <w:color w:val="000000"/>
                </w:rPr>
              </w:pPr>
              <w:r w:rsidRPr="00B17587">
                <w:rPr>
                  <w:rFonts w:ascii="Arial" w:hAnsi="Arial" w:cs="Arial"/>
                  <w:b/>
                  <w:bCs/>
                  <w:noProof/>
                </w:rPr>
                <w:fldChar w:fldCharType="end"/>
              </w:r>
            </w:p>
          </w:sdtContent>
        </w:sdt>
      </w:sdtContent>
    </w:sdt>
    <w:sectPr w:rsidR="00777B6C" w:rsidRPr="003B66BF" w:rsidSect="00A14737">
      <w:headerReference w:type="even" r:id="rId11"/>
      <w:headerReference w:type="default" r:id="rId12"/>
      <w:headerReference w:type="first" r:id="rId13"/>
      <w:pgSz w:w="11907" w:h="16840" w:code="9"/>
      <w:pgMar w:top="1699" w:right="1699" w:bottom="1699" w:left="1699" w:header="1138" w:footer="1138" w:gutter="0"/>
      <w:pgNumType w:start="28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6AB46" w14:textId="77777777" w:rsidR="001F0E1F" w:rsidRDefault="001F0E1F">
      <w:r>
        <w:separator/>
      </w:r>
    </w:p>
  </w:endnote>
  <w:endnote w:type="continuationSeparator" w:id="0">
    <w:p w14:paraId="42E106AF" w14:textId="77777777" w:rsidR="001F0E1F" w:rsidRDefault="001F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Narrow">
    <w:altName w:val="Arial Narrow"/>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DE35E" w14:textId="77777777" w:rsidR="001F0E1F" w:rsidRDefault="001F0E1F">
      <w:r>
        <w:separator/>
      </w:r>
    </w:p>
  </w:footnote>
  <w:footnote w:type="continuationSeparator" w:id="0">
    <w:p w14:paraId="58FB8FB8" w14:textId="77777777" w:rsidR="001F0E1F" w:rsidRDefault="001F0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E72F5" w14:textId="77777777" w:rsidR="00097958" w:rsidRPr="008B04B3" w:rsidRDefault="00097958" w:rsidP="008B04B3">
    <w:pPr>
      <w:pStyle w:val="Header"/>
      <w:framePr w:wrap="around" w:vAnchor="text" w:hAnchor="margin" w:xAlign="outside" w:y="1"/>
      <w:rPr>
        <w:rStyle w:val="PageNumber"/>
        <w:rFonts w:ascii="Arial" w:hAnsi="Arial" w:cs="Arial"/>
      </w:rPr>
    </w:pPr>
  </w:p>
  <w:p w14:paraId="657CFC1D" w14:textId="77777777" w:rsidR="00097958" w:rsidRPr="008B04B3" w:rsidRDefault="008166D8" w:rsidP="0075769A">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57728" behindDoc="0" locked="0" layoutInCell="1" allowOverlap="1" wp14:anchorId="1C5BE723" wp14:editId="0CBEDEB1">
              <wp:simplePos x="0" y="0"/>
              <wp:positionH relativeFrom="column">
                <wp:posOffset>-11430</wp:posOffset>
              </wp:positionH>
              <wp:positionV relativeFrom="paragraph">
                <wp:posOffset>188595</wp:posOffset>
              </wp:positionV>
              <wp:extent cx="5462270" cy="0"/>
              <wp:effectExtent l="7620" t="7620" r="6985"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36EAB"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Kqvw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"/>
          </w:pict>
        </mc:Fallback>
      </mc:AlternateContent>
    </w:r>
    <w:r w:rsidR="007E5812">
      <w:t xml:space="preserve">       </w:t>
    </w:r>
    <w:r>
      <w:t xml:space="preserve"> </w:t>
    </w:r>
    <w:r w:rsidR="00097958">
      <w:tab/>
      <w:t xml:space="preserve"> </w:t>
    </w:r>
    <w:r w:rsidR="0009795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C009B" w14:textId="77777777" w:rsidR="00097958" w:rsidRPr="00E474DC" w:rsidRDefault="00097958"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42041" w14:textId="77777777" w:rsidR="00097958" w:rsidRPr="008B04B3" w:rsidRDefault="00EF1185" w:rsidP="0098020E">
    <w:pPr>
      <w:pStyle w:val="Header"/>
      <w:tabs>
        <w:tab w:val="clear" w:pos="4320"/>
        <w:tab w:val="clear" w:pos="8640"/>
        <w:tab w:val="right" w:pos="8505"/>
      </w:tabs>
      <w:rPr>
        <w:rStyle w:val="PageNumber"/>
        <w:rFonts w:ascii="Arial" w:hAnsi="Arial" w:cs="Arial"/>
      </w:rPr>
    </w:pPr>
    <w:r>
      <w:rPr>
        <w:rStyle w:val="PageNumber"/>
        <w:rFonts w:ascii="Arial Narrow" w:hAnsi="Arial Narrow" w:cs="Arial"/>
        <w:lang w:val="it-IT"/>
      </w:rPr>
      <w:tab/>
    </w:r>
  </w:p>
  <w:p w14:paraId="2DB633DB" w14:textId="77777777" w:rsidR="00097958" w:rsidRPr="008B04B3" w:rsidRDefault="008166D8" w:rsidP="008B04B3">
    <w:pPr>
      <w:pStyle w:val="Header"/>
      <w:tabs>
        <w:tab w:val="clear" w:pos="4320"/>
        <w:tab w:val="clear" w:pos="8640"/>
      </w:tabs>
      <w:ind w:right="45"/>
      <w:jc w:val="right"/>
      <w:rPr>
        <w:rStyle w:val="PageNumber"/>
        <w:rFonts w:ascii="Arial" w:hAnsi="Arial" w:cs="Arial"/>
      </w:rPr>
    </w:pPr>
    <w:r>
      <w:rPr>
        <w:rFonts w:ascii="Arial" w:hAnsi="Arial" w:cs="Arial"/>
        <w:noProof/>
      </w:rPr>
      <mc:AlternateContent>
        <mc:Choice Requires="wps">
          <w:drawing>
            <wp:anchor distT="0" distB="0" distL="114300" distR="114300" simplePos="0" relativeHeight="251656704" behindDoc="0" locked="0" layoutInCell="1" allowOverlap="1" wp14:anchorId="1171EFE4" wp14:editId="5B0CAB2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7F0D2"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8B04B3">
      <w:rPr>
        <w:rStyle w:val="PageNumbe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B0664C"/>
    <w:multiLevelType w:val="hybridMultilevel"/>
    <w:tmpl w:val="7458E6C2"/>
    <w:lvl w:ilvl="0" w:tplc="1FF2DA16">
      <w:start w:val="1"/>
      <w:numFmt w:val="decimal"/>
      <w:lvlText w:val="%1."/>
      <w:lvlJc w:val="left"/>
      <w:pPr>
        <w:ind w:left="1440" w:hanging="360"/>
      </w:pPr>
      <w:rPr>
        <w:sz w:val="20"/>
        <w:szCs w:val="2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6"/>
  </w:num>
  <w:num w:numId="2">
    <w:abstractNumId w:val="12"/>
  </w:num>
  <w:num w:numId="3">
    <w:abstractNumId w:val="18"/>
  </w:num>
  <w:num w:numId="4">
    <w:abstractNumId w:val="10"/>
  </w:num>
  <w:num w:numId="5">
    <w:abstractNumId w:val="14"/>
  </w:num>
  <w:num w:numId="6">
    <w:abstractNumId w:val="17"/>
  </w:num>
  <w:num w:numId="7">
    <w:abstractNumId w:val="15"/>
  </w:num>
  <w:num w:numId="8">
    <w:abstractNumId w:val="13"/>
  </w:num>
  <w:num w:numId="9">
    <w:abstractNumId w:val="8"/>
  </w:num>
  <w:num w:numId="10">
    <w:abstractNumId w:val="4"/>
  </w:num>
  <w:num w:numId="11">
    <w:abstractNumId w:val="3"/>
  </w:num>
  <w:num w:numId="12">
    <w:abstractNumId w:val="6"/>
  </w:num>
  <w:num w:numId="13">
    <w:abstractNumId w:val="5"/>
  </w:num>
  <w:num w:numId="14">
    <w:abstractNumId w:val="7"/>
  </w:num>
  <w:num w:numId="15">
    <w:abstractNumId w:val="1"/>
  </w:num>
  <w:num w:numId="16">
    <w:abstractNumId w:val="9"/>
  </w:num>
  <w:num w:numId="17">
    <w:abstractNumId w:val="11"/>
  </w:num>
  <w:num w:numId="18">
    <w:abstractNumId w:val="0"/>
  </w:num>
  <w:num w:numId="1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AC6"/>
    <w:rsid w:val="000013CF"/>
    <w:rsid w:val="00002882"/>
    <w:rsid w:val="0000385F"/>
    <w:rsid w:val="00004D50"/>
    <w:rsid w:val="00005EFC"/>
    <w:rsid w:val="00007744"/>
    <w:rsid w:val="000106D0"/>
    <w:rsid w:val="00012CEF"/>
    <w:rsid w:val="00014633"/>
    <w:rsid w:val="00015F2A"/>
    <w:rsid w:val="000171C2"/>
    <w:rsid w:val="00017858"/>
    <w:rsid w:val="00020568"/>
    <w:rsid w:val="00020EAD"/>
    <w:rsid w:val="00027142"/>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5708"/>
    <w:rsid w:val="00076C16"/>
    <w:rsid w:val="000776D4"/>
    <w:rsid w:val="000804C5"/>
    <w:rsid w:val="00080989"/>
    <w:rsid w:val="00080CCD"/>
    <w:rsid w:val="000830A2"/>
    <w:rsid w:val="00083B9D"/>
    <w:rsid w:val="00083DD6"/>
    <w:rsid w:val="00083E92"/>
    <w:rsid w:val="00085121"/>
    <w:rsid w:val="00086551"/>
    <w:rsid w:val="00086DEF"/>
    <w:rsid w:val="000877AC"/>
    <w:rsid w:val="00087876"/>
    <w:rsid w:val="00087AF7"/>
    <w:rsid w:val="00090B78"/>
    <w:rsid w:val="00093380"/>
    <w:rsid w:val="00093A06"/>
    <w:rsid w:val="00094EB8"/>
    <w:rsid w:val="00095C3E"/>
    <w:rsid w:val="00096883"/>
    <w:rsid w:val="000973CC"/>
    <w:rsid w:val="00097958"/>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340"/>
    <w:rsid w:val="0013179E"/>
    <w:rsid w:val="00131A6C"/>
    <w:rsid w:val="00131E4C"/>
    <w:rsid w:val="00133B59"/>
    <w:rsid w:val="00136716"/>
    <w:rsid w:val="00137465"/>
    <w:rsid w:val="00137E25"/>
    <w:rsid w:val="00137F36"/>
    <w:rsid w:val="001434C3"/>
    <w:rsid w:val="001441CB"/>
    <w:rsid w:val="0014540C"/>
    <w:rsid w:val="00145453"/>
    <w:rsid w:val="0014611F"/>
    <w:rsid w:val="00146861"/>
    <w:rsid w:val="001517E4"/>
    <w:rsid w:val="00151E7C"/>
    <w:rsid w:val="00153387"/>
    <w:rsid w:val="00154C55"/>
    <w:rsid w:val="00157C06"/>
    <w:rsid w:val="00161845"/>
    <w:rsid w:val="00161FB1"/>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2DE5"/>
    <w:rsid w:val="001A33EF"/>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7AC5"/>
    <w:rsid w:val="001D04CA"/>
    <w:rsid w:val="001D19C3"/>
    <w:rsid w:val="001D218B"/>
    <w:rsid w:val="001E01B5"/>
    <w:rsid w:val="001E1922"/>
    <w:rsid w:val="001E2071"/>
    <w:rsid w:val="001E55E5"/>
    <w:rsid w:val="001E5CFB"/>
    <w:rsid w:val="001E608B"/>
    <w:rsid w:val="001E69C1"/>
    <w:rsid w:val="001E7CCF"/>
    <w:rsid w:val="001E7DCD"/>
    <w:rsid w:val="001E7FFA"/>
    <w:rsid w:val="001F0AFC"/>
    <w:rsid w:val="001F0E1F"/>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786E"/>
    <w:rsid w:val="00237B26"/>
    <w:rsid w:val="00240303"/>
    <w:rsid w:val="00240726"/>
    <w:rsid w:val="0024180A"/>
    <w:rsid w:val="0024268D"/>
    <w:rsid w:val="00250442"/>
    <w:rsid w:val="00250A66"/>
    <w:rsid w:val="00253C17"/>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2AC6"/>
    <w:rsid w:val="002743A4"/>
    <w:rsid w:val="00274BCC"/>
    <w:rsid w:val="00275406"/>
    <w:rsid w:val="002769E7"/>
    <w:rsid w:val="00281882"/>
    <w:rsid w:val="00281D99"/>
    <w:rsid w:val="002821B9"/>
    <w:rsid w:val="00283D12"/>
    <w:rsid w:val="0028450D"/>
    <w:rsid w:val="0028739F"/>
    <w:rsid w:val="00291EBF"/>
    <w:rsid w:val="00293F22"/>
    <w:rsid w:val="00296D8E"/>
    <w:rsid w:val="002A0772"/>
    <w:rsid w:val="002B0601"/>
    <w:rsid w:val="002B10C7"/>
    <w:rsid w:val="002B1C62"/>
    <w:rsid w:val="002B4A23"/>
    <w:rsid w:val="002B513C"/>
    <w:rsid w:val="002B6EC9"/>
    <w:rsid w:val="002B7609"/>
    <w:rsid w:val="002C0665"/>
    <w:rsid w:val="002C2C92"/>
    <w:rsid w:val="002C4749"/>
    <w:rsid w:val="002C6317"/>
    <w:rsid w:val="002C67FF"/>
    <w:rsid w:val="002D07B9"/>
    <w:rsid w:val="002D0C71"/>
    <w:rsid w:val="002D0F04"/>
    <w:rsid w:val="002D1161"/>
    <w:rsid w:val="002D31A6"/>
    <w:rsid w:val="002D4A56"/>
    <w:rsid w:val="002D797A"/>
    <w:rsid w:val="002E0230"/>
    <w:rsid w:val="002E0BC4"/>
    <w:rsid w:val="002E2CAE"/>
    <w:rsid w:val="002E6409"/>
    <w:rsid w:val="002F0316"/>
    <w:rsid w:val="002F137A"/>
    <w:rsid w:val="002F267D"/>
    <w:rsid w:val="002F41A4"/>
    <w:rsid w:val="002F48E3"/>
    <w:rsid w:val="002F6BBA"/>
    <w:rsid w:val="002F6DFA"/>
    <w:rsid w:val="002F7C5F"/>
    <w:rsid w:val="0030038F"/>
    <w:rsid w:val="00302D7F"/>
    <w:rsid w:val="003047DE"/>
    <w:rsid w:val="00306442"/>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0004"/>
    <w:rsid w:val="003715EC"/>
    <w:rsid w:val="00373476"/>
    <w:rsid w:val="00373753"/>
    <w:rsid w:val="0037401E"/>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4448"/>
    <w:rsid w:val="003A5088"/>
    <w:rsid w:val="003A7179"/>
    <w:rsid w:val="003A7D80"/>
    <w:rsid w:val="003B0E46"/>
    <w:rsid w:val="003B14AA"/>
    <w:rsid w:val="003B19C7"/>
    <w:rsid w:val="003B25A5"/>
    <w:rsid w:val="003B3120"/>
    <w:rsid w:val="003B3537"/>
    <w:rsid w:val="003B567E"/>
    <w:rsid w:val="003B6542"/>
    <w:rsid w:val="003B66BF"/>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F01ED"/>
    <w:rsid w:val="003F0964"/>
    <w:rsid w:val="003F18A1"/>
    <w:rsid w:val="003F1D40"/>
    <w:rsid w:val="003F1D93"/>
    <w:rsid w:val="003F2EB6"/>
    <w:rsid w:val="003F4897"/>
    <w:rsid w:val="003F6587"/>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50E4"/>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FD1"/>
    <w:rsid w:val="0048797E"/>
    <w:rsid w:val="00487DD3"/>
    <w:rsid w:val="004902C8"/>
    <w:rsid w:val="004905D4"/>
    <w:rsid w:val="00491EF8"/>
    <w:rsid w:val="004924C6"/>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6718"/>
    <w:rsid w:val="004D7295"/>
    <w:rsid w:val="004E140A"/>
    <w:rsid w:val="004E154B"/>
    <w:rsid w:val="004E1914"/>
    <w:rsid w:val="004E3613"/>
    <w:rsid w:val="004E3CAD"/>
    <w:rsid w:val="004E6C69"/>
    <w:rsid w:val="004F101E"/>
    <w:rsid w:val="004F2A11"/>
    <w:rsid w:val="004F3166"/>
    <w:rsid w:val="004F3208"/>
    <w:rsid w:val="004F54D2"/>
    <w:rsid w:val="004F6193"/>
    <w:rsid w:val="00501713"/>
    <w:rsid w:val="005058AF"/>
    <w:rsid w:val="00505F41"/>
    <w:rsid w:val="0050794C"/>
    <w:rsid w:val="00510332"/>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06B"/>
    <w:rsid w:val="005373E3"/>
    <w:rsid w:val="00540DCE"/>
    <w:rsid w:val="00540DD7"/>
    <w:rsid w:val="00541F86"/>
    <w:rsid w:val="00541FCB"/>
    <w:rsid w:val="0054283A"/>
    <w:rsid w:val="00545E9C"/>
    <w:rsid w:val="00547658"/>
    <w:rsid w:val="0054768C"/>
    <w:rsid w:val="0055649A"/>
    <w:rsid w:val="00563102"/>
    <w:rsid w:val="00567372"/>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DD6"/>
    <w:rsid w:val="005A2361"/>
    <w:rsid w:val="005A24ED"/>
    <w:rsid w:val="005A2573"/>
    <w:rsid w:val="005A4783"/>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48D2"/>
    <w:rsid w:val="005D7D3A"/>
    <w:rsid w:val="005D7EB1"/>
    <w:rsid w:val="005E31DF"/>
    <w:rsid w:val="005E5C3B"/>
    <w:rsid w:val="005E6EF7"/>
    <w:rsid w:val="005E736A"/>
    <w:rsid w:val="005E75FC"/>
    <w:rsid w:val="005E7DB0"/>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627D"/>
    <w:rsid w:val="006206C7"/>
    <w:rsid w:val="00622EC4"/>
    <w:rsid w:val="0062488B"/>
    <w:rsid w:val="00626E85"/>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0313"/>
    <w:rsid w:val="006719D8"/>
    <w:rsid w:val="0067364F"/>
    <w:rsid w:val="0067514D"/>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B7ACD"/>
    <w:rsid w:val="006C0241"/>
    <w:rsid w:val="006C0661"/>
    <w:rsid w:val="006C0E3B"/>
    <w:rsid w:val="006C18AF"/>
    <w:rsid w:val="006C1D12"/>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441"/>
    <w:rsid w:val="00741A8F"/>
    <w:rsid w:val="00742008"/>
    <w:rsid w:val="00743BA0"/>
    <w:rsid w:val="00744069"/>
    <w:rsid w:val="00747C04"/>
    <w:rsid w:val="00747DFD"/>
    <w:rsid w:val="007536F6"/>
    <w:rsid w:val="00754329"/>
    <w:rsid w:val="007547A1"/>
    <w:rsid w:val="00756A93"/>
    <w:rsid w:val="0075769A"/>
    <w:rsid w:val="007651D0"/>
    <w:rsid w:val="00765DEF"/>
    <w:rsid w:val="00766E46"/>
    <w:rsid w:val="00770E6E"/>
    <w:rsid w:val="00771A7C"/>
    <w:rsid w:val="0077230A"/>
    <w:rsid w:val="00772725"/>
    <w:rsid w:val="00773EB7"/>
    <w:rsid w:val="007751AA"/>
    <w:rsid w:val="007778FE"/>
    <w:rsid w:val="00777AD7"/>
    <w:rsid w:val="00777B6C"/>
    <w:rsid w:val="0079451D"/>
    <w:rsid w:val="007A04C8"/>
    <w:rsid w:val="007A3102"/>
    <w:rsid w:val="007A373C"/>
    <w:rsid w:val="007A3B30"/>
    <w:rsid w:val="007A3FC0"/>
    <w:rsid w:val="007A49BA"/>
    <w:rsid w:val="007A609F"/>
    <w:rsid w:val="007A7484"/>
    <w:rsid w:val="007B1D40"/>
    <w:rsid w:val="007B57A1"/>
    <w:rsid w:val="007B7535"/>
    <w:rsid w:val="007C0D3D"/>
    <w:rsid w:val="007C2A08"/>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F15"/>
    <w:rsid w:val="00811CD3"/>
    <w:rsid w:val="0081359D"/>
    <w:rsid w:val="008136A0"/>
    <w:rsid w:val="00813CDD"/>
    <w:rsid w:val="00814164"/>
    <w:rsid w:val="00815A2E"/>
    <w:rsid w:val="008166D8"/>
    <w:rsid w:val="008168B9"/>
    <w:rsid w:val="00820B4E"/>
    <w:rsid w:val="00820C83"/>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0693"/>
    <w:rsid w:val="008439A0"/>
    <w:rsid w:val="00843BE9"/>
    <w:rsid w:val="008508FF"/>
    <w:rsid w:val="00850CAC"/>
    <w:rsid w:val="0085238C"/>
    <w:rsid w:val="008530DA"/>
    <w:rsid w:val="008538D0"/>
    <w:rsid w:val="00853BF4"/>
    <w:rsid w:val="00854ED5"/>
    <w:rsid w:val="00855965"/>
    <w:rsid w:val="00856356"/>
    <w:rsid w:val="008563F2"/>
    <w:rsid w:val="00860671"/>
    <w:rsid w:val="00861349"/>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1C64"/>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406FF"/>
    <w:rsid w:val="00941260"/>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854DC"/>
    <w:rsid w:val="00990CC8"/>
    <w:rsid w:val="00991EB1"/>
    <w:rsid w:val="0099227E"/>
    <w:rsid w:val="009949C5"/>
    <w:rsid w:val="009A19B2"/>
    <w:rsid w:val="009A6302"/>
    <w:rsid w:val="009B17C9"/>
    <w:rsid w:val="009B3EC0"/>
    <w:rsid w:val="009B4D4B"/>
    <w:rsid w:val="009B56A0"/>
    <w:rsid w:val="009B5FE8"/>
    <w:rsid w:val="009B62B1"/>
    <w:rsid w:val="009B76C2"/>
    <w:rsid w:val="009C080D"/>
    <w:rsid w:val="009C3044"/>
    <w:rsid w:val="009C5293"/>
    <w:rsid w:val="009C6593"/>
    <w:rsid w:val="009D41DF"/>
    <w:rsid w:val="009D709E"/>
    <w:rsid w:val="009E0249"/>
    <w:rsid w:val="009E055A"/>
    <w:rsid w:val="009E0F0F"/>
    <w:rsid w:val="009E36AC"/>
    <w:rsid w:val="009E4FB4"/>
    <w:rsid w:val="009E5694"/>
    <w:rsid w:val="009E585B"/>
    <w:rsid w:val="009F040E"/>
    <w:rsid w:val="009F4085"/>
    <w:rsid w:val="00A02DD3"/>
    <w:rsid w:val="00A04D6C"/>
    <w:rsid w:val="00A05622"/>
    <w:rsid w:val="00A1136A"/>
    <w:rsid w:val="00A12315"/>
    <w:rsid w:val="00A14737"/>
    <w:rsid w:val="00A14DEB"/>
    <w:rsid w:val="00A16250"/>
    <w:rsid w:val="00A17296"/>
    <w:rsid w:val="00A17D28"/>
    <w:rsid w:val="00A21621"/>
    <w:rsid w:val="00A22457"/>
    <w:rsid w:val="00A22900"/>
    <w:rsid w:val="00A31E71"/>
    <w:rsid w:val="00A3340E"/>
    <w:rsid w:val="00A34FAA"/>
    <w:rsid w:val="00A42248"/>
    <w:rsid w:val="00A426C8"/>
    <w:rsid w:val="00A42ABF"/>
    <w:rsid w:val="00A43DBC"/>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44DB"/>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3C1F"/>
    <w:rsid w:val="00B14782"/>
    <w:rsid w:val="00B14B32"/>
    <w:rsid w:val="00B14BA4"/>
    <w:rsid w:val="00B14C9C"/>
    <w:rsid w:val="00B14E05"/>
    <w:rsid w:val="00B162E1"/>
    <w:rsid w:val="00B16FFF"/>
    <w:rsid w:val="00B17156"/>
    <w:rsid w:val="00B17587"/>
    <w:rsid w:val="00B17A29"/>
    <w:rsid w:val="00B17D85"/>
    <w:rsid w:val="00B21966"/>
    <w:rsid w:val="00B2363C"/>
    <w:rsid w:val="00B252F9"/>
    <w:rsid w:val="00B25977"/>
    <w:rsid w:val="00B271D8"/>
    <w:rsid w:val="00B27C45"/>
    <w:rsid w:val="00B313EB"/>
    <w:rsid w:val="00B3198A"/>
    <w:rsid w:val="00B34812"/>
    <w:rsid w:val="00B353C0"/>
    <w:rsid w:val="00B357AE"/>
    <w:rsid w:val="00B37DAC"/>
    <w:rsid w:val="00B37E57"/>
    <w:rsid w:val="00B4131E"/>
    <w:rsid w:val="00B42FA5"/>
    <w:rsid w:val="00B514D3"/>
    <w:rsid w:val="00B51BC7"/>
    <w:rsid w:val="00B52134"/>
    <w:rsid w:val="00B55CA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0BB9"/>
    <w:rsid w:val="00B85932"/>
    <w:rsid w:val="00B87588"/>
    <w:rsid w:val="00B92474"/>
    <w:rsid w:val="00BA2419"/>
    <w:rsid w:val="00BB0F2F"/>
    <w:rsid w:val="00BB17BF"/>
    <w:rsid w:val="00BB1C66"/>
    <w:rsid w:val="00BB524D"/>
    <w:rsid w:val="00BB5385"/>
    <w:rsid w:val="00BB5653"/>
    <w:rsid w:val="00BB6E3C"/>
    <w:rsid w:val="00BC133D"/>
    <w:rsid w:val="00BC3E9C"/>
    <w:rsid w:val="00BC4122"/>
    <w:rsid w:val="00BC4807"/>
    <w:rsid w:val="00BC4AF5"/>
    <w:rsid w:val="00BC5AA5"/>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5C8"/>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C9B"/>
    <w:rsid w:val="00CA3CF3"/>
    <w:rsid w:val="00CA5D84"/>
    <w:rsid w:val="00CB528D"/>
    <w:rsid w:val="00CC1960"/>
    <w:rsid w:val="00CD58ED"/>
    <w:rsid w:val="00CE1CF3"/>
    <w:rsid w:val="00CE4DAF"/>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87F"/>
    <w:rsid w:val="00D11C2D"/>
    <w:rsid w:val="00D1618D"/>
    <w:rsid w:val="00D167B1"/>
    <w:rsid w:val="00D16D1B"/>
    <w:rsid w:val="00D1779D"/>
    <w:rsid w:val="00D21F66"/>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5CBA"/>
    <w:rsid w:val="00D570F3"/>
    <w:rsid w:val="00D60E86"/>
    <w:rsid w:val="00D61C85"/>
    <w:rsid w:val="00D624E5"/>
    <w:rsid w:val="00D634A8"/>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2DC5"/>
    <w:rsid w:val="00DC69A0"/>
    <w:rsid w:val="00DD35E7"/>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12071"/>
    <w:rsid w:val="00E12660"/>
    <w:rsid w:val="00E12838"/>
    <w:rsid w:val="00E15BBF"/>
    <w:rsid w:val="00E15ECD"/>
    <w:rsid w:val="00E23F00"/>
    <w:rsid w:val="00E2443A"/>
    <w:rsid w:val="00E26A0F"/>
    <w:rsid w:val="00E318D4"/>
    <w:rsid w:val="00E339EE"/>
    <w:rsid w:val="00E3557A"/>
    <w:rsid w:val="00E4014C"/>
    <w:rsid w:val="00E401FC"/>
    <w:rsid w:val="00E41E7E"/>
    <w:rsid w:val="00E42D1B"/>
    <w:rsid w:val="00E46FAB"/>
    <w:rsid w:val="00E474DC"/>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23A6"/>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17BE"/>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13F2"/>
    <w:rsid w:val="00FB69DA"/>
    <w:rsid w:val="00FB7192"/>
    <w:rsid w:val="00FB763A"/>
    <w:rsid w:val="00FB79C0"/>
    <w:rsid w:val="00FC2EB8"/>
    <w:rsid w:val="00FC4EBA"/>
    <w:rsid w:val="00FC5C43"/>
    <w:rsid w:val="00FC7FEF"/>
    <w:rsid w:val="00FD1598"/>
    <w:rsid w:val="00FD2AB4"/>
    <w:rsid w:val="00FD576E"/>
    <w:rsid w:val="00FD596B"/>
    <w:rsid w:val="00FE58CC"/>
    <w:rsid w:val="00FE75A9"/>
    <w:rsid w:val="00FE7F9B"/>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566E15"/>
  <w15:docId w15:val="{D3927A9C-C7AE-45A0-880E-7FDA7038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 w:type="character" w:styleId="UnresolvedMention">
    <w:name w:val="Unresolved Mention"/>
    <w:basedOn w:val="DefaultParagraphFont"/>
    <w:uiPriority w:val="99"/>
    <w:semiHidden/>
    <w:unhideWhenUsed/>
    <w:rsid w:val="00B55CA4"/>
    <w:rPr>
      <w:color w:val="605E5C"/>
      <w:shd w:val="clear" w:color="auto" w:fill="E1DFDD"/>
    </w:rPr>
  </w:style>
  <w:style w:type="character" w:customStyle="1" w:styleId="Heading1Char">
    <w:name w:val="Heading 1 Char"/>
    <w:basedOn w:val="DefaultParagraphFont"/>
    <w:link w:val="Heading1"/>
    <w:uiPriority w:val="9"/>
    <w:rsid w:val="00B17587"/>
    <w:rPr>
      <w:b/>
      <w:bCs/>
    </w:rPr>
  </w:style>
  <w:style w:type="paragraph" w:styleId="Bibliography">
    <w:name w:val="Bibliography"/>
    <w:basedOn w:val="Normal"/>
    <w:next w:val="Normal"/>
    <w:uiPriority w:val="37"/>
    <w:unhideWhenUsed/>
    <w:rsid w:val="00B17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15619">
      <w:bodyDiv w:val="1"/>
      <w:marLeft w:val="0"/>
      <w:marRight w:val="0"/>
      <w:marTop w:val="0"/>
      <w:marBottom w:val="0"/>
      <w:divBdr>
        <w:top w:val="none" w:sz="0" w:space="0" w:color="auto"/>
        <w:left w:val="none" w:sz="0" w:space="0" w:color="auto"/>
        <w:bottom w:val="none" w:sz="0" w:space="0" w:color="auto"/>
        <w:right w:val="none" w:sz="0" w:space="0" w:color="auto"/>
      </w:divBdr>
    </w:div>
    <w:div w:id="120853688">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45745912">
      <w:bodyDiv w:val="1"/>
      <w:marLeft w:val="0"/>
      <w:marRight w:val="0"/>
      <w:marTop w:val="0"/>
      <w:marBottom w:val="0"/>
      <w:divBdr>
        <w:top w:val="none" w:sz="0" w:space="0" w:color="auto"/>
        <w:left w:val="none" w:sz="0" w:space="0" w:color="auto"/>
        <w:bottom w:val="none" w:sz="0" w:space="0" w:color="auto"/>
        <w:right w:val="none" w:sz="0" w:space="0" w:color="auto"/>
      </w:divBdr>
    </w:div>
    <w:div w:id="675226041">
      <w:bodyDiv w:val="1"/>
      <w:marLeft w:val="0"/>
      <w:marRight w:val="0"/>
      <w:marTop w:val="0"/>
      <w:marBottom w:val="0"/>
      <w:divBdr>
        <w:top w:val="none" w:sz="0" w:space="0" w:color="auto"/>
        <w:left w:val="none" w:sz="0" w:space="0" w:color="auto"/>
        <w:bottom w:val="none" w:sz="0" w:space="0" w:color="auto"/>
        <w:right w:val="none" w:sz="0" w:space="0" w:color="auto"/>
      </w:divBdr>
    </w:div>
    <w:div w:id="687215717">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4134248">
      <w:bodyDiv w:val="1"/>
      <w:marLeft w:val="0"/>
      <w:marRight w:val="0"/>
      <w:marTop w:val="0"/>
      <w:marBottom w:val="0"/>
      <w:divBdr>
        <w:top w:val="none" w:sz="0" w:space="0" w:color="auto"/>
        <w:left w:val="none" w:sz="0" w:space="0" w:color="auto"/>
        <w:bottom w:val="none" w:sz="0" w:space="0" w:color="auto"/>
        <w:right w:val="none" w:sz="0" w:space="0" w:color="auto"/>
      </w:divBdr>
    </w:div>
    <w:div w:id="851263948">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26813898">
      <w:bodyDiv w:val="1"/>
      <w:marLeft w:val="0"/>
      <w:marRight w:val="0"/>
      <w:marTop w:val="0"/>
      <w:marBottom w:val="0"/>
      <w:divBdr>
        <w:top w:val="none" w:sz="0" w:space="0" w:color="auto"/>
        <w:left w:val="none" w:sz="0" w:space="0" w:color="auto"/>
        <w:bottom w:val="none" w:sz="0" w:space="0" w:color="auto"/>
        <w:right w:val="none" w:sz="0" w:space="0" w:color="auto"/>
      </w:divBdr>
    </w:div>
    <w:div w:id="135064006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60232415">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7248090">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6055991">
      <w:bodyDiv w:val="1"/>
      <w:marLeft w:val="0"/>
      <w:marRight w:val="0"/>
      <w:marTop w:val="0"/>
      <w:marBottom w:val="0"/>
      <w:divBdr>
        <w:top w:val="none" w:sz="0" w:space="0" w:color="auto"/>
        <w:left w:val="none" w:sz="0" w:space="0" w:color="auto"/>
        <w:bottom w:val="none" w:sz="0" w:space="0" w:color="auto"/>
        <w:right w:val="none" w:sz="0" w:space="0" w:color="auto"/>
      </w:divBdr>
    </w:div>
    <w:div w:id="2031491471">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budip789077@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5</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4</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s>
</file>

<file path=customXml/itemProps1.xml><?xml version="1.0" encoding="utf-8"?>
<ds:datastoreItem xmlns:ds="http://schemas.openxmlformats.org/officeDocument/2006/customXml" ds:itemID="{AFD20AA1-0B17-4917-AE0F-BFF43B15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1236</Words>
  <Characters>7097</Characters>
  <Application>Microsoft Office Word</Application>
  <DocSecurity>0</DocSecurity>
  <Lines>394</Lines>
  <Paragraphs>252</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8081</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Daniel</cp:lastModifiedBy>
  <cp:revision>44</cp:revision>
  <cp:lastPrinted>2004-12-30T03:27:00Z</cp:lastPrinted>
  <dcterms:created xsi:type="dcterms:W3CDTF">2016-10-28T07:46:00Z</dcterms:created>
  <dcterms:modified xsi:type="dcterms:W3CDTF">2024-02-19T07:26:00Z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