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60" w:type="dxa"/>
              <w:start w:w="260" w:type="dxa"/>
              <w:bottom w:w="260" w:type="dxa"/>
              <w:end w:w="2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3063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3063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40" w:after="120"/>
              <w:jc w:val="center"/>
            </w:pPr>
            <w:r>
              <w:rPr>
                <w:rFonts w:ascii="Arial" w:hAnsi="Arial"/>
                <w:b/>
                <w:color w:val="FFFFFF"/>
                <w:sz w:val="48"/>
              </w:rPr>
              <w:t>Arquitectura de Marca</w:t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color w:val="DCE3E7"/>
                <w:sz w:val="23"/>
              </w:rPr>
              <w:t>Estructura de marca, lineas de servicio y reglas de crecimiento.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88C3A"/>
                <w:sz w:val="20"/>
              </w:rPr>
              <w:t>Chile | Ecuador | Colombia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Arquitectura de Marca y Servicios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Marca principal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ACI Loss Control Experts.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Descriptor corporativo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Loss control petrolero, expediting y control documental.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Territorio de marca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Operacion petrolera critica, control independiente, evidencia tecnica, trazabilidad y reduccion de controversias.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Lineas de servicio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ACI Loss Control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Servicio principal de presencia tecnica, control de eventos, seguimiento de operaciones y alertas tempranas.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ACI Expediting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Seguimiento activo de tiempos, coordinaciones, hitos operacionales y demoras durante carga, descarga o transferencia.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ACI Reconciliation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Reconciliacion de cantidades, documentos, mediciones y diferencias entre nave, terminal, planta u operador.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ACI Claims Support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Soporte tecnico-documental para reclamos, defensas, controversias y cierres comerciales.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ACI Reporting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Reportes preliminares, bitacoras, dossier documental e informes finales con trazabilidad.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Servicios fuera de alcance actual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Seguridad fisica armada.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Transporte de carga.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Certificacion oficial de calidad o cantidad.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Laboratorio propio, salvo que se cree formalmente en el futuro.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Regla de crecimiento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Cualquier nueva linea de servicio debe cumplir tres condiciones: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1. Tener procedimiento documentado.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2. Tener personal competente o proveedor homologado.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3. Tener formato de reporte y control de calidad interno.</w:t>
      </w:r>
    </w:p>
    <w:sectPr w:rsidR="00FC693F" w:rsidRPr="0006063C" w:rsidSect="00034616">
      <w:footerReference w:type="default" r:id="rId9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07A82"/>
        <w:sz w:val="16"/>
      </w:rPr>
      <w:t>ACI Loss Control Experts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