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0" w:space="0" w:color="0B0F12"/>
          <w:left w:val="single" w:sz="0" w:space="0" w:color="0B0F12"/>
          <w:bottom w:val="single" w:sz="0" w:space="0" w:color="0B0F12"/>
          <w:right w:val="single" w:sz="0" w:space="0" w:color="0B0F12"/>
          <w:insideH w:val="single" w:sz="0" w:space="0" w:color="0B0F12"/>
          <w:insideV w:val="single" w:sz="0" w:space="0" w:color="0B0F12"/>
        </w:tblBorders>
      </w:tblPr>
      <w:tblGrid>
        <w:gridCol w:w="9360"/>
      </w:tblGrid>
      <w:tr>
        <w:tc>
          <w:tcPr>
            <w:tcW w:type="dxa" w:w="9792"/>
            <w:shd w:fill="0B0F12"/>
            <w:tcMar>
              <w:top w:w="240" w:type="dxa"/>
              <w:start w:w="260" w:type="dxa"/>
              <w:bottom w:w="240" w:type="dxa"/>
              <w:end w:w="26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063240" cy="306324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ci-logo-black.jpe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3240" cy="30632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46"/>
              </w:rPr>
              <w:t>Ficha Tecnica de Servicio</w:t>
            </w:r>
          </w:p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DCE3E7"/>
                <w:sz w:val="23"/>
              </w:rPr>
              <w:t>Loss Control y Expediting</w:t>
            </w:r>
          </w:p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C88C3A"/>
                <w:sz w:val="20"/>
              </w:rPr>
              <w:t>Control tecnico donde cada barril importa</w:t>
            </w:r>
          </w:p>
        </w:tc>
      </w:tr>
    </w:tbl>
    <w:p>
      <w:r>
        <w:br w:type="page"/>
      </w:r>
    </w:p>
    <w:p>
      <w:pPr>
        <w:keepNext/>
        <w:spacing w:before="320" w:after="140"/>
      </w:pPr>
      <w:r>
        <w:rPr>
          <w:rFonts w:ascii="Arial" w:hAnsi="Arial"/>
          <w:b/>
          <w:i w:val="0"/>
          <w:color w:val="1F5867"/>
          <w:sz w:val="32"/>
        </w:rPr>
        <w:t>Servicio</w:t>
      </w:r>
    </w:p>
    <w:p>
      <w:pPr>
        <w:spacing w:after="120" w:line="276" w:lineRule="auto"/>
      </w:pPr>
      <w:r>
        <w:rPr>
          <w:rFonts w:ascii="Arial" w:hAnsi="Arial"/>
          <w:b w:val="0"/>
          <w:i w:val="0"/>
          <w:color w:val="25313A"/>
          <w:sz w:val="21"/>
        </w:rPr>
        <w:t>Loss control petrolero y expediting para operaciones de carga, descarga, transferencia y almacenamiento de mercancias petroleras.</w:t>
      </w:r>
    </w:p>
    <w:p>
      <w:pPr>
        <w:keepNext/>
        <w:spacing w:before="320" w:after="140"/>
      </w:pPr>
      <w:r>
        <w:rPr>
          <w:rFonts w:ascii="Arial" w:hAnsi="Arial"/>
          <w:b/>
          <w:i w:val="0"/>
          <w:color w:val="1F5867"/>
          <w:sz w:val="32"/>
        </w:rPr>
        <w:t>Objetivo</w:t>
      </w:r>
    </w:p>
    <w:p>
      <w:pPr>
        <w:spacing w:after="120" w:line="276" w:lineRule="auto"/>
      </w:pPr>
      <w:r>
        <w:rPr>
          <w:rFonts w:ascii="Arial" w:hAnsi="Arial"/>
          <w:b w:val="0"/>
          <w:i w:val="0"/>
          <w:color w:val="25313A"/>
          <w:sz w:val="21"/>
        </w:rPr>
        <w:t>Proteger los intereses del cliente mediante presencia tecnica independiente, control de eventos, reconciliacion de cantidades, supervision documental y reportabilidad trazable.</w:t>
      </w:r>
    </w:p>
    <w:p>
      <w:pPr>
        <w:keepNext/>
        <w:spacing w:before="320" w:after="140"/>
      </w:pPr>
      <w:r>
        <w:rPr>
          <w:rFonts w:ascii="Arial" w:hAnsi="Arial"/>
          <w:b/>
          <w:i w:val="0"/>
          <w:color w:val="1F5867"/>
          <w:sz w:val="32"/>
        </w:rPr>
        <w:t>Alcance tipico</w:t>
      </w:r>
    </w:p>
    <w:p>
      <w:pPr>
        <w:pStyle w:val="ListBullet"/>
        <w:spacing w:after="80" w:line="276" w:lineRule="auto"/>
      </w:pPr>
      <w:r>
        <w:rPr>
          <w:rFonts w:ascii="Arial" w:hAnsi="Arial"/>
          <w:b w:val="0"/>
          <w:i w:val="0"/>
          <w:color w:val="25313A"/>
          <w:sz w:val="21"/>
        </w:rPr>
        <w:t>Revision de instrucciones operacionales.</w:t>
      </w:r>
    </w:p>
    <w:p>
      <w:pPr>
        <w:pStyle w:val="ListBullet"/>
        <w:spacing w:after="80" w:line="276" w:lineRule="auto"/>
      </w:pPr>
      <w:r>
        <w:rPr>
          <w:rFonts w:ascii="Arial" w:hAnsi="Arial"/>
          <w:b w:val="0"/>
          <w:i w:val="0"/>
          <w:color w:val="25313A"/>
          <w:sz w:val="21"/>
        </w:rPr>
        <w:t>Coordinacion previa con partes involucradas.</w:t>
      </w:r>
    </w:p>
    <w:p>
      <w:pPr>
        <w:pStyle w:val="ListBullet"/>
        <w:spacing w:after="80" w:line="276" w:lineRule="auto"/>
      </w:pPr>
      <w:r>
        <w:rPr>
          <w:rFonts w:ascii="Arial" w:hAnsi="Arial"/>
          <w:b w:val="0"/>
          <w:i w:val="0"/>
          <w:color w:val="25313A"/>
          <w:sz w:val="21"/>
        </w:rPr>
        <w:t>Presencia en hitos criticos.</w:t>
      </w:r>
    </w:p>
    <w:p>
      <w:pPr>
        <w:pStyle w:val="ListBullet"/>
        <w:spacing w:after="80" w:line="276" w:lineRule="auto"/>
      </w:pPr>
      <w:r>
        <w:rPr>
          <w:rFonts w:ascii="Arial" w:hAnsi="Arial"/>
          <w:b w:val="0"/>
          <w:i w:val="0"/>
          <w:color w:val="25313A"/>
          <w:sz w:val="21"/>
        </w:rPr>
        <w:t>Registro cronologico de eventos.</w:t>
      </w:r>
    </w:p>
    <w:p>
      <w:pPr>
        <w:pStyle w:val="ListBullet"/>
        <w:spacing w:after="80" w:line="276" w:lineRule="auto"/>
      </w:pPr>
      <w:r>
        <w:rPr>
          <w:rFonts w:ascii="Arial" w:hAnsi="Arial"/>
          <w:b w:val="0"/>
          <w:i w:val="0"/>
          <w:color w:val="25313A"/>
          <w:sz w:val="21"/>
        </w:rPr>
        <w:t>Supervision de mediciones, muestras y documentos.</w:t>
      </w:r>
    </w:p>
    <w:p>
      <w:pPr>
        <w:pStyle w:val="ListBullet"/>
        <w:spacing w:after="80" w:line="276" w:lineRule="auto"/>
      </w:pPr>
      <w:r>
        <w:rPr>
          <w:rFonts w:ascii="Arial" w:hAnsi="Arial"/>
          <w:b w:val="0"/>
          <w:i w:val="0"/>
          <w:color w:val="25313A"/>
          <w:sz w:val="21"/>
        </w:rPr>
        <w:t>Alertas tempranas ante desviaciones.</w:t>
      </w:r>
    </w:p>
    <w:p>
      <w:pPr>
        <w:pStyle w:val="ListBullet"/>
        <w:spacing w:after="80" w:line="276" w:lineRule="auto"/>
      </w:pPr>
      <w:r>
        <w:rPr>
          <w:rFonts w:ascii="Arial" w:hAnsi="Arial"/>
          <w:b w:val="0"/>
          <w:i w:val="0"/>
          <w:color w:val="25313A"/>
          <w:sz w:val="21"/>
        </w:rPr>
        <w:t>Informe final con evidencias.</w:t>
      </w:r>
    </w:p>
    <w:p>
      <w:pPr>
        <w:keepNext/>
        <w:spacing w:before="320" w:after="140"/>
      </w:pPr>
      <w:r>
        <w:rPr>
          <w:rFonts w:ascii="Arial" w:hAnsi="Arial"/>
          <w:b/>
          <w:i w:val="0"/>
          <w:color w:val="1F5867"/>
          <w:sz w:val="32"/>
        </w:rPr>
        <w:t>Entregables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7DDE1"/>
          <w:left w:val="single" w:sz="6" w:space="0" w:color="D7DDE1"/>
          <w:bottom w:val="single" w:sz="6" w:space="0" w:color="D7DDE1"/>
          <w:right w:val="single" w:sz="6" w:space="0" w:color="D7DDE1"/>
          <w:insideH w:val="single" w:sz="6" w:space="0" w:color="D7DDE1"/>
          <w:insideV w:val="single" w:sz="6" w:space="0" w:color="D7DDE1"/>
        </w:tblBorders>
      </w:tblPr>
      <w:tblGrid>
        <w:gridCol w:w="4896"/>
        <w:gridCol w:w="4896"/>
      </w:tblGrid>
      <w:tr>
        <w:tc>
          <w:tcPr>
            <w:tcW w:type="dxa" w:w="2736"/>
            <w:vAlign w:val="center"/>
            <w:shd w:fill="0B0F12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8"/>
              </w:rPr>
              <w:t>Entregable</w:t>
            </w:r>
          </w:p>
        </w:tc>
        <w:tc>
          <w:tcPr>
            <w:tcW w:type="dxa" w:w="6624"/>
            <w:vAlign w:val="center"/>
            <w:shd w:fill="0B0F12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8"/>
              </w:rPr>
              <w:t>Contenido</w:t>
            </w:r>
          </w:p>
        </w:tc>
      </w:tr>
      <w:tr>
        <w:tc>
          <w:tcPr>
            <w:tcW w:type="dxa" w:w="273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6F7F4"/>
          </w:tcPr>
          <w:p>
            <w:r>
              <w:rPr>
                <w:rFonts w:ascii="Arial" w:hAnsi="Arial"/>
                <w:b/>
                <w:i w:val="0"/>
                <w:color w:val="25313A"/>
                <w:sz w:val="18"/>
              </w:rPr>
              <w:t>Reporte preliminar</w:t>
            </w:r>
          </w:p>
        </w:tc>
        <w:tc>
          <w:tcPr>
            <w:tcW w:type="dxa" w:w="662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25313A"/>
                <w:sz w:val="18"/>
              </w:rPr>
              <w:t>Resumen temprano de la operacion, eventos y diferencias relevantes.</w:t>
            </w:r>
          </w:p>
        </w:tc>
      </w:tr>
      <w:tr>
        <w:tc>
          <w:tcPr>
            <w:tcW w:type="dxa" w:w="273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6F7F4"/>
          </w:tcPr>
          <w:p>
            <w:r>
              <w:rPr>
                <w:rFonts w:ascii="Arial" w:hAnsi="Arial"/>
                <w:b/>
                <w:i w:val="0"/>
                <w:color w:val="25313A"/>
                <w:sz w:val="18"/>
              </w:rPr>
              <w:t>Bitacora</w:t>
            </w:r>
          </w:p>
        </w:tc>
        <w:tc>
          <w:tcPr>
            <w:tcW w:type="dxa" w:w="662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25313A"/>
                <w:sz w:val="18"/>
              </w:rPr>
              <w:t>Linea de tiempo de hitos y comunicaciones.</w:t>
            </w:r>
          </w:p>
        </w:tc>
      </w:tr>
      <w:tr>
        <w:tc>
          <w:tcPr>
            <w:tcW w:type="dxa" w:w="273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6F7F4"/>
          </w:tcPr>
          <w:p>
            <w:r>
              <w:rPr>
                <w:rFonts w:ascii="Arial" w:hAnsi="Arial"/>
                <w:b/>
                <w:i w:val="0"/>
                <w:color w:val="25313A"/>
                <w:sz w:val="18"/>
              </w:rPr>
              <w:t>Dossier</w:t>
            </w:r>
          </w:p>
        </w:tc>
        <w:tc>
          <w:tcPr>
            <w:tcW w:type="dxa" w:w="662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25313A"/>
                <w:sz w:val="18"/>
              </w:rPr>
              <w:t>Documentos, fotografias, certificados y respaldos.</w:t>
            </w:r>
          </w:p>
        </w:tc>
      </w:tr>
      <w:tr>
        <w:tc>
          <w:tcPr>
            <w:tcW w:type="dxa" w:w="273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6F7F4"/>
          </w:tcPr>
          <w:p>
            <w:r>
              <w:rPr>
                <w:rFonts w:ascii="Arial" w:hAnsi="Arial"/>
                <w:b/>
                <w:i w:val="0"/>
                <w:color w:val="25313A"/>
                <w:sz w:val="18"/>
              </w:rPr>
              <w:t>Informe final</w:t>
            </w:r>
          </w:p>
        </w:tc>
        <w:tc>
          <w:tcPr>
            <w:tcW w:type="dxa" w:w="662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25313A"/>
                <w:sz w:val="18"/>
              </w:rPr>
              <w:t>Analisis tecnico, hallazgos, conclusiones y anexos.</w:t>
            </w:r>
          </w:p>
        </w:tc>
      </w:tr>
    </w:tbl>
    <w:p>
      <w:pPr>
        <w:spacing w:after="80"/>
      </w:pPr>
    </w:p>
    <w:p>
      <w:pPr>
        <w:keepNext/>
        <w:spacing w:before="320" w:after="140"/>
      </w:pPr>
      <w:r>
        <w:rPr>
          <w:rFonts w:ascii="Arial" w:hAnsi="Arial"/>
          <w:b/>
          <w:i w:val="0"/>
          <w:color w:val="1F5867"/>
          <w:sz w:val="32"/>
        </w:rPr>
        <w:t>Indicadores recomendados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7DDE1"/>
          <w:left w:val="single" w:sz="6" w:space="0" w:color="D7DDE1"/>
          <w:bottom w:val="single" w:sz="6" w:space="0" w:color="D7DDE1"/>
          <w:right w:val="single" w:sz="6" w:space="0" w:color="D7DDE1"/>
          <w:insideH w:val="single" w:sz="6" w:space="0" w:color="D7DDE1"/>
          <w:insideV w:val="single" w:sz="6" w:space="0" w:color="D7DDE1"/>
        </w:tblBorders>
      </w:tblPr>
      <w:tblGrid>
        <w:gridCol w:w="4896"/>
        <w:gridCol w:w="4896"/>
      </w:tblGrid>
      <w:tr>
        <w:tc>
          <w:tcPr>
            <w:tcW w:type="dxa" w:w="4608"/>
            <w:vAlign w:val="center"/>
            <w:shd w:fill="0B0F12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8"/>
              </w:rPr>
              <w:t>Indicador</w:t>
            </w:r>
          </w:p>
        </w:tc>
        <w:tc>
          <w:tcPr>
            <w:tcW w:type="dxa" w:w="4752"/>
            <w:vAlign w:val="center"/>
            <w:shd w:fill="0B0F12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8"/>
              </w:rPr>
              <w:t>Meta referencial</w:t>
            </w:r>
          </w:p>
        </w:tc>
      </w:tr>
      <w:tr>
        <w:tc>
          <w:tcPr>
            <w:tcW w:type="dxa" w:w="460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6F7F4"/>
          </w:tcPr>
          <w:p>
            <w:r>
              <w:rPr>
                <w:rFonts w:ascii="Arial" w:hAnsi="Arial"/>
                <w:b/>
                <w:i w:val="0"/>
                <w:color w:val="25313A"/>
                <w:sz w:val="18"/>
              </w:rPr>
              <w:t>Reporte preliminar dentro de plazo</w:t>
            </w:r>
          </w:p>
        </w:tc>
        <w:tc>
          <w:tcPr>
            <w:tcW w:type="dxa" w:w="475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25313A"/>
                <w:sz w:val="18"/>
              </w:rPr>
              <w:t>95%</w:t>
            </w:r>
          </w:p>
        </w:tc>
      </w:tr>
      <w:tr>
        <w:tc>
          <w:tcPr>
            <w:tcW w:type="dxa" w:w="460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6F7F4"/>
          </w:tcPr>
          <w:p>
            <w:r>
              <w:rPr>
                <w:rFonts w:ascii="Arial" w:hAnsi="Arial"/>
                <w:b/>
                <w:i w:val="0"/>
                <w:color w:val="25313A"/>
                <w:sz w:val="18"/>
              </w:rPr>
              <w:t>Informes sin reproceso documental</w:t>
            </w:r>
          </w:p>
        </w:tc>
        <w:tc>
          <w:tcPr>
            <w:tcW w:type="dxa" w:w="475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25313A"/>
                <w:sz w:val="18"/>
              </w:rPr>
              <w:t>98%</w:t>
            </w:r>
          </w:p>
        </w:tc>
      </w:tr>
      <w:tr>
        <w:tc>
          <w:tcPr>
            <w:tcW w:type="dxa" w:w="460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6F7F4"/>
          </w:tcPr>
          <w:p>
            <w:r>
              <w:rPr>
                <w:rFonts w:ascii="Arial" w:hAnsi="Arial"/>
                <w:b/>
                <w:i w:val="0"/>
                <w:color w:val="25313A"/>
                <w:sz w:val="18"/>
              </w:rPr>
              <w:t>Evidencias completas por operacion</w:t>
            </w:r>
          </w:p>
        </w:tc>
        <w:tc>
          <w:tcPr>
            <w:tcW w:type="dxa" w:w="475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25313A"/>
                <w:sz w:val="18"/>
              </w:rPr>
              <w:t>100%</w:t>
            </w:r>
          </w:p>
        </w:tc>
      </w:tr>
      <w:tr>
        <w:tc>
          <w:tcPr>
            <w:tcW w:type="dxa" w:w="460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6F7F4"/>
          </w:tcPr>
          <w:p>
            <w:r>
              <w:rPr>
                <w:rFonts w:ascii="Arial" w:hAnsi="Arial"/>
                <w:b/>
                <w:i w:val="0"/>
                <w:color w:val="25313A"/>
                <w:sz w:val="18"/>
              </w:rPr>
              <w:t>Acciones correctivas cerradas</w:t>
            </w:r>
          </w:p>
        </w:tc>
        <w:tc>
          <w:tcPr>
            <w:tcW w:type="dxa" w:w="475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25313A"/>
                <w:sz w:val="18"/>
              </w:rPr>
              <w:t>90%</w:t>
            </w:r>
          </w:p>
        </w:tc>
      </w:tr>
    </w:tbl>
    <w:p>
      <w:pPr>
        <w:spacing w:after="80"/>
      </w:pPr>
    </w:p>
    <w:sectPr w:rsidR="00FC693F" w:rsidRPr="0006063C" w:rsidSect="00034616">
      <w:footerReference w:type="default" r:id="rId9"/>
      <w:pgSz w:w="12240" w:h="15840"/>
      <w:pgMar w:top="1224" w:right="1224" w:bottom="1080" w:left="1224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b w:val="0"/>
        <w:i w:val="0"/>
        <w:color w:val="707A82"/>
        <w:sz w:val="16"/>
      </w:rPr>
      <w:t>ACI Loss Control Experts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