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0B0F12"/>
          <w:left w:val="single" w:sz="0" w:space="0" w:color="0B0F12"/>
          <w:bottom w:val="single" w:sz="0" w:space="0" w:color="0B0F12"/>
          <w:right w:val="single" w:sz="0" w:space="0" w:color="0B0F12"/>
          <w:insideH w:val="single" w:sz="0" w:space="0" w:color="0B0F12"/>
          <w:insideV w:val="single" w:sz="0" w:space="0" w:color="0B0F12"/>
        </w:tblBorders>
      </w:tblPr>
      <w:tblGrid>
        <w:gridCol w:w="9360"/>
      </w:tblGrid>
      <w:tr>
        <w:tc>
          <w:tcPr>
            <w:tcW w:type="dxa" w:w="9792"/>
            <w:shd w:fill="0B0F12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63240" cy="3063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i-logo-black.jpe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3063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46"/>
              </w:rPr>
              <w:t>Guion Presentacion Comercial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DCE3E7"/>
                <w:sz w:val="23"/>
              </w:rPr>
              <w:t>Estructura base para futura presentacion PowerPoint</w:t>
            </w:r>
          </w:p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C88C3A"/>
                <w:sz w:val="20"/>
              </w:rPr>
              <w:t>Control tecnico donde cada barril importa</w:t>
            </w:r>
          </w:p>
        </w:tc>
      </w:tr>
    </w:tbl>
    <w:p>
      <w:r>
        <w:br w:type="page"/>
      </w: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Estructura recomendada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7DDE1"/>
          <w:left w:val="single" w:sz="6" w:space="0" w:color="D7DDE1"/>
          <w:bottom w:val="single" w:sz="6" w:space="0" w:color="D7DDE1"/>
          <w:right w:val="single" w:sz="6" w:space="0" w:color="D7DDE1"/>
          <w:insideH w:val="single" w:sz="6" w:space="0" w:color="D7DDE1"/>
          <w:insideV w:val="single" w:sz="6" w:space="0" w:color="D7DDE1"/>
        </w:tblBorders>
      </w:tblPr>
      <w:tblGrid>
        <w:gridCol w:w="3264"/>
        <w:gridCol w:w="3264"/>
        <w:gridCol w:w="3264"/>
      </w:tblGrid>
      <w:tr>
        <w:tc>
          <w:tcPr>
            <w:tcW w:type="dxa" w:w="1008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2880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Titulo</w:t>
            </w:r>
          </w:p>
        </w:tc>
        <w:tc>
          <w:tcPr>
            <w:tcW w:type="dxa" w:w="5472"/>
            <w:vAlign w:val="center"/>
            <w:shd w:fill="0B0F1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FFFFFF"/>
                <w:sz w:val="18"/>
              </w:rPr>
              <w:t>Mensaje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1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ACI Loss Control Experts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Control tecnico donde cada barril importa.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2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El problema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Diferencias de cantidad, calidad, tiempo o documentos pueden transformarse en perdida o controversia.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3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Nuestra funcion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ACI actua como los ojos tecnicos independientes del cliente en terreno.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4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Servicios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Loss control, expediting, reconciliacion, control de calidad, soporte a reclamos e informes.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5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Metodologia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Planificar, ejecutar, registrar, reconciliar, reportar y cerrar.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6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Cobertura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Chile, Ecuador y Colombia con capacidad nacional en cada pais.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7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Reportabilidad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Reporte preliminar, bitacora, evidencias, dossier e informe final.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8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Por que ACI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Independencia, trazabilidad, oportunidad, rigor tecnico y confidencialidad.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9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Activacion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Levantamiento de requerimiento, propuesta, asignacion y ejecucion.</w:t>
            </w:r>
          </w:p>
        </w:tc>
      </w:tr>
      <w:tr>
        <w:tc>
          <w:tcPr>
            <w:tcW w:type="dxa" w:w="10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6F7F4"/>
          </w:tcPr>
          <w:p>
            <w:r>
              <w:rPr>
                <w:rFonts w:ascii="Arial" w:hAnsi="Arial"/>
                <w:b/>
                <w:i w:val="0"/>
                <w:color w:val="25313A"/>
                <w:sz w:val="18"/>
              </w:rPr>
              <w:t>10</w:t>
            </w:r>
          </w:p>
        </w:tc>
        <w:tc>
          <w:tcPr>
            <w:tcW w:type="dxa" w:w="28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Contacto</w:t>
            </w:r>
          </w:p>
        </w:tc>
        <w:tc>
          <w:tcPr>
            <w:tcW w:type="dxa" w:w="547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Arial" w:hAnsi="Arial"/>
                <w:b w:val="0"/>
                <w:i w:val="0"/>
                <w:color w:val="25313A"/>
                <w:sz w:val="18"/>
              </w:rPr>
              <w:t>Solicitud de cobertura y datos comerciales.</w:t>
            </w:r>
          </w:p>
        </w:tc>
      </w:tr>
    </w:tbl>
    <w:p>
      <w:pPr>
        <w:spacing w:after="80"/>
      </w:pPr>
    </w:p>
    <w:p>
      <w:pPr>
        <w:keepNext/>
        <w:spacing w:before="320" w:after="140"/>
      </w:pPr>
      <w:r>
        <w:rPr>
          <w:rFonts w:ascii="Arial" w:hAnsi="Arial"/>
          <w:b/>
          <w:i w:val="0"/>
          <w:color w:val="1F5867"/>
          <w:sz w:val="32"/>
        </w:rPr>
        <w:t>Notas de estilo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Usar fotografia operacional maritima o petrolera.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Titulos como afirmaciones, no etiquetas genericas.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No usar clientes nombrados sin autorizacion.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Mantener paleta ACI.</w:t>
      </w:r>
    </w:p>
    <w:p>
      <w:pPr>
        <w:pStyle w:val="ListBullet"/>
        <w:spacing w:after="80" w:line="276" w:lineRule="auto"/>
      </w:pPr>
      <w:r>
        <w:rPr>
          <w:rFonts w:ascii="Arial" w:hAnsi="Arial"/>
          <w:b w:val="0"/>
          <w:i w:val="0"/>
          <w:color w:val="25313A"/>
          <w:sz w:val="21"/>
        </w:rPr>
        <w:t>Evitar exceso de texto por slide.</w:t>
      </w:r>
    </w:p>
    <w:sectPr w:rsidR="00FC693F" w:rsidRPr="0006063C" w:rsidSect="00034616">
      <w:footerReference w:type="default" r:id="rId9"/>
      <w:pgSz w:w="12240" w:h="15840"/>
      <w:pgMar w:top="1224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b w:val="0"/>
        <w:i w:val="0"/>
        <w:color w:val="707A82"/>
        <w:sz w:val="16"/>
      </w:rPr>
      <w:t>ACI Loss Control Experts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