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Indice Maestro de Identidad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Mapa completo de documentos corporativos ACI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Documentos estrategicos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388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547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ACI-Brand-Book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Define esencia, tono, valores, mensajes y sistema base de marca.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ACI-Arquitectura-de-Marca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Ordena lineas de servicio y reglas de crecimiento.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ACI-Lineamientos-Visuales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Define logo, paleta, fotografia, iconografia y composicion.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ACI-Mensajes-Comerciales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Centraliza claim, pitch, objeciones y frases aprobadas.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Documentos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388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547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ACI-Brochure-Corporativo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Presentacion breve de empresa y servicios.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ACI-Plantilla-Propuesta-Comercial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Base para propuestas a clientes.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ACI-Ficha-Tecnica-Loss-Control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Ficha del servicio principal.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ACI-Perfil-LinkedIn-Empresa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Textos para presencia digital profesional.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Documentos de aplicacion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388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547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ACI-Firma-Correo-Corporativa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Formato de firma y aviso de confidencialidad.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ACI-Plantilla-Informe-Operacional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Estructura base de informe de servicio.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ACI-Onboarding-Comercial-Cliente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Levantamiento de clientes y operaciones.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ACI-Checklist-Comunicacion-Corporativa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Control antes de publicar/enviar piezas.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ACI-Papeleria-Corporativa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Membrete y carta base.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ACI-Tarjeta-Presentacion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Contenido y reglas de tarjeta.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ACI-Guion-Presentacion-Comercial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Estructura para futura presentacion PPT.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ACI-Dominio-Correos-Corporativos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Estructura recomendada de dominio y casillas.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Estado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 este paquete, la identidad de ACI queda lista para uso inicial comercial, digital y documental. La siguiente etapa recomendada es avanzar a manuales de procedimiento operacional y sistema de gestion interna.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