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0B0F12"/>
          <w:left w:val="single" w:sz="0" w:space="0" w:color="0B0F12"/>
          <w:bottom w:val="single" w:sz="0" w:space="0" w:color="0B0F12"/>
          <w:right w:val="single" w:sz="0" w:space="0" w:color="0B0F12"/>
          <w:insideH w:val="single" w:sz="0" w:space="0" w:color="0B0F12"/>
          <w:insideV w:val="single" w:sz="0" w:space="0" w:color="0B0F12"/>
        </w:tblBorders>
      </w:tblPr>
      <w:tblGrid>
        <w:gridCol w:w="9360"/>
      </w:tblGrid>
      <w:tr>
        <w:tc>
          <w:tcPr>
            <w:tcW w:type="dxa" w:w="9792"/>
            <w:shd w:fill="0B0F12"/>
            <w:tcMar>
              <w:top w:w="260" w:type="dxa"/>
              <w:start w:w="260" w:type="dxa"/>
              <w:bottom w:w="260" w:type="dxa"/>
              <w:end w:w="26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63240" cy="30632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ci-logo-black.jpe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3240" cy="3063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40" w:after="120"/>
              <w:jc w:val="center"/>
            </w:pPr>
            <w:r>
              <w:rPr>
                <w:rFonts w:ascii="Arial" w:hAnsi="Arial"/>
                <w:b/>
                <w:color w:val="FFFFFF"/>
                <w:sz w:val="48"/>
              </w:rPr>
              <w:t>Lineamientos Visuales</w:t>
            </w:r>
          </w:p>
          <w:p>
            <w:pPr>
              <w:spacing w:after="160"/>
              <w:jc w:val="center"/>
            </w:pPr>
            <w:r>
              <w:rPr>
                <w:rFonts w:ascii="Arial" w:hAnsi="Arial"/>
                <w:color w:val="DCE3E7"/>
                <w:sz w:val="23"/>
              </w:rPr>
              <w:t>Uso de logo, paleta, fotografia, iconografia y composicion.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88C3A"/>
                <w:sz w:val="20"/>
              </w:rPr>
              <w:t>Chile | Ecuador | Colombia</w:t>
            </w:r>
          </w:p>
        </w:tc>
      </w:tr>
    </w:tbl>
    <w:p>
      <w:r>
        <w:br w:type="page"/>
      </w:r>
    </w:p>
    <w:p>
      <w:pPr>
        <w:keepNext/>
        <w:spacing w:before="360" w:after="160"/>
      </w:pPr>
      <w:r>
        <w:rPr>
          <w:rFonts w:ascii="Arial" w:hAnsi="Arial"/>
          <w:b/>
          <w:color w:val="1F5867"/>
          <w:sz w:val="32"/>
        </w:rPr>
        <w:t>Lineamientos Visuales ACI</w:t>
      </w:r>
    </w:p>
    <w:p>
      <w:pPr>
        <w:keepNext/>
        <w:spacing w:before="360" w:after="160"/>
      </w:pPr>
      <w:r>
        <w:rPr>
          <w:rFonts w:ascii="Arial" w:hAnsi="Arial"/>
          <w:b/>
          <w:color w:val="1F5867"/>
          <w:sz w:val="32"/>
        </w:rPr>
        <w:t>Principio visual</w:t>
      </w:r>
    </w:p>
    <w:p>
      <w:pPr>
        <w:spacing w:after="120" w:line="276" w:lineRule="auto"/>
      </w:pPr>
      <w:r>
        <w:rPr>
          <w:rFonts w:ascii="Arial" w:hAnsi="Arial"/>
          <w:color w:val="25313A"/>
          <w:sz w:val="21"/>
        </w:rPr>
        <w:t>La identidad visual de ACI debe comunicar control, precision, operacion maritima, energia y confianza tecnica. Debe evitar parecer una empresa generica de seguridad, transporte o consultoria.</w:t>
      </w:r>
    </w:p>
    <w:p>
      <w:pPr>
        <w:keepNext/>
        <w:spacing w:before="360" w:after="160"/>
      </w:pPr>
      <w:r>
        <w:rPr>
          <w:rFonts w:ascii="Arial" w:hAnsi="Arial"/>
          <w:b/>
          <w:color w:val="1F5867"/>
          <w:sz w:val="32"/>
        </w:rPr>
        <w:t>Logo</w:t>
      </w:r>
    </w:p>
    <w:p>
      <w:pPr>
        <w:keepNext/>
        <w:spacing w:before="240" w:after="120"/>
      </w:pPr>
      <w:r>
        <w:rPr>
          <w:rFonts w:ascii="Arial" w:hAnsi="Arial"/>
          <w:b/>
          <w:color w:val="1F5867"/>
          <w:sz w:val="26"/>
        </w:rPr>
        <w:t>Uso principal</w:t>
      </w:r>
    </w:p>
    <w:p>
      <w:pPr>
        <w:spacing w:after="120" w:line="276" w:lineRule="auto"/>
      </w:pPr>
      <w:r>
        <w:rPr>
          <w:rFonts w:ascii="Arial" w:hAnsi="Arial"/>
          <w:color w:val="25313A"/>
          <w:sz w:val="21"/>
        </w:rPr>
        <w:t>Utilizar el logo completo ACI Loss Control Experts en: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5313A"/>
          <w:sz w:val="21"/>
        </w:rPr>
        <w:t>Sitio web.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5313A"/>
          <w:sz w:val="21"/>
        </w:rPr>
        <w:t>Presentaciones.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5313A"/>
          <w:sz w:val="21"/>
        </w:rPr>
        <w:t>Brochures.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5313A"/>
          <w:sz w:val="21"/>
        </w:rPr>
        <w:t>Portadas de informes.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5313A"/>
          <w:sz w:val="21"/>
        </w:rPr>
        <w:t>Firmas corporativas.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5313A"/>
          <w:sz w:val="21"/>
        </w:rPr>
        <w:t>Propuestas comerciales.</w:t>
      </w:r>
    </w:p>
    <w:p>
      <w:pPr>
        <w:keepNext/>
        <w:spacing w:before="240" w:after="120"/>
      </w:pPr>
      <w:r>
        <w:rPr>
          <w:rFonts w:ascii="Arial" w:hAnsi="Arial"/>
          <w:b/>
          <w:color w:val="1F5867"/>
          <w:sz w:val="26"/>
        </w:rPr>
        <w:t>Uso del isotipo</w:t>
      </w:r>
    </w:p>
    <w:p>
      <w:pPr>
        <w:spacing w:after="120" w:line="276" w:lineRule="auto"/>
      </w:pPr>
      <w:r>
        <w:rPr>
          <w:rFonts w:ascii="Arial" w:hAnsi="Arial"/>
          <w:color w:val="25313A"/>
          <w:sz w:val="21"/>
        </w:rPr>
        <w:t>Utilizar solo el simbolo en: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5313A"/>
          <w:sz w:val="21"/>
        </w:rPr>
        <w:t>Favicon.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5313A"/>
          <w:sz w:val="21"/>
        </w:rPr>
        <w:t>Sellos internos.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5313A"/>
          <w:sz w:val="21"/>
        </w:rPr>
        <w:t>Marca de agua.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5313A"/>
          <w:sz w:val="21"/>
        </w:rPr>
        <w:t>Iconos de documentos.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5313A"/>
          <w:sz w:val="21"/>
        </w:rPr>
        <w:t>Aplicaciones de espacio reducido.</w:t>
      </w:r>
    </w:p>
    <w:p>
      <w:pPr>
        <w:keepNext/>
        <w:spacing w:before="360" w:after="160"/>
      </w:pPr>
      <w:r>
        <w:rPr>
          <w:rFonts w:ascii="Arial" w:hAnsi="Arial"/>
          <w:b/>
          <w:color w:val="1F5867"/>
          <w:sz w:val="32"/>
        </w:rPr>
        <w:t>Margen de seguridad</w:t>
      </w:r>
    </w:p>
    <w:p>
      <w:pPr>
        <w:spacing w:after="120" w:line="276" w:lineRule="auto"/>
      </w:pPr>
      <w:r>
        <w:rPr>
          <w:rFonts w:ascii="Arial" w:hAnsi="Arial"/>
          <w:color w:val="25313A"/>
          <w:sz w:val="21"/>
        </w:rPr>
        <w:t>Mantener alrededor del logo un espacio minimo equivalente a la altura del texto "Loss Control Experts". No ubicarlo pegado a bordes, fotografias cargadas o textos densos.</w:t>
      </w:r>
    </w:p>
    <w:p>
      <w:pPr>
        <w:keepNext/>
        <w:spacing w:before="360" w:after="160"/>
      </w:pPr>
      <w:r>
        <w:rPr>
          <w:rFonts w:ascii="Arial" w:hAnsi="Arial"/>
          <w:b/>
          <w:color w:val="1F5867"/>
          <w:sz w:val="32"/>
        </w:rPr>
        <w:t>Fondos</w:t>
      </w:r>
    </w:p>
    <w:p>
      <w:pPr>
        <w:spacing w:after="120" w:line="276" w:lineRule="auto"/>
      </w:pPr>
      <w:r>
        <w:rPr>
          <w:rFonts w:ascii="Arial" w:hAnsi="Arial"/>
          <w:color w:val="25313A"/>
          <w:sz w:val="21"/>
        </w:rPr>
        <w:t>Recomendados: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5313A"/>
          <w:sz w:val="21"/>
        </w:rPr>
        <w:t>Negro solido.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5313A"/>
          <w:sz w:val="21"/>
        </w:rPr>
        <w:t>Blanco solido.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5313A"/>
          <w:sz w:val="21"/>
        </w:rPr>
        <w:t>Fotografia oscurecida.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5313A"/>
          <w:sz w:val="21"/>
        </w:rPr>
        <w:t>Gris acero claro.</w:t>
      </w:r>
    </w:p>
    <w:p>
      <w:pPr>
        <w:spacing w:after="120" w:line="276" w:lineRule="auto"/>
      </w:pPr>
      <w:r>
        <w:rPr>
          <w:rFonts w:ascii="Arial" w:hAnsi="Arial"/>
          <w:color w:val="25313A"/>
          <w:sz w:val="21"/>
        </w:rPr>
        <w:t>Evitar: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5313A"/>
          <w:sz w:val="21"/>
        </w:rPr>
        <w:t>Fondos con mucho ruido visual.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5313A"/>
          <w:sz w:val="21"/>
        </w:rPr>
        <w:t>Gradientes decorativos sin relacion operacional.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5313A"/>
          <w:sz w:val="21"/>
        </w:rPr>
        <w:t>Fotografias donde el logo pierda contraste.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5313A"/>
          <w:sz w:val="21"/>
        </w:rPr>
        <w:t>Colores brillantes ajenos a la paleta.</w:t>
      </w:r>
    </w:p>
    <w:p>
      <w:pPr>
        <w:keepNext/>
        <w:spacing w:before="360" w:after="160"/>
      </w:pPr>
      <w:r>
        <w:rPr>
          <w:rFonts w:ascii="Arial" w:hAnsi="Arial"/>
          <w:b/>
          <w:color w:val="1F5867"/>
          <w:sz w:val="32"/>
        </w:rPr>
        <w:t>Paleta</w:t>
      </w:r>
    </w:p>
    <w:p>
      <w:pPr>
        <w:keepNext/>
        <w:spacing w:before="240" w:after="120"/>
      </w:pPr>
      <w:r>
        <w:rPr>
          <w:rFonts w:ascii="Arial" w:hAnsi="Arial"/>
          <w:b/>
          <w:color w:val="1F5867"/>
          <w:sz w:val="26"/>
        </w:rPr>
        <w:t>Principal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5313A"/>
          <w:sz w:val="21"/>
        </w:rPr>
        <w:t>Negro operacional: `#0b0f12`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5313A"/>
          <w:sz w:val="21"/>
        </w:rPr>
        <w:t>Blanco tecnico: `#ffffff`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5313A"/>
          <w:sz w:val="21"/>
        </w:rPr>
        <w:t>Ambar operacional: `#c88c3a`</w:t>
      </w:r>
    </w:p>
    <w:p>
      <w:pPr>
        <w:keepNext/>
        <w:spacing w:before="240" w:after="120"/>
      </w:pPr>
      <w:r>
        <w:rPr>
          <w:rFonts w:ascii="Arial" w:hAnsi="Arial"/>
          <w:b/>
          <w:color w:val="1F5867"/>
          <w:sz w:val="26"/>
        </w:rPr>
        <w:t>Secundaria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5313A"/>
          <w:sz w:val="21"/>
        </w:rPr>
        <w:t>Gris acero: `#5d788a`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5313A"/>
          <w:sz w:val="21"/>
        </w:rPr>
        <w:t>Azul maritimo: `#1f5867`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5313A"/>
          <w:sz w:val="21"/>
        </w:rPr>
        <w:t>Verde industrial: `#546e57`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5313A"/>
          <w:sz w:val="21"/>
        </w:rPr>
        <w:t>Papel claro: `#f6f7f4`</w:t>
      </w:r>
    </w:p>
    <w:p>
      <w:pPr>
        <w:keepNext/>
        <w:spacing w:before="360" w:after="160"/>
      </w:pPr>
      <w:r>
        <w:rPr>
          <w:rFonts w:ascii="Arial" w:hAnsi="Arial"/>
          <w:b/>
          <w:color w:val="1F5867"/>
          <w:sz w:val="32"/>
        </w:rPr>
        <w:t>Estilo fotografico</w:t>
      </w:r>
    </w:p>
    <w:p>
      <w:pPr>
        <w:keepNext/>
        <w:spacing w:before="240" w:after="120"/>
      </w:pPr>
      <w:r>
        <w:rPr>
          <w:rFonts w:ascii="Arial" w:hAnsi="Arial"/>
          <w:b/>
          <w:color w:val="1F5867"/>
          <w:sz w:val="26"/>
        </w:rPr>
        <w:t>Usar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5313A"/>
          <w:sz w:val="21"/>
        </w:rPr>
        <w:t>Buques petroleros navegando o en terminal.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5313A"/>
          <w:sz w:val="21"/>
        </w:rPr>
        <w:t>Terminales maritimos.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5313A"/>
          <w:sz w:val="21"/>
        </w:rPr>
        <w:t>Tanques, plantas e infraestructura energetica.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5313A"/>
          <w:sz w:val="21"/>
        </w:rPr>
        <w:t>Detalles de medicion, muestreo, documentos y equipos.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5313A"/>
          <w:sz w:val="21"/>
        </w:rPr>
        <w:t>Escenas con luz natural y clima controlado.</w:t>
      </w:r>
    </w:p>
    <w:p>
      <w:pPr>
        <w:keepNext/>
        <w:spacing w:before="240" w:after="120"/>
      </w:pPr>
      <w:r>
        <w:rPr>
          <w:rFonts w:ascii="Arial" w:hAnsi="Arial"/>
          <w:b/>
          <w:color w:val="1F5867"/>
          <w:sz w:val="26"/>
        </w:rPr>
        <w:t>Evitar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5313A"/>
          <w:sz w:val="21"/>
        </w:rPr>
        <w:t>Imagenes de derrames o emergencias.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5313A"/>
          <w:sz w:val="21"/>
        </w:rPr>
        <w:t>Escenas contaminantes o sensacionalistas.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5313A"/>
          <w:sz w:val="21"/>
        </w:rPr>
        <w:t>Fotografias demasiado oscuras donde no se entienda la operacion.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5313A"/>
          <w:sz w:val="21"/>
        </w:rPr>
        <w:t>Stock corporativo generico de apretones de mano.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5313A"/>
          <w:sz w:val="21"/>
        </w:rPr>
        <w:t>Logos de terceros.</w:t>
      </w:r>
    </w:p>
    <w:p>
      <w:pPr>
        <w:keepNext/>
        <w:spacing w:before="360" w:after="160"/>
      </w:pPr>
      <w:r>
        <w:rPr>
          <w:rFonts w:ascii="Arial" w:hAnsi="Arial"/>
          <w:b/>
          <w:color w:val="1F5867"/>
          <w:sz w:val="32"/>
        </w:rPr>
        <w:t>Iconografia</w:t>
      </w:r>
    </w:p>
    <w:p>
      <w:pPr>
        <w:spacing w:after="120" w:line="276" w:lineRule="auto"/>
      </w:pPr>
      <w:r>
        <w:rPr>
          <w:rFonts w:ascii="Arial" w:hAnsi="Arial"/>
          <w:color w:val="25313A"/>
          <w:sz w:val="21"/>
        </w:rPr>
        <w:t>Los iconos deben ser simples, lineales y tecnicos. Pueden representar: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5313A"/>
          <w:sz w:val="21"/>
        </w:rPr>
        <w:t>Olas.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5313A"/>
          <w:sz w:val="21"/>
        </w:rPr>
        <w:t>Manometros.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5313A"/>
          <w:sz w:val="21"/>
        </w:rPr>
        <w:t>Muestras.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5313A"/>
          <w:sz w:val="21"/>
        </w:rPr>
        <w:t>Anclas.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5313A"/>
          <w:sz w:val="21"/>
        </w:rPr>
        <w:t>Documentos.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5313A"/>
          <w:sz w:val="21"/>
        </w:rPr>
        <w:t>Reportes.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5313A"/>
          <w:sz w:val="21"/>
        </w:rPr>
        <w:t>Rutas.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5313A"/>
          <w:sz w:val="21"/>
        </w:rPr>
        <w:t>Cronologias.</w:t>
      </w:r>
    </w:p>
    <w:p>
      <w:pPr>
        <w:spacing w:after="120" w:line="276" w:lineRule="auto"/>
      </w:pPr>
      <w:r>
        <w:rPr>
          <w:rFonts w:ascii="Arial" w:hAnsi="Arial"/>
          <w:color w:val="25313A"/>
          <w:sz w:val="21"/>
        </w:rPr>
        <w:t>Evitar iconos caricaturescos, excesivamente redondeados o de estilo infantil.</w:t>
      </w:r>
    </w:p>
    <w:p>
      <w:pPr>
        <w:keepNext/>
        <w:spacing w:before="360" w:after="160"/>
      </w:pPr>
      <w:r>
        <w:rPr>
          <w:rFonts w:ascii="Arial" w:hAnsi="Arial"/>
          <w:b/>
          <w:color w:val="1F5867"/>
          <w:sz w:val="32"/>
        </w:rPr>
        <w:t>Composicion</w:t>
      </w:r>
    </w:p>
    <w:p>
      <w:pPr>
        <w:keepNext/>
        <w:spacing w:before="240" w:after="120"/>
      </w:pPr>
      <w:r>
        <w:rPr>
          <w:rFonts w:ascii="Arial" w:hAnsi="Arial"/>
          <w:b/>
          <w:color w:val="1F5867"/>
          <w:sz w:val="26"/>
        </w:rPr>
        <w:t>Web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5313A"/>
          <w:sz w:val="21"/>
        </w:rPr>
        <w:t>H1 fuerte y directo.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5313A"/>
          <w:sz w:val="21"/>
        </w:rPr>
        <w:t>Imagen hero con operacion real o realista.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5313A"/>
          <w:sz w:val="21"/>
        </w:rPr>
        <w:t>Tarjetas con informacion escaneable.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5313A"/>
          <w:sz w:val="21"/>
        </w:rPr>
        <w:t>Bloques oscuros para secciones estrategicas.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5313A"/>
          <w:sz w:val="21"/>
        </w:rPr>
        <w:t>Acentos ambar para llamados y detalles.</w:t>
      </w:r>
    </w:p>
    <w:p>
      <w:pPr>
        <w:keepNext/>
        <w:spacing w:before="240" w:after="120"/>
      </w:pPr>
      <w:r>
        <w:rPr>
          <w:rFonts w:ascii="Arial" w:hAnsi="Arial"/>
          <w:b/>
          <w:color w:val="1F5867"/>
          <w:sz w:val="26"/>
        </w:rPr>
        <w:t>Documentos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5313A"/>
          <w:sz w:val="21"/>
        </w:rPr>
        <w:t>Portadas sobrias.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5313A"/>
          <w:sz w:val="21"/>
        </w:rPr>
        <w:t>Encabezados con logo.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5313A"/>
          <w:sz w:val="21"/>
        </w:rPr>
        <w:t>Tablas claras.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5313A"/>
          <w:sz w:val="21"/>
        </w:rPr>
        <w:t>Mucho espacio para datos operacionales.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5313A"/>
          <w:sz w:val="21"/>
        </w:rPr>
        <w:t>Anexos bien separados.</w:t>
      </w:r>
    </w:p>
    <w:p>
      <w:pPr>
        <w:keepNext/>
        <w:spacing w:before="360" w:after="160"/>
      </w:pPr>
      <w:r>
        <w:rPr>
          <w:rFonts w:ascii="Arial" w:hAnsi="Arial"/>
          <w:b/>
          <w:color w:val="1F5867"/>
          <w:sz w:val="32"/>
        </w:rPr>
        <w:t>Estilo de interfaces y piezas digitales</w:t>
      </w:r>
    </w:p>
    <w:p>
      <w:pPr>
        <w:spacing w:after="120" w:line="276" w:lineRule="auto"/>
      </w:pPr>
      <w:r>
        <w:rPr>
          <w:rFonts w:ascii="Arial" w:hAnsi="Arial"/>
          <w:color w:val="25313A"/>
          <w:sz w:val="21"/>
        </w:rPr>
        <w:t>ACI debe sentirse como una herramienta de decision operacional, no como una landing de marketing liviano. La interfaz debe priorizar lectura, claridad y autoridad tecnica.</w:t>
      </w:r>
    </w:p>
    <w:sectPr w:rsidR="00FC693F" w:rsidRPr="0006063C" w:rsidSect="00034616">
      <w:footerReference w:type="default" r:id="rId9"/>
      <w:pgSz w:w="12240" w:h="15840"/>
      <w:pgMar w:top="1224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707A82"/>
        <w:sz w:val="16"/>
      </w:rPr>
      <w:t>ACI Loss Control Experts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