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0B0F12"/>
          <w:left w:val="single" w:sz="0" w:space="0" w:color="0B0F12"/>
          <w:bottom w:val="single" w:sz="0" w:space="0" w:color="0B0F12"/>
          <w:right w:val="single" w:sz="0" w:space="0" w:color="0B0F12"/>
          <w:insideH w:val="single" w:sz="0" w:space="0" w:color="0B0F12"/>
          <w:insideV w:val="single" w:sz="0" w:space="0" w:color="0B0F12"/>
        </w:tblBorders>
      </w:tblPr>
      <w:tblGrid>
        <w:gridCol w:w="9360"/>
      </w:tblGrid>
      <w:tr>
        <w:tc>
          <w:tcPr>
            <w:tcW w:type="dxa" w:w="9792"/>
            <w:shd w:fill="0B0F12"/>
            <w:tcMar>
              <w:top w:w="240" w:type="dxa"/>
              <w:start w:w="260" w:type="dxa"/>
              <w:bottom w:w="240" w:type="dxa"/>
              <w:end w:w="26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3240" cy="30632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i-logo-black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40" cy="3063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46"/>
              </w:rPr>
              <w:t>Onboarding Comercial de Cliente</w:t>
            </w:r>
          </w:p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DCE3E7"/>
                <w:sz w:val="23"/>
              </w:rPr>
              <w:t>Guia para levantar requerimientos y activar servicios ACI</w:t>
            </w:r>
          </w:p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C88C3A"/>
                <w:sz w:val="20"/>
              </w:rPr>
              <w:t>Control tecnico donde cada barril importa</w:t>
            </w:r>
          </w:p>
        </w:tc>
      </w:tr>
    </w:tbl>
    <w:p>
      <w:r>
        <w:br w:type="page"/>
      </w:r>
    </w:p>
    <w:p>
      <w:pPr>
        <w:keepNext/>
        <w:spacing w:before="320" w:after="140"/>
      </w:pPr>
      <w:r>
        <w:rPr>
          <w:rFonts w:ascii="Arial" w:hAnsi="Arial"/>
          <w:b/>
          <w:i w:val="0"/>
          <w:color w:val="1F5867"/>
          <w:sz w:val="32"/>
        </w:rPr>
        <w:t>Objetivo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Estandarizar el levantamiento inicial de clientes y operaciones para asegurar que ACI reciba la informacion necesaria antes de ejecutar servicios de loss control.</w:t>
      </w:r>
    </w:p>
    <w:p>
      <w:pPr>
        <w:keepNext/>
        <w:spacing w:before="320" w:after="140"/>
      </w:pPr>
      <w:r>
        <w:rPr>
          <w:rFonts w:ascii="Arial" w:hAnsi="Arial"/>
          <w:b/>
          <w:i w:val="0"/>
          <w:color w:val="1F5867"/>
          <w:sz w:val="32"/>
        </w:rPr>
        <w:t>Informacion minima del cliente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4896"/>
        <w:gridCol w:w="4896"/>
      </w:tblGrid>
      <w:tr>
        <w:tc>
          <w:tcPr>
            <w:tcW w:type="dxa" w:w="2880"/>
            <w:vAlign w:val="center"/>
            <w:shd w:fill="0B0F1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Dato</w:t>
            </w:r>
          </w:p>
        </w:tc>
        <w:tc>
          <w:tcPr>
            <w:tcW w:type="dxa" w:w="6480"/>
            <w:vAlign w:val="center"/>
            <w:shd w:fill="0B0F1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Detalle requerido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Empresa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[Razon social / nombre comercial]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Contacto operacional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[Nombre, cargo, telefono, email]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Contacto administrativo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[Nombre, cargo, telefono, email]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Pais y ubicacion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[Chile / Ecuador / Colombia - punto operacional]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Facturacion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[Datos administrativos]</w:t>
            </w:r>
          </w:p>
        </w:tc>
      </w:tr>
    </w:tbl>
    <w:p>
      <w:pPr>
        <w:spacing w:after="80"/>
      </w:pPr>
    </w:p>
    <w:p>
      <w:pPr>
        <w:keepNext/>
        <w:spacing w:before="320" w:after="140"/>
      </w:pPr>
      <w:r>
        <w:rPr>
          <w:rFonts w:ascii="Arial" w:hAnsi="Arial"/>
          <w:b/>
          <w:i w:val="0"/>
          <w:color w:val="1F5867"/>
          <w:sz w:val="32"/>
        </w:rPr>
        <w:t>Informacion minima de la operacion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Producto.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Volumen estimado.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Fecha y ventana operacional.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Terminal, nave, planta o instalacion.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Partes involucradas.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Documentos disponibles.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Criterios de reporte.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Requisitos de acceso y seguridad operacional.</w:t>
      </w:r>
    </w:p>
    <w:p>
      <w:pPr>
        <w:keepNext/>
        <w:spacing w:before="320" w:after="140"/>
      </w:pPr>
      <w:r>
        <w:rPr>
          <w:rFonts w:ascii="Arial" w:hAnsi="Arial"/>
          <w:b/>
          <w:i w:val="0"/>
          <w:color w:val="1F5867"/>
          <w:sz w:val="32"/>
        </w:rPr>
        <w:t>Flujo de activacion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4896"/>
        <w:gridCol w:w="4896"/>
      </w:tblGrid>
      <w:tr>
        <w:tc>
          <w:tcPr>
            <w:tcW w:type="dxa" w:w="1152"/>
            <w:vAlign w:val="center"/>
            <w:shd w:fill="0B0F1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Paso</w:t>
            </w:r>
          </w:p>
        </w:tc>
        <w:tc>
          <w:tcPr>
            <w:tcW w:type="dxa" w:w="8208"/>
            <w:vAlign w:val="center"/>
            <w:shd w:fill="0B0F1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Accion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1</w:t>
            </w:r>
          </w:p>
        </w:tc>
        <w:tc>
          <w:tcPr>
            <w:tcW w:type="dxa" w:w="82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Recepcion del requerimiento.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2</w:t>
            </w:r>
          </w:p>
        </w:tc>
        <w:tc>
          <w:tcPr>
            <w:tcW w:type="dxa" w:w="82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Revision de alcance y riesgos.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3</w:t>
            </w:r>
          </w:p>
        </w:tc>
        <w:tc>
          <w:tcPr>
            <w:tcW w:type="dxa" w:w="82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Confirmacion de disponibilidad.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4</w:t>
            </w:r>
          </w:p>
        </w:tc>
        <w:tc>
          <w:tcPr>
            <w:tcW w:type="dxa" w:w="82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Emision de propuesta u orden de servicio.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5</w:t>
            </w:r>
          </w:p>
        </w:tc>
        <w:tc>
          <w:tcPr>
            <w:tcW w:type="dxa" w:w="82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Asignacion de inspector/coordinador.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6</w:t>
            </w:r>
          </w:p>
        </w:tc>
        <w:tc>
          <w:tcPr>
            <w:tcW w:type="dxa" w:w="82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Ejecucion y reportabilidad.</w:t>
            </w:r>
          </w:p>
        </w:tc>
      </w:tr>
    </w:tbl>
    <w:p>
      <w:pPr>
        <w:spacing w:after="80"/>
      </w:pPr>
    </w:p>
    <w:p>
      <w:pPr>
        <w:keepNext/>
        <w:spacing w:before="320" w:after="140"/>
      </w:pPr>
      <w:r>
        <w:rPr>
          <w:rFonts w:ascii="Arial" w:hAnsi="Arial"/>
          <w:b/>
          <w:i w:val="0"/>
          <w:color w:val="1F5867"/>
          <w:sz w:val="32"/>
        </w:rPr>
        <w:t>Cierre inicial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Una vez aceptado el servicio, ACI debe registrar la orden de servicio, confirmar responsables, criterios de comunicacion, formato de reportes y plazos de entrega.</w:t>
      </w:r>
    </w:p>
    <w:sectPr w:rsidR="00FC693F" w:rsidRPr="0006063C" w:rsidSect="00034616">
      <w:footerReference w:type="default" r:id="rId9"/>
      <w:pgSz w:w="12240" w:h="15840"/>
      <w:pgMar w:top="1224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707A82"/>
        <w:sz w:val="16"/>
      </w:rPr>
      <w:t>ACI Loss Control Experts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