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0F12"/>
          <w:left w:val="single" w:sz="6" w:space="0" w:color="0B0F12"/>
          <w:bottom w:val="single" w:sz="6" w:space="0" w:color="0B0F12"/>
          <w:right w:val="single" w:sz="6" w:space="0" w:color="0B0F12"/>
          <w:insideH w:val="single" w:sz="6" w:space="0" w:color="0B0F12"/>
          <w:insideV w:val="single" w:sz="6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INDICE DE MANUALES Y PROCEDIMIENTOS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2"/>
              </w:rPr>
              <w:t>Sistema de Gestion y Calidad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19"/>
              </w:rPr>
              <w:t>ACI LATAM | acilatam.cl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Version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Estado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 de trabajo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12-06-2026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asignar</w:t>
            </w:r>
          </w:p>
        </w:tc>
      </w:tr>
    </w:tbl>
    <w:p>
      <w:r>
        <w:br w:type="page"/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Documentacion inicial para preparar a ACI Loss Control Experts ante futuras acreditaciones de calidad, sin declarar certificacion vigente.</w:t>
      </w:r>
    </w:p>
    <w:p>
      <w:pPr>
        <w:pStyle w:val="Heading2"/>
      </w:pPr>
      <w:r>
        <w:t>Documentos principales</w:t>
      </w:r>
    </w:p>
    <w:p>
      <w:pPr>
        <w:pStyle w:val="ListNumber"/>
        <w:spacing w:after="100" w:line="269" w:lineRule="auto"/>
      </w:pPr>
      <w:r>
        <w:rPr>
          <w:rFonts w:ascii="Consolas" w:hAnsi="Consolas"/>
          <w:b w:val="0"/>
          <w:i w:val="0"/>
          <w:color w:val="1F5867"/>
          <w:sz w:val="19"/>
        </w:rPr>
        <w:t>01-manual-calidad.md</w:t>
      </w:r>
    </w:p>
    <w:p>
      <w:pPr>
        <w:pStyle w:val="ListNumber"/>
        <w:spacing w:after="100" w:line="269" w:lineRule="auto"/>
      </w:pPr>
      <w:r>
        <w:rPr>
          <w:rFonts w:ascii="Consolas" w:hAnsi="Consolas"/>
          <w:b w:val="0"/>
          <w:i w:val="0"/>
          <w:color w:val="1F5867"/>
          <w:sz w:val="19"/>
        </w:rPr>
        <w:t>02-politica-calidad.md</w:t>
      </w:r>
    </w:p>
    <w:p>
      <w:pPr>
        <w:pStyle w:val="ListNumber"/>
        <w:spacing w:after="100" w:line="269" w:lineRule="auto"/>
      </w:pPr>
      <w:r>
        <w:rPr>
          <w:rFonts w:ascii="Consolas" w:hAnsi="Consolas"/>
          <w:b w:val="0"/>
          <w:i w:val="0"/>
          <w:color w:val="1F5867"/>
          <w:sz w:val="19"/>
        </w:rPr>
        <w:t>03-objetivos-calidad.md</w:t>
      </w:r>
    </w:p>
    <w:p>
      <w:pPr>
        <w:pStyle w:val="ListNumber"/>
        <w:spacing w:after="100" w:line="269" w:lineRule="auto"/>
      </w:pPr>
      <w:r>
        <w:rPr>
          <w:rFonts w:ascii="Consolas" w:hAnsi="Consolas"/>
          <w:b w:val="0"/>
          <w:i w:val="0"/>
          <w:color w:val="1F5867"/>
          <w:sz w:val="19"/>
        </w:rPr>
        <w:t>04-mapa-procesos.md</w:t>
      </w:r>
    </w:p>
    <w:p>
      <w:pPr>
        <w:pStyle w:val="ListNumber"/>
        <w:spacing w:after="100" w:line="269" w:lineRule="auto"/>
      </w:pPr>
      <w:r>
        <w:rPr>
          <w:rFonts w:ascii="Consolas" w:hAnsi="Consolas"/>
          <w:b w:val="0"/>
          <w:i w:val="0"/>
          <w:color w:val="1F5867"/>
          <w:sz w:val="19"/>
        </w:rPr>
        <w:t>05-matriz-riesgos-oportunidades.md</w:t>
      </w:r>
    </w:p>
    <w:p>
      <w:pPr>
        <w:pStyle w:val="ListNumber"/>
        <w:spacing w:after="100" w:line="269" w:lineRule="auto"/>
      </w:pPr>
      <w:r>
        <w:rPr>
          <w:rFonts w:ascii="Consolas" w:hAnsi="Consolas"/>
          <w:b w:val="0"/>
          <w:i w:val="0"/>
          <w:color w:val="1F5867"/>
          <w:sz w:val="19"/>
        </w:rPr>
        <w:t>06-procedimiento-control-documentos.md</w:t>
      </w:r>
    </w:p>
    <w:p>
      <w:pPr>
        <w:pStyle w:val="ListNumber"/>
        <w:spacing w:after="100" w:line="269" w:lineRule="auto"/>
      </w:pPr>
      <w:r>
        <w:rPr>
          <w:rFonts w:ascii="Consolas" w:hAnsi="Consolas"/>
          <w:b w:val="0"/>
          <w:i w:val="0"/>
          <w:color w:val="1F5867"/>
          <w:sz w:val="19"/>
        </w:rPr>
        <w:t>07-procedimiento-operaciones-loss-control.md</w:t>
      </w:r>
    </w:p>
    <w:p>
      <w:pPr>
        <w:pStyle w:val="ListNumber"/>
        <w:spacing w:after="100" w:line="269" w:lineRule="auto"/>
      </w:pPr>
      <w:r>
        <w:rPr>
          <w:rFonts w:ascii="Consolas" w:hAnsi="Consolas"/>
          <w:b w:val="0"/>
          <w:i w:val="0"/>
          <w:color w:val="1F5867"/>
          <w:sz w:val="19"/>
        </w:rPr>
        <w:t>08-procedimiento-competencia-personal.md</w:t>
      </w:r>
    </w:p>
    <w:p>
      <w:pPr>
        <w:pStyle w:val="ListNumber"/>
        <w:spacing w:after="100" w:line="269" w:lineRule="auto"/>
      </w:pPr>
      <w:r>
        <w:rPr>
          <w:rFonts w:ascii="Consolas" w:hAnsi="Consolas"/>
          <w:b w:val="0"/>
          <w:i w:val="0"/>
          <w:color w:val="1F5867"/>
          <w:sz w:val="19"/>
        </w:rPr>
        <w:t>09-procedimiento-no-conformidades-acciones-correctivas.md</w:t>
      </w:r>
    </w:p>
    <w:p>
      <w:pPr>
        <w:pStyle w:val="ListNumber"/>
        <w:spacing w:after="100" w:line="269" w:lineRule="auto"/>
      </w:pPr>
      <w:r>
        <w:rPr>
          <w:rFonts w:ascii="Consolas" w:hAnsi="Consolas"/>
          <w:b w:val="0"/>
          <w:i w:val="0"/>
          <w:color w:val="1F5867"/>
          <w:sz w:val="19"/>
        </w:rPr>
        <w:t>10-procedimiento-auditoria-interna.md</w:t>
      </w:r>
    </w:p>
    <w:p>
      <w:pPr>
        <w:pStyle w:val="ListNumber"/>
        <w:spacing w:after="100" w:line="269" w:lineRule="auto"/>
      </w:pPr>
      <w:r>
        <w:rPr>
          <w:rFonts w:ascii="Consolas" w:hAnsi="Consolas"/>
          <w:b w:val="0"/>
          <w:i w:val="0"/>
          <w:color w:val="1F5867"/>
          <w:sz w:val="19"/>
        </w:rPr>
        <w:t>11-procedimiento-evaluacion-proveedores.md</w:t>
      </w:r>
    </w:p>
    <w:p>
      <w:pPr>
        <w:pStyle w:val="ListNumber"/>
        <w:spacing w:after="100" w:line="269" w:lineRule="auto"/>
      </w:pPr>
      <w:r>
        <w:rPr>
          <w:rFonts w:ascii="Consolas" w:hAnsi="Consolas"/>
          <w:b w:val="0"/>
          <w:i w:val="0"/>
          <w:color w:val="1F5867"/>
          <w:sz w:val="19"/>
        </w:rPr>
        <w:t>12-registros-formatos.md</w:t>
      </w:r>
    </w:p>
    <w:p>
      <w:pPr>
        <w:pStyle w:val="Heading2"/>
      </w:pPr>
      <w:r>
        <w:t>Nota de implementacion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Estos documentos son una base de trabajo. Antes de declarar cualquier acreditacion o certificacion, ACI debe implementar los procesos, generar registros reales, ejecutar auditoria interna, realizar revision por la direccion y someterse a evaluacion de un organismo competente.</w:t>
      </w:r>
    </w:p>
    <w:p>
      <w:pPr>
        <w:pStyle w:val="Heading1"/>
      </w:pPr>
      <w:r>
        <w:t>Documentacion operacional vinculada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7DDE1"/>
          <w:left w:val="single" w:sz="6" w:color="D7DDE1"/>
          <w:bottom w:val="single" w:sz="6" w:color="D7DDE1"/>
          <w:right w:val="single" w:sz="6" w:color="D7DDE1"/>
          <w:insideH w:val="single" w:sz="6" w:color="D7DDE1"/>
          <w:insideV w:val="single" w:sz="6" w:color="D7DDE1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0B0F12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Codigo</w:t>
            </w:r>
          </w:p>
        </w:tc>
        <w:tc>
          <w:tcPr>
            <w:tcW w:type="dxa" w:w="3264"/>
            <w:shd w:fill="0B0F12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3264"/>
            <w:shd w:fill="0B0F12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b/>
                <w:color w:val="25313A"/>
                <w:sz w:val="18"/>
              </w:rPr>
              <w:t>ACI-OP-000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Indice Maestro Operacional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Para aprobacion</w:t>
            </w:r>
          </w:p>
        </w:tc>
      </w:tr>
      <w:tr>
        <w:tc>
          <w:tcPr>
            <w:tcW w:type="dxa" w:w="3264"/>
            <w:vAlign w:val="center"/>
            <w:shd w:fill="F6F7F4"/>
          </w:tcPr>
          <w:p>
            <w:r>
              <w:rPr>
                <w:rFonts w:ascii="Arial" w:hAnsi="Arial"/>
                <w:b/>
                <w:color w:val="25313A"/>
                <w:sz w:val="18"/>
              </w:rPr>
              <w:t>ACI-MO-001</w:t>
            </w:r>
          </w:p>
        </w:tc>
        <w:tc>
          <w:tcPr>
            <w:tcW w:type="dxa" w:w="3264"/>
            <w:vAlign w:val="center"/>
            <w:shd w:fill="F6F7F4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Manual Operacional de Loss Control y Expediting</w:t>
            </w:r>
          </w:p>
        </w:tc>
        <w:tc>
          <w:tcPr>
            <w:tcW w:type="dxa" w:w="3264"/>
            <w:vAlign w:val="center"/>
            <w:shd w:fill="F6F7F4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Para aprobacion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b/>
                <w:color w:val="25313A"/>
                <w:sz w:val="18"/>
              </w:rPr>
              <w:t>ACI-PT-001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Control de Cantidad y Reconciliacion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Para aprobacion</w:t>
            </w:r>
          </w:p>
        </w:tc>
      </w:tr>
      <w:tr>
        <w:tc>
          <w:tcPr>
            <w:tcW w:type="dxa" w:w="3264"/>
            <w:vAlign w:val="center"/>
            <w:shd w:fill="F6F7F4"/>
          </w:tcPr>
          <w:p>
            <w:r>
              <w:rPr>
                <w:rFonts w:ascii="Arial" w:hAnsi="Arial"/>
                <w:b/>
                <w:color w:val="25313A"/>
                <w:sz w:val="18"/>
              </w:rPr>
              <w:t>ACI-PT-002</w:t>
            </w:r>
          </w:p>
        </w:tc>
        <w:tc>
          <w:tcPr>
            <w:tcW w:type="dxa" w:w="3264"/>
            <w:vAlign w:val="center"/>
            <w:shd w:fill="F6F7F4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Muestreo, Calidad y Cadena de Custodia</w:t>
            </w:r>
          </w:p>
        </w:tc>
        <w:tc>
          <w:tcPr>
            <w:tcW w:type="dxa" w:w="3264"/>
            <w:vAlign w:val="center"/>
            <w:shd w:fill="F6F7F4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Para aprobacion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b/>
                <w:color w:val="25313A"/>
                <w:sz w:val="18"/>
              </w:rPr>
              <w:t>ACI-PT-003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Expediting y Control de Tiempos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Para aprobacion</w:t>
            </w:r>
          </w:p>
        </w:tc>
      </w:tr>
      <w:tr>
        <w:tc>
          <w:tcPr>
            <w:tcW w:type="dxa" w:w="3264"/>
            <w:vAlign w:val="center"/>
            <w:shd w:fill="F6F7F4"/>
          </w:tcPr>
          <w:p>
            <w:r>
              <w:rPr>
                <w:rFonts w:ascii="Arial" w:hAnsi="Arial"/>
                <w:b/>
                <w:color w:val="25313A"/>
                <w:sz w:val="18"/>
              </w:rPr>
              <w:t>ACI-PT-004</w:t>
            </w:r>
          </w:p>
        </w:tc>
        <w:tc>
          <w:tcPr>
            <w:tcW w:type="dxa" w:w="3264"/>
            <w:vAlign w:val="center"/>
            <w:shd w:fill="F6F7F4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Evidencia, Fotografias y Reportabilidad</w:t>
            </w:r>
          </w:p>
        </w:tc>
        <w:tc>
          <w:tcPr>
            <w:tcW w:type="dxa" w:w="3264"/>
            <w:vAlign w:val="center"/>
            <w:shd w:fill="F6F7F4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Para aprobacion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b/>
                <w:color w:val="25313A"/>
                <w:sz w:val="18"/>
              </w:rPr>
              <w:t>ACI-PT-005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Investigacion de Diferencias y Soporte a Reclamos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Para aprobacion</w:t>
            </w:r>
          </w:p>
        </w:tc>
      </w:tr>
      <w:tr>
        <w:tc>
          <w:tcPr>
            <w:tcW w:type="dxa" w:w="3264"/>
            <w:vAlign w:val="center"/>
            <w:shd w:fill="F6F7F4"/>
          </w:tcPr>
          <w:p>
            <w:r>
              <w:rPr>
                <w:rFonts w:ascii="Arial" w:hAnsi="Arial"/>
                <w:b/>
                <w:color w:val="25313A"/>
                <w:sz w:val="18"/>
              </w:rPr>
              <w:t>ACI-HSE-001</w:t>
            </w:r>
          </w:p>
        </w:tc>
        <w:tc>
          <w:tcPr>
            <w:tcW w:type="dxa" w:w="3264"/>
            <w:vAlign w:val="center"/>
            <w:shd w:fill="F6F7F4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Seguridad Operacional y Respuesta a Emergencias</w:t>
            </w:r>
          </w:p>
        </w:tc>
        <w:tc>
          <w:tcPr>
            <w:tcW w:type="dxa" w:w="3264"/>
            <w:vAlign w:val="center"/>
            <w:shd w:fill="F6F7F4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Para aprobacion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b/>
                <w:color w:val="25313A"/>
                <w:sz w:val="18"/>
              </w:rPr>
              <w:t>ACI-PC-001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Capacitacion y Habilitacion Tecnica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Para aprobacion</w:t>
            </w:r>
          </w:p>
        </w:tc>
      </w:tr>
      <w:tr>
        <w:tc>
          <w:tcPr>
            <w:tcW w:type="dxa" w:w="3264"/>
            <w:vAlign w:val="center"/>
            <w:shd w:fill="F6F7F4"/>
          </w:tcPr>
          <w:p>
            <w:r>
              <w:rPr>
                <w:rFonts w:ascii="Arial" w:hAnsi="Arial"/>
                <w:b/>
                <w:color w:val="25313A"/>
                <w:sz w:val="18"/>
              </w:rPr>
              <w:t>ACI-PQ-001</w:t>
            </w:r>
          </w:p>
        </w:tc>
        <w:tc>
          <w:tcPr>
            <w:tcW w:type="dxa" w:w="3264"/>
            <w:vAlign w:val="center"/>
            <w:shd w:fill="F6F7F4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Paquete de Formatos Operacionales</w:t>
            </w:r>
          </w:p>
        </w:tc>
        <w:tc>
          <w:tcPr>
            <w:tcW w:type="dxa" w:w="3264"/>
            <w:vAlign w:val="center"/>
            <w:shd w:fill="F6F7F4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Para aprobacion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b/>
                <w:color w:val="25313A"/>
                <w:sz w:val="18"/>
              </w:rPr>
              <w:t>ACI-PQ-002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Control Documental y Competencia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 w:val="0"/>
                <w:color w:val="25313A"/>
                <w:sz w:val="18"/>
              </w:rPr>
              <w:t>Para aprobacion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1F5867"/>
          <w:sz w:val="20"/>
        </w:rPr>
        <w:t xml:space="preserve">Condicion de vigencia: </w:t>
      </w:r>
      <w:r>
        <w:rPr>
          <w:rFonts w:ascii="Arial" w:hAnsi="Arial"/>
          <w:b w:val="0"/>
          <w:color w:val="25313A"/>
          <w:sz w:val="20"/>
        </w:rPr>
        <w:t>los documentos operacionales requieren responsables nominales, aprobacion, capacitacion y prueba piloto antes de declararse vigentes.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9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Documento de trabajo | Version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Sistema de Gestion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