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REGISTROS Y FORMATOS INICIALES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 xml:space="preserve">Los formatos operacionales ACI-F-001 a ACI-F-006 se encuentran construidos en </w:t>
      </w:r>
      <w:r>
        <w:rPr>
          <w:rFonts w:ascii="Consolas" w:hAnsi="Consolas"/>
          <w:b w:val="0"/>
          <w:i w:val="0"/>
          <w:color w:val="1F5867"/>
          <w:sz w:val="19"/>
        </w:rPr>
        <w:t>../operaciones/ACI-PQ-001-Paquete-Formatos-Operacionales.xlsx</w:t>
      </w:r>
      <w:r>
        <w:rPr>
          <w:rFonts w:ascii="Arial" w:hAnsi="Arial"/>
          <w:b w:val="0"/>
          <w:i w:val="0"/>
          <w:color w:val="25313A"/>
          <w:sz w:val="21"/>
        </w:rPr>
        <w:t>.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 xml:space="preserve">Los formatos ACI-F-101, ACI-F-107 y ACI-F-201 a ACI-F-204 se encuentran construidos en </w:t>
      </w:r>
      <w:r>
        <w:rPr>
          <w:rFonts w:ascii="Consolas" w:hAnsi="Consolas"/>
          <w:b w:val="0"/>
          <w:i w:val="0"/>
          <w:color w:val="1F5867"/>
          <w:sz w:val="19"/>
        </w:rPr>
        <w:t>../operaciones/ACI-PQ-002-Control-Documental-Competencia.xlsx</w:t>
      </w:r>
      <w:r>
        <w:rPr>
          <w:rFonts w:ascii="Arial" w:hAnsi="Arial"/>
          <w:b w:val="0"/>
          <w:i w:val="0"/>
          <w:color w:val="25313A"/>
          <w:sz w:val="21"/>
        </w:rPr>
        <w:t>.</w:t>
      </w:r>
    </w:p>
    <w:p>
      <w:pPr>
        <w:pStyle w:val="Heading2"/>
      </w:pPr>
      <w:r>
        <w:t>Formatos operacionales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Codigo</w:t>
            </w:r>
          </w:p>
        </w:tc>
        <w:tc>
          <w:tcPr>
            <w:tcW w:type="dxa" w:w="3264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3264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ACI-F-001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Orden de servicio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Registrar alcance, cliente, ubicacion y responsables.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ACI-F-002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Checklist operacional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Controlar actividades antes, durante y despues del servicio.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ACI-F-003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Bitacora de eventos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Registrar cronologia de la operacion.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ACI-F-004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Registro fotografico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Respaldar evidencia visual trazable.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ACI-F-005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Reporte preliminar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Informar resultados iniciales al cliente.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ACI-F-006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Informe final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Cerrar operacion con conclusiones y evidencias.</w:t>
            </w:r>
          </w:p>
        </w:tc>
      </w:tr>
    </w:tbl>
    <w:p>
      <w:pPr>
        <w:spacing w:after="40"/>
      </w:pPr>
    </w:p>
    <w:p>
      <w:pPr>
        <w:pStyle w:val="Heading2"/>
      </w:pPr>
      <w:r>
        <w:t>Formatos de calidad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Codigo</w:t>
            </w:r>
          </w:p>
        </w:tc>
        <w:tc>
          <w:tcPr>
            <w:tcW w:type="dxa" w:w="3264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3264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ACI-F-101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Listado maestro de documentos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Control documental.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ACI-F-102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Registro de no conformidad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Gestion de desviaciones.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ACI-F-103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Accion correctiva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Correccion y eficacia.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ACI-F-104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Matriz de riesgos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Riesgos y oportunidades.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ACI-F-105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Evaluacion de satisfaccion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Voz del cliente.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ACI-F-106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Revision por la direccion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Evaluacion del SGC.</w:t>
            </w:r>
          </w:p>
        </w:tc>
      </w:tr>
    </w:tbl>
    <w:p>
      <w:pPr>
        <w:spacing w:after="40"/>
      </w:pPr>
    </w:p>
    <w:p>
      <w:pPr>
        <w:pStyle w:val="Heading2"/>
      </w:pPr>
      <w:r>
        <w:t>Formatos de personas y proveedores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Codigo</w:t>
            </w:r>
          </w:p>
        </w:tc>
        <w:tc>
          <w:tcPr>
            <w:tcW w:type="dxa" w:w="3264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3264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ACI-F-201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Perfil de cargo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Competencias requeridas.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ACI-F-202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Matriz de competencia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Habilitacion del personal.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ACI-F-203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Registro de capacitacion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Evidencia de formacion.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ACI-F-301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Ficha de proveedor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Datos y alcance del proveedor.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ACI-F-302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Evaluacion de proveedor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Aprobacion y seguimiento.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